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69326">
      <w:pPr>
        <w:pStyle w:val="3"/>
        <w:widowControl/>
        <w:numPr>
          <w:ilvl w:val="0"/>
          <w:numId w:val="0"/>
        </w:numPr>
        <w:shd w:val="clear" w:color="auto" w:fill="auto"/>
        <w:spacing w:before="0" w:beforeAutospacing="0" w:after="0" w:afterAutospacing="0" w:line="480" w:lineRule="atLeast"/>
        <w:ind w:right="0" w:rightChars="0"/>
        <w:jc w:val="both"/>
        <w:rPr>
          <w:rFonts w:hint="eastAsia" w:ascii="黑体" w:hAnsi="黑体" w:eastAsia="黑体" w:cs="黑体"/>
          <w:b w:val="0"/>
          <w:bCs/>
          <w:color w:val="000000"/>
          <w:kern w:val="1"/>
          <w:sz w:val="22"/>
          <w:szCs w:val="22"/>
          <w:u w:val="none"/>
          <w:lang w:val="en-US" w:eastAsia="zh-CN" w:bidi="ar-SA"/>
        </w:rPr>
      </w:pPr>
      <w:bookmarkStart w:id="0" w:name="_GoBack"/>
      <w:bookmarkEnd w:id="0"/>
      <w:r>
        <w:rPr>
          <w:rFonts w:hint="eastAsia" w:ascii="黑体" w:hAnsi="黑体" w:eastAsia="黑体" w:cs="黑体"/>
          <w:b w:val="0"/>
          <w:bCs/>
          <w:color w:val="000000"/>
          <w:kern w:val="1"/>
          <w:sz w:val="22"/>
          <w:szCs w:val="22"/>
          <w:u w:val="none"/>
          <w:lang w:val="en-US" w:eastAsia="zh-CN" w:bidi="ar-SA"/>
        </w:rPr>
        <w:t>附件1：</w:t>
      </w:r>
    </w:p>
    <w:p w14:paraId="45AB53DE">
      <w:pPr>
        <w:pStyle w:val="3"/>
        <w:widowControl/>
        <w:numPr>
          <w:ilvl w:val="0"/>
          <w:numId w:val="0"/>
        </w:numPr>
        <w:shd w:val="clear" w:color="auto" w:fill="auto"/>
        <w:spacing w:before="0" w:beforeAutospacing="0" w:after="0" w:afterAutospacing="0" w:line="480" w:lineRule="atLeast"/>
        <w:ind w:right="0" w:rightChars="0" w:firstLine="880" w:firstLineChars="200"/>
        <w:jc w:val="both"/>
        <w:rPr>
          <w:rFonts w:hint="eastAsia" w:ascii="方正小标宋简体" w:hAnsi="方正小标宋简体" w:eastAsia="方正小标宋简体" w:cs="方正小标宋简体"/>
          <w:b w:val="0"/>
          <w:bCs/>
          <w:color w:val="000000"/>
          <w:kern w:val="1"/>
          <w:sz w:val="44"/>
          <w:szCs w:val="44"/>
          <w:u w:val="none"/>
          <w:lang w:eastAsia="zh-CN" w:bidi="ar-SA"/>
        </w:rPr>
      </w:pPr>
      <w:r>
        <w:rPr>
          <w:rFonts w:hint="eastAsia" w:ascii="方正小标宋简体" w:hAnsi="方正小标宋简体" w:eastAsia="方正小标宋简体" w:cs="方正小标宋简体"/>
          <w:b w:val="0"/>
          <w:bCs/>
          <w:color w:val="000000"/>
          <w:kern w:val="1"/>
          <w:sz w:val="44"/>
          <w:szCs w:val="44"/>
          <w:u w:val="none"/>
          <w:lang w:val="en-US" w:eastAsia="zh-CN" w:bidi="ar-SA"/>
        </w:rPr>
        <w:t>食品安全监督抽检</w:t>
      </w:r>
      <w:r>
        <w:rPr>
          <w:rFonts w:hint="eastAsia" w:ascii="方正小标宋简体" w:hAnsi="方正小标宋简体" w:eastAsia="方正小标宋简体" w:cs="方正小标宋简体"/>
          <w:b w:val="0"/>
          <w:bCs/>
          <w:color w:val="000000"/>
          <w:kern w:val="1"/>
          <w:sz w:val="44"/>
          <w:szCs w:val="44"/>
          <w:u w:val="none"/>
          <w:lang w:eastAsia="zh-CN" w:bidi="ar-SA"/>
        </w:rPr>
        <w:t>不合格项目小知识</w:t>
      </w:r>
    </w:p>
    <w:p w14:paraId="7E5A862A">
      <w:pPr>
        <w:pStyle w:val="3"/>
        <w:widowControl/>
        <w:numPr>
          <w:ilvl w:val="0"/>
          <w:numId w:val="0"/>
        </w:numPr>
        <w:shd w:val="clear" w:color="auto" w:fill="auto"/>
        <w:spacing w:before="0" w:beforeAutospacing="0" w:after="0" w:afterAutospacing="0" w:line="480" w:lineRule="atLeast"/>
        <w:ind w:right="0" w:rightChars="0" w:firstLine="643" w:firstLineChars="200"/>
        <w:jc w:val="both"/>
        <w:rPr>
          <w:rFonts w:hint="eastAsia" w:ascii="仿宋_GB2312" w:hAnsi="仿宋_GB2312" w:eastAsia="仿宋_GB2312" w:cs="仿宋_GB2312"/>
          <w:b/>
          <w:bCs/>
          <w:color w:val="000000"/>
          <w:sz w:val="32"/>
          <w:szCs w:val="32"/>
          <w:u w:val="none" w:color="auto"/>
          <w:lang w:eastAsia="zh-CN"/>
        </w:rPr>
      </w:pPr>
    </w:p>
    <w:p w14:paraId="6E8261A2">
      <w:pPr>
        <w:pStyle w:val="3"/>
        <w:widowControl/>
        <w:numPr>
          <w:ilvl w:val="0"/>
          <w:numId w:val="0"/>
        </w:numPr>
        <w:shd w:val="clear" w:color="auto" w:fill="auto"/>
        <w:spacing w:before="0" w:beforeAutospacing="0" w:after="0" w:afterAutospacing="0" w:line="480" w:lineRule="atLeast"/>
        <w:ind w:right="0" w:rightChars="0" w:firstLine="643" w:firstLineChars="200"/>
        <w:jc w:val="both"/>
        <w:rPr>
          <w:rFonts w:hint="eastAsia" w:ascii="仿宋_GB2312" w:hAnsi="仿宋_GB2312" w:eastAsia="仿宋_GB2312" w:cs="仿宋_GB2312"/>
          <w:b w:val="0"/>
          <w:bCs w:val="0"/>
          <w:color w:val="000000"/>
          <w:sz w:val="32"/>
          <w:szCs w:val="32"/>
          <w:u w:val="none" w:color="auto"/>
          <w:lang w:eastAsia="zh-CN"/>
        </w:rPr>
      </w:pPr>
      <w:r>
        <w:rPr>
          <w:rFonts w:hint="eastAsia" w:ascii="仿宋_GB2312" w:hAnsi="仿宋_GB2312" w:eastAsia="仿宋_GB2312" w:cs="仿宋_GB2312"/>
          <w:b/>
          <w:bCs/>
          <w:color w:val="000000"/>
          <w:sz w:val="32"/>
          <w:szCs w:val="32"/>
          <w:u w:val="none" w:color="auto"/>
          <w:lang w:eastAsia="zh-CN"/>
        </w:rPr>
        <w:t>恩诺沙星:</w:t>
      </w:r>
      <w:r>
        <w:rPr>
          <w:rFonts w:hint="eastAsia" w:ascii="仿宋_GB2312" w:hAnsi="仿宋_GB2312" w:eastAsia="仿宋_GB2312" w:cs="仿宋_GB2312"/>
          <w:b w:val="0"/>
          <w:bCs w:val="0"/>
          <w:color w:val="000000"/>
          <w:sz w:val="32"/>
          <w:szCs w:val="32"/>
          <w:u w:val="none" w:color="auto"/>
          <w:lang w:eastAsia="zh-CN"/>
        </w:rPr>
        <w:t>恩诺沙星属于喹诺酮类合成抗菌药，用于治疗细菌性感染有良好效果。《食品安全国家标准 食品中兽药最大残留限量》(GB 31650-2019)中规定，恩诺沙星在牛蛙中的残留限量不得超过 100 μg/kg。恩诺沙星不合格的原因可能是养殖环节用药管理不严或休药期不足所致。</w:t>
      </w:r>
    </w:p>
    <w:p w14:paraId="75E60E53">
      <w:pPr>
        <w:keepNext w:val="0"/>
        <w:keepLines w:val="0"/>
        <w:widowControl/>
        <w:suppressLineNumbers w:val="0"/>
        <w:ind w:firstLine="643" w:firstLineChars="200"/>
        <w:jc w:val="left"/>
        <w:rPr>
          <w:rFonts w:hint="eastAsia" w:ascii="仿宋_GB2312" w:hAnsi="仿宋_GB2312" w:eastAsia="仿宋_GB2312" w:cs="仿宋_GB2312"/>
          <w:b w:val="0"/>
          <w:bCs w:val="0"/>
          <w:i w:val="0"/>
          <w:caps w:val="0"/>
          <w:color w:val="auto"/>
          <w:spacing w:val="0"/>
          <w:kern w:val="2"/>
          <w:sz w:val="32"/>
          <w:szCs w:val="32"/>
          <w:shd w:val="clear" w:color="auto" w:fill="auto"/>
          <w:lang w:val="en-US" w:eastAsia="zh-CN" w:bidi="ar-SA"/>
        </w:rPr>
      </w:pPr>
      <w:r>
        <w:rPr>
          <w:rFonts w:hint="eastAsia" w:ascii="仿宋_GB2312" w:hAnsi="仿宋_GB2312" w:eastAsia="仿宋_GB2312" w:cs="仿宋_GB2312"/>
          <w:b/>
          <w:bCs/>
          <w:i w:val="0"/>
          <w:caps w:val="0"/>
          <w:color w:val="000000"/>
          <w:spacing w:val="0"/>
          <w:kern w:val="0"/>
          <w:sz w:val="32"/>
          <w:szCs w:val="32"/>
          <w:lang w:val="en-US" w:eastAsia="zh-CN" w:bidi="ar-SA"/>
        </w:rPr>
        <w:t>二氧化硫残留量</w:t>
      </w:r>
      <w:r>
        <w:rPr>
          <w:rFonts w:hint="eastAsia" w:ascii="仿宋_GB2312" w:hAnsi="仿宋_GB2312" w:eastAsia="仿宋_GB2312" w:cs="仿宋_GB2312"/>
          <w:b/>
          <w:bCs/>
          <w:i w:val="0"/>
          <w:caps w:val="0"/>
          <w:color w:val="auto"/>
          <w:spacing w:val="0"/>
          <w:kern w:val="2"/>
          <w:sz w:val="32"/>
          <w:szCs w:val="32"/>
          <w:shd w:val="clear" w:color="auto" w:fill="auto"/>
          <w:lang w:val="en-US" w:eastAsia="zh-CN" w:bidi="ar-SA"/>
        </w:rPr>
        <w:t>：</w:t>
      </w:r>
      <w:r>
        <w:rPr>
          <w:rFonts w:hint="eastAsia" w:ascii="仿宋_GB2312" w:hAnsi="仿宋_GB2312" w:eastAsia="仿宋_GB2312" w:cs="仿宋_GB2312"/>
          <w:b w:val="0"/>
          <w:bCs w:val="0"/>
          <w:i w:val="0"/>
          <w:caps w:val="0"/>
          <w:color w:val="auto"/>
          <w:spacing w:val="0"/>
          <w:kern w:val="2"/>
          <w:sz w:val="32"/>
          <w:szCs w:val="32"/>
          <w:shd w:val="clear" w:color="auto" w:fill="auto"/>
          <w:lang w:val="en-US" w:eastAsia="zh-CN" w:bidi="ar-SA"/>
        </w:rPr>
        <w:t>二氧化硫、焦亚硫酸钾、焦亚硫酸钠、亚硫酸钠、亚硫酸氢钠、低亚硫酸钠食品添加剂对食品有漂白、防腐和抗氧化的作用，是食品加工中常用的漂白剂和防腐剂，使用后在食品中的残留量以二氧化硫计。《食品安全国家标准 食品添加剂使用标准》（GB 2760—2024）中规定，</w:t>
      </w:r>
      <w:r>
        <w:rPr>
          <w:rFonts w:hint="eastAsia" w:ascii="仿宋_GB2312" w:hAnsi="仿宋_GB2312" w:eastAsia="仿宋_GB2312" w:cs="仿宋_GB2312"/>
          <w:b w:val="0"/>
          <w:bCs w:val="0"/>
          <w:kern w:val="0"/>
          <w:sz w:val="32"/>
          <w:szCs w:val="32"/>
          <w:lang w:val="en-US" w:eastAsia="zh-CN" w:bidi="ar"/>
        </w:rPr>
        <w:t>经表面处理的鲜水果</w:t>
      </w:r>
      <w:r>
        <w:rPr>
          <w:rFonts w:hint="eastAsia" w:ascii="仿宋_GB2312" w:hAnsi="仿宋_GB2312" w:eastAsia="仿宋_GB2312" w:cs="仿宋_GB2312"/>
          <w:b w:val="0"/>
          <w:bCs w:val="0"/>
          <w:i w:val="0"/>
          <w:caps w:val="0"/>
          <w:color w:val="auto"/>
          <w:spacing w:val="0"/>
          <w:kern w:val="2"/>
          <w:sz w:val="32"/>
          <w:szCs w:val="32"/>
          <w:shd w:val="clear" w:color="auto" w:fill="auto"/>
          <w:lang w:val="en-US" w:eastAsia="zh-CN" w:bidi="ar-SA"/>
        </w:rPr>
        <w:t>中二氧化硫最大使用量为 0.05g/kg。造成二氧化硫残留量不合格的原因可能是生产企业为了改善产品色泽或延长保质期而超限量使用了二氧化硫所致，也可能是使用时未计量或计量不准所致。</w:t>
      </w:r>
    </w:p>
    <w:p w14:paraId="00DECC50">
      <w:pPr>
        <w:pStyle w:val="3"/>
        <w:widowControl/>
        <w:numPr>
          <w:ilvl w:val="0"/>
          <w:numId w:val="0"/>
        </w:numPr>
        <w:shd w:val="clear" w:color="auto" w:fill="auto"/>
        <w:spacing w:before="0" w:beforeAutospacing="0" w:after="0" w:afterAutospacing="0" w:line="480" w:lineRule="atLeast"/>
        <w:ind w:right="0" w:rightChars="0" w:firstLine="643" w:firstLineChars="200"/>
        <w:jc w:val="both"/>
        <w:rPr>
          <w:rFonts w:hint="eastAsia" w:ascii="仿宋_GB2312" w:hAnsi="仿宋_GB2312" w:eastAsia="仿宋_GB2312" w:cs="仿宋_GB2312"/>
          <w:b w:val="0"/>
          <w:bCs w:val="0"/>
          <w:color w:val="000000"/>
          <w:sz w:val="32"/>
          <w:szCs w:val="32"/>
          <w:u w:val="none" w:color="auto"/>
        </w:rPr>
      </w:pPr>
      <w:r>
        <w:rPr>
          <w:rFonts w:hint="eastAsia" w:ascii="仿宋_GB2312" w:hAnsi="仿宋_GB2312" w:eastAsia="仿宋_GB2312" w:cs="仿宋_GB2312"/>
          <w:b/>
          <w:bCs/>
          <w:color w:val="000000"/>
          <w:sz w:val="32"/>
          <w:szCs w:val="32"/>
          <w:u w:val="none" w:color="auto"/>
        </w:rPr>
        <w:t>大肠菌群</w:t>
      </w:r>
      <w:r>
        <w:rPr>
          <w:rFonts w:hint="eastAsia" w:ascii="仿宋_GB2312" w:hAnsi="仿宋_GB2312" w:eastAsia="仿宋_GB2312" w:cs="仿宋_GB2312"/>
          <w:b/>
          <w:bCs/>
          <w:color w:val="000000"/>
          <w:sz w:val="32"/>
          <w:szCs w:val="32"/>
          <w:u w:val="none" w:color="auto"/>
          <w:lang w:eastAsia="zh-CN"/>
        </w:rPr>
        <w:t>：</w:t>
      </w:r>
      <w:r>
        <w:rPr>
          <w:rFonts w:hint="eastAsia" w:ascii="仿宋_GB2312" w:hAnsi="仿宋_GB2312" w:eastAsia="仿宋_GB2312" w:cs="仿宋_GB2312"/>
          <w:b w:val="0"/>
          <w:bCs w:val="0"/>
          <w:color w:val="000000"/>
          <w:sz w:val="32"/>
          <w:szCs w:val="32"/>
          <w:u w:val="none" w:color="auto"/>
          <w:lang w:val="en-US" w:eastAsia="zh-CN"/>
        </w:rPr>
        <w:t>大肠菌群</w:t>
      </w:r>
      <w:r>
        <w:rPr>
          <w:rFonts w:hint="eastAsia" w:ascii="仿宋_GB2312" w:hAnsi="仿宋_GB2312" w:eastAsia="仿宋_GB2312" w:cs="仿宋_GB2312"/>
          <w:b w:val="0"/>
          <w:bCs w:val="0"/>
          <w:color w:val="000000"/>
          <w:sz w:val="32"/>
          <w:szCs w:val="32"/>
          <w:u w:val="none" w:color="auto"/>
        </w:rPr>
        <w:t>是国内外通用的食品污染常用指示菌之一。食品中检出大肠菌群，提示被致病菌（如沙门氏菌、志贺氏菌、致病性大肠杆菌）污染的可能性较大。使用存在大肠菌群的餐具可能会引起肠道外感染和急性腹泻等疾病。《食品安全国家标准 消毒餐（饮）具》（GB 14934-2016）中规定，消毒餐（饮）具中不得检出大肠菌群。餐饮具中检出大肠菌群的原因可能是餐具清洗不彻底，也可能是消毒餐具的消毒液未达到规定浓度，或者餐具干热消毒时未达到规定温度，又或者消毒时间未达到规定要求，或是操作人员或周围环境不清洁，造成餐饮具受二次污染所致。</w:t>
      </w:r>
    </w:p>
    <w:p w14:paraId="788381A3">
      <w:pPr>
        <w:numPr>
          <w:ilvl w:val="0"/>
          <w:numId w:val="0"/>
        </w:numPr>
        <w:ind w:firstLine="643"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咪鲜胺和咪鲜胺锰盐:</w:t>
      </w:r>
      <w:r>
        <w:rPr>
          <w:rFonts w:hint="eastAsia" w:ascii="仿宋_GB2312" w:hAnsi="仿宋_GB2312" w:eastAsia="仿宋_GB2312" w:cs="仿宋_GB2312"/>
          <w:b w:val="0"/>
          <w:bCs w:val="0"/>
          <w:sz w:val="32"/>
          <w:szCs w:val="32"/>
        </w:rPr>
        <w:t>咪鲜胺和咪鲜胺锰盐属于咪唑类杀菌剂，为广谱性杀菌剂，对大田作物、水果蔬菜上的多种病害具有治疗和铲除作用。《食品安全国家标准 食品中农药最大残留限量》(GB 2763-2021和 GB 2763-2026)中规定，咪鲜胺和咪鲜胺锰盐在山药中的最大残留限量为 0.3 mg/kg。咪鲜胺和咪鲜胺锰盐不合格的原因可能是为快速控制虫害,加大用药量或未遵守采摘间隔期规定,致使上市销售的产品中残留量超标。</w:t>
      </w:r>
    </w:p>
    <w:p w14:paraId="1BFFE143">
      <w:pPr>
        <w:numPr>
          <w:ilvl w:val="0"/>
          <w:numId w:val="0"/>
        </w:numPr>
        <w:ind w:firstLine="643" w:firstLineChars="200"/>
        <w:rPr>
          <w:rFonts w:hint="eastAsia" w:ascii="仿宋_GB2312" w:hAnsi="仿宋_GB2312" w:eastAsia="仿宋_GB2312" w:cs="仿宋_GB2312"/>
          <w:b w:val="0"/>
          <w:bCs w:val="0"/>
          <w:color w:val="000000"/>
          <w:kern w:val="0"/>
          <w:sz w:val="32"/>
          <w:szCs w:val="32"/>
          <w:u w:val="none" w:color="auto"/>
          <w:lang w:val="en-US" w:eastAsia="zh-CN" w:bidi="ar-SA"/>
        </w:rPr>
      </w:pPr>
      <w:r>
        <w:rPr>
          <w:rFonts w:hint="eastAsia" w:ascii="仿宋_GB2312" w:hAnsi="仿宋_GB2312" w:eastAsia="仿宋_GB2312" w:cs="仿宋_GB2312"/>
          <w:b/>
          <w:bCs/>
          <w:color w:val="000000"/>
          <w:kern w:val="0"/>
          <w:sz w:val="32"/>
          <w:szCs w:val="32"/>
          <w:u w:val="none" w:color="auto"/>
          <w:lang w:val="en-US" w:eastAsia="zh-CN" w:bidi="ar-SA"/>
        </w:rPr>
        <w:t>氨基酸态氮：</w:t>
      </w:r>
      <w:r>
        <w:rPr>
          <w:rFonts w:hint="eastAsia" w:ascii="仿宋_GB2312" w:hAnsi="仿宋_GB2312" w:eastAsia="仿宋_GB2312" w:cs="仿宋_GB2312"/>
          <w:b w:val="0"/>
          <w:bCs w:val="0"/>
          <w:sz w:val="32"/>
          <w:szCs w:val="32"/>
          <w:lang w:val="en-US" w:eastAsia="zh-CN"/>
        </w:rPr>
        <w:t>指蛋</w:t>
      </w:r>
      <w:r>
        <w:rPr>
          <w:rFonts w:hint="eastAsia" w:ascii="仿宋_GB2312" w:hAnsi="仿宋_GB2312" w:eastAsia="仿宋_GB2312" w:cs="仿宋_GB2312"/>
          <w:b w:val="0"/>
          <w:bCs w:val="0"/>
          <w:color w:val="000000"/>
          <w:kern w:val="0"/>
          <w:sz w:val="32"/>
          <w:szCs w:val="32"/>
          <w:u w:val="none" w:color="auto"/>
          <w:lang w:val="en-US" w:eastAsia="zh-CN" w:bidi="ar-SA"/>
        </w:rPr>
        <w:t>白质发酵后分解产生的游离氨基酸中的氮，直接体现发酵程度和原料利用率。酱油等发酵调味品的鲜味核心指标，含量越高通常鲜味越浓，等级也越高。依据《食品安全国家标准 酱油》（GB 2717-2018）中规定，酱油中氨基酸态氮含量不得低于0.40g/100ml，低于该限值即表明酱油不符合食品安全标准要求。对健康影响‌：适量摄入可补充氨基酸营养，但酱油含盐量高，日常仍需控制用量。</w:t>
      </w:r>
    </w:p>
    <w:p w14:paraId="398E2722">
      <w:pPr>
        <w:numPr>
          <w:ilvl w:val="0"/>
          <w:numId w:val="0"/>
        </w:numPr>
        <w:ind w:firstLine="643" w:firstLineChars="200"/>
        <w:rPr>
          <w:rFonts w:hint="eastAsia" w:ascii="仿宋_GB2312" w:hAnsi="仿宋_GB2312" w:eastAsia="仿宋_GB2312" w:cs="仿宋_GB2312"/>
          <w:b w:val="0"/>
          <w:bCs w:val="0"/>
          <w:color w:val="000000"/>
          <w:kern w:val="0"/>
          <w:sz w:val="32"/>
          <w:szCs w:val="32"/>
          <w:u w:val="none" w:color="auto"/>
          <w:lang w:val="en-US" w:eastAsia="zh-CN" w:bidi="ar-SA"/>
        </w:rPr>
      </w:pPr>
      <w:r>
        <w:rPr>
          <w:rFonts w:hint="eastAsia" w:ascii="仿宋_GB2312" w:hAnsi="仿宋_GB2312" w:eastAsia="仿宋_GB2312" w:cs="仿宋_GB2312"/>
          <w:b/>
          <w:bCs/>
          <w:i w:val="0"/>
          <w:iCs w:val="0"/>
          <w:caps w:val="0"/>
          <w:color w:val="333333"/>
          <w:spacing w:val="0"/>
          <w:kern w:val="0"/>
          <w:sz w:val="32"/>
          <w:szCs w:val="32"/>
          <w:shd w:val="clear" w:color="auto" w:fill="FFFFFF"/>
          <w:lang w:val="en-US" w:eastAsia="zh-CN" w:bidi="ar"/>
        </w:rPr>
        <w:t xml:space="preserve">‌‌‌    </w:t>
      </w:r>
      <w:r>
        <w:rPr>
          <w:rFonts w:hint="eastAsia" w:ascii="仿宋_GB2312" w:hAnsi="仿宋_GB2312" w:eastAsia="仿宋_GB2312" w:cs="仿宋_GB2312"/>
          <w:b/>
          <w:bCs/>
          <w:kern w:val="0"/>
          <w:sz w:val="32"/>
          <w:szCs w:val="32"/>
          <w:lang w:val="en-US" w:eastAsia="zh-CN" w:bidi="ar"/>
        </w:rPr>
        <w:t>‌</w:t>
      </w:r>
      <w:r>
        <w:rPr>
          <w:rStyle w:val="6"/>
          <w:rFonts w:hint="eastAsia" w:ascii="仿宋_GB2312" w:hAnsi="仿宋_GB2312" w:eastAsia="仿宋_GB2312" w:cs="仿宋_GB2312"/>
          <w:b/>
          <w:bCs/>
          <w:kern w:val="0"/>
          <w:sz w:val="32"/>
          <w:szCs w:val="32"/>
          <w:lang w:val="en-US" w:eastAsia="zh-CN" w:bidi="ar"/>
        </w:rPr>
        <w:t>全氮（以氮计）：</w:t>
      </w:r>
      <w:r>
        <w:rPr>
          <w:rFonts w:hint="eastAsia" w:ascii="仿宋_GB2312" w:hAnsi="仿宋_GB2312" w:eastAsia="仿宋_GB2312" w:cs="仿宋_GB2312"/>
          <w:b w:val="0"/>
          <w:bCs w:val="0"/>
          <w:color w:val="000000"/>
          <w:kern w:val="0"/>
          <w:sz w:val="32"/>
          <w:szCs w:val="32"/>
          <w:u w:val="none" w:color="auto"/>
          <w:lang w:val="en-US" w:eastAsia="zh-CN" w:bidi="ar-SA"/>
        </w:rPr>
        <w:t>酱油里的‌全氮（以氮计）‌是衡量酿造品质的核心指标之一，简单说就是酱油里蛋白质、氨基酸、肽类等含氮物质的总量，它是评价酱油营养价值和质量等级的关键指标，直接反映酱油中蛋白质、氨基酸、肽等含量的高低，含量不足主要影响产品风味。《酿造酱油》（GB/T 18186-2000），不同等级酱油的全氮要求不同：‌三级高盐稀态发酵酱油‌：全氮（以氮计）≥ ‌0.80g/100mL。</w:t>
      </w:r>
    </w:p>
    <w:p w14:paraId="5F48E6AF">
      <w:pPr>
        <w:numPr>
          <w:ilvl w:val="0"/>
          <w:numId w:val="0"/>
        </w:numPr>
        <w:ind w:firstLine="640" w:firstLineChars="200"/>
        <w:rPr>
          <w:rFonts w:hint="eastAsia" w:ascii="仿宋_GB2312" w:hAnsi="仿宋_GB2312" w:eastAsia="仿宋_GB2312" w:cs="仿宋_GB2312"/>
          <w:b w:val="0"/>
          <w:bCs w:val="0"/>
          <w:color w:val="000000"/>
          <w:kern w:val="0"/>
          <w:sz w:val="32"/>
          <w:szCs w:val="32"/>
          <w:u w:val="none" w:color="auto"/>
          <w:lang w:val="en-US" w:eastAsia="zh-CN" w:bidi="ar-SA"/>
        </w:rPr>
      </w:pPr>
    </w:p>
    <w:p w14:paraId="1D2B340D">
      <w:pPr>
        <w:numPr>
          <w:ilvl w:val="0"/>
          <w:numId w:val="0"/>
        </w:numPr>
        <w:ind w:firstLine="640" w:firstLineChars="200"/>
        <w:rPr>
          <w:rFonts w:hint="eastAsia" w:ascii="仿宋_GB2312" w:hAnsi="仿宋_GB2312" w:eastAsia="仿宋_GB2312" w:cs="仿宋_GB2312"/>
          <w:b w:val="0"/>
          <w:bCs w:val="0"/>
          <w:color w:val="000000"/>
          <w:kern w:val="0"/>
          <w:sz w:val="32"/>
          <w:szCs w:val="32"/>
          <w:u w:val="none" w:color="auto"/>
          <w:lang w:val="en-US" w:eastAsia="zh-CN" w:bidi="ar-SA"/>
        </w:rPr>
      </w:pPr>
    </w:p>
    <w:p w14:paraId="47B85A9F">
      <w:pPr>
        <w:numPr>
          <w:ilvl w:val="0"/>
          <w:numId w:val="0"/>
        </w:numPr>
        <w:ind w:firstLine="640" w:firstLineChars="200"/>
        <w:rPr>
          <w:rFonts w:hint="eastAsia" w:ascii="仿宋_GB2312" w:hAnsi="仿宋_GB2312" w:eastAsia="仿宋_GB2312" w:cs="仿宋_GB2312"/>
          <w:b w:val="0"/>
          <w:bCs w:val="0"/>
          <w:color w:val="000000"/>
          <w:kern w:val="0"/>
          <w:sz w:val="32"/>
          <w:szCs w:val="32"/>
          <w:u w:val="none" w:color="auto"/>
          <w:lang w:val="en-US" w:eastAsia="zh-CN" w:bidi="ar-SA"/>
        </w:rPr>
      </w:pPr>
      <w:r>
        <w:rPr>
          <w:rFonts w:hint="eastAsia" w:ascii="仿宋_GB2312" w:hAnsi="仿宋_GB2312" w:eastAsia="仿宋_GB2312" w:cs="仿宋_GB2312"/>
          <w:b w:val="0"/>
          <w:bCs w:val="0"/>
          <w:color w:val="000000"/>
          <w:kern w:val="0"/>
          <w:sz w:val="32"/>
          <w:szCs w:val="32"/>
          <w:u w:val="none" w:color="auto"/>
          <w:lang w:val="en-US" w:eastAsia="zh-CN" w:bidi="ar-SA"/>
        </w:rPr>
        <w:t>‌‌</w:t>
      </w:r>
    </w:p>
    <w:p w14:paraId="1607CED6">
      <w:pPr>
        <w:numPr>
          <w:ilvl w:val="0"/>
          <w:numId w:val="0"/>
        </w:numPr>
        <w:ind w:firstLine="640" w:firstLineChars="200"/>
        <w:rPr>
          <w:rFonts w:hint="eastAsia" w:ascii="仿宋_GB2312" w:hAnsi="仿宋_GB2312" w:eastAsia="仿宋_GB2312" w:cs="仿宋_GB2312"/>
          <w:b w:val="0"/>
          <w:bCs w:val="0"/>
          <w:color w:val="000000"/>
          <w:kern w:val="0"/>
          <w:sz w:val="32"/>
          <w:szCs w:val="32"/>
          <w:u w:val="none" w:color="auto"/>
          <w:lang w:val="en-US" w:eastAsia="zh-CN" w:bidi="ar-S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方正小标宋简体">
    <w:altName w:val="黑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 w:name="KSOF29153A75">
    <w:panose1 w:val="020B0502040204020203"/>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EF46AE"/>
    <w:rsid w:val="3EEF46AE"/>
    <w:rsid w:val="4D5E1FC2"/>
    <w:rsid w:val="67EFF236"/>
    <w:rsid w:val="73FA94FE"/>
    <w:rsid w:val="77D9D19C"/>
    <w:rsid w:val="79BE23FA"/>
    <w:rsid w:val="DF6FD0CB"/>
    <w:rsid w:val="F9F72CCE"/>
    <w:rsid w:val="FB396CC6"/>
    <w:rsid w:val="FDE84565"/>
    <w:rsid w:val="FF7248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toc 1"/>
    <w:basedOn w:val="1"/>
    <w:next w:val="1"/>
    <w:qFormat/>
    <w:uiPriority w:val="0"/>
  </w:style>
  <w:style w:type="paragraph" w:styleId="3">
    <w:name w:val="Normal (Web)"/>
    <w:basedOn w:val="1"/>
    <w:unhideWhenUsed/>
    <w:qFormat/>
    <w:uiPriority w:val="99"/>
    <w:pPr>
      <w:spacing w:before="100" w:beforeLines="0" w:beforeAutospacing="1" w:after="100" w:afterLines="0" w:afterAutospacing="1"/>
      <w:ind w:left="0" w:right="0"/>
      <w:jc w:val="left"/>
    </w:pPr>
    <w:rPr>
      <w:color w:val="CC0000"/>
      <w:kern w:val="0"/>
      <w:sz w:val="24"/>
      <w:u w:val="single"/>
      <w:lang w:val="en-US" w:eastAsia="zh-CN" w:bidi="ar-SA"/>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1111</Words>
  <Characters>1220</Characters>
  <Lines>0</Lines>
  <Paragraphs>0</Paragraphs>
  <TotalTime>8.33333333333333</TotalTime>
  <ScaleCrop>false</ScaleCrop>
  <LinksUpToDate>false</LinksUpToDate>
  <CharactersWithSpaces>1243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2026-10-12T19:02:00Z</dcterms:created>
  <dc:creator>user</dc:creator>
  <cp:lastModifiedBy>刘长贤</cp:lastModifiedBy>
  <cp:lastPrinted>2026-10-13T08:51:20Z</cp:lastPrinted>
  <dcterms:modified xsi:type="dcterms:W3CDTF">2026-10-14T07:49:01Z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437FA5E41D2E49B49D51FE7532539EA5_13</vt:lpwstr>
  </property>
</Properties>
</file>