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65897E">
      <w:pPr>
        <w:ind w:firstLine="720"/>
        <w:rPr>
          <w:rFonts w:hint="default" w:ascii="Times New Roman" w:hAnsi="Times New Roman" w:eastAsia="宋体" w:cs="Times New Roman"/>
          <w:color w:val="auto"/>
          <w:sz w:val="36"/>
          <w:szCs w:val="36"/>
          <w:highlight w:val="none"/>
          <w:lang w:val="en-US" w:eastAsia="zh-CN"/>
        </w:rPr>
      </w:pPr>
      <w:bookmarkStart w:id="0" w:name="_Hlk57883707"/>
    </w:p>
    <w:p w14:paraId="0A534150">
      <w:pPr>
        <w:ind w:firstLine="720"/>
        <w:rPr>
          <w:rFonts w:hint="default" w:ascii="Times New Roman" w:hAnsi="Times New Roman" w:cs="Times New Roman"/>
          <w:color w:val="auto"/>
          <w:sz w:val="36"/>
          <w:szCs w:val="36"/>
          <w:highlight w:val="none"/>
        </w:rPr>
      </w:pPr>
    </w:p>
    <w:p w14:paraId="5A828548">
      <w:pPr>
        <w:ind w:firstLine="480"/>
        <w:rPr>
          <w:rFonts w:hint="default" w:ascii="Times New Roman" w:hAnsi="Times New Roman" w:cs="Times New Roman"/>
          <w:color w:val="auto"/>
          <w:highlight w:val="none"/>
        </w:rPr>
      </w:pPr>
    </w:p>
    <w:p w14:paraId="6A0B1519">
      <w:pPr>
        <w:pStyle w:val="52"/>
        <w:ind w:firstLine="210"/>
        <w:rPr>
          <w:rFonts w:hint="default" w:ascii="Times New Roman" w:hAnsi="Times New Roman" w:cs="Times New Roman"/>
          <w:color w:val="auto"/>
          <w:highlight w:val="none"/>
        </w:rPr>
      </w:pPr>
    </w:p>
    <w:p w14:paraId="3C0C9FD3">
      <w:pPr>
        <w:rPr>
          <w:rFonts w:hint="default" w:ascii="Times New Roman" w:hAnsi="Times New Roman" w:cs="Times New Roman"/>
          <w:color w:val="auto"/>
          <w:highlight w:val="none"/>
        </w:rPr>
      </w:pPr>
    </w:p>
    <w:p w14:paraId="37F89946">
      <w:pPr>
        <w:pStyle w:val="52"/>
        <w:rPr>
          <w:rFonts w:hint="default" w:ascii="Times New Roman" w:hAnsi="Times New Roman" w:cs="Times New Roman"/>
          <w:color w:val="auto"/>
          <w:highlight w:val="none"/>
        </w:rPr>
      </w:pPr>
    </w:p>
    <w:p w14:paraId="0FE9829B">
      <w:pPr>
        <w:ind w:firstLine="720"/>
        <w:rPr>
          <w:rFonts w:hint="default" w:ascii="Times New Roman" w:hAnsi="Times New Roman" w:cs="Times New Roman"/>
          <w:color w:val="auto"/>
          <w:sz w:val="36"/>
          <w:szCs w:val="36"/>
          <w:highlight w:val="none"/>
        </w:rPr>
      </w:pPr>
    </w:p>
    <w:bookmarkEnd w:id="0"/>
    <w:p w14:paraId="72E00270">
      <w:pPr>
        <w:adjustRightInd w:val="0"/>
        <w:snapToGrid w:val="0"/>
        <w:jc w:val="center"/>
        <w:rPr>
          <w:rFonts w:hint="default" w:ascii="Times New Roman" w:hAnsi="Times New Roman" w:eastAsia="方正小标宋_GBK" w:cs="Times New Roman"/>
          <w:bCs/>
          <w:color w:val="auto"/>
          <w:sz w:val="72"/>
          <w:szCs w:val="72"/>
          <w:highlight w:val="none"/>
        </w:rPr>
      </w:pPr>
      <w:bookmarkStart w:id="1" w:name="_Toc68074316"/>
      <w:bookmarkStart w:id="2" w:name="_Toc68074658"/>
      <w:bookmarkStart w:id="3" w:name="_Toc68074381"/>
      <w:r>
        <w:rPr>
          <w:rFonts w:hint="default" w:ascii="Times New Roman" w:hAnsi="Times New Roman" w:eastAsia="方正小标宋_GBK" w:cs="Times New Roman"/>
          <w:bCs/>
          <w:color w:val="auto"/>
          <w:sz w:val="72"/>
          <w:szCs w:val="72"/>
          <w:highlight w:val="none"/>
        </w:rPr>
        <w:t>建设项目环境影响报告表</w:t>
      </w:r>
      <w:bookmarkEnd w:id="1"/>
      <w:bookmarkEnd w:id="2"/>
      <w:bookmarkEnd w:id="3"/>
    </w:p>
    <w:p w14:paraId="4D2D4ACA">
      <w:pPr>
        <w:adjustRightInd w:val="0"/>
        <w:snapToGrid w:val="0"/>
        <w:spacing w:before="192" w:beforeLines="80"/>
        <w:jc w:val="center"/>
        <w:rPr>
          <w:rFonts w:hint="default" w:ascii="Times New Roman" w:hAnsi="Times New Roman" w:eastAsia="楷体" w:cs="Times New Roman"/>
          <w:bCs/>
          <w:color w:val="auto"/>
          <w:sz w:val="48"/>
          <w:szCs w:val="48"/>
          <w:highlight w:val="none"/>
        </w:rPr>
      </w:pPr>
      <w:r>
        <w:rPr>
          <w:rFonts w:hint="default" w:ascii="Times New Roman" w:hAnsi="Times New Roman" w:eastAsia="楷体" w:cs="Times New Roman"/>
          <w:bCs/>
          <w:color w:val="auto"/>
          <w:sz w:val="48"/>
          <w:szCs w:val="48"/>
          <w:highlight w:val="none"/>
        </w:rPr>
        <w:t>（生态影响类）</w:t>
      </w:r>
    </w:p>
    <w:p w14:paraId="21B9E3D9">
      <w:pPr>
        <w:ind w:firstLine="880"/>
        <w:rPr>
          <w:rFonts w:hint="default" w:ascii="Times New Roman" w:hAnsi="Times New Roman" w:eastAsia="仿宋" w:cs="Times New Roman"/>
          <w:color w:val="auto"/>
          <w:sz w:val="44"/>
          <w:szCs w:val="44"/>
          <w:highlight w:val="none"/>
        </w:rPr>
      </w:pPr>
      <w:bookmarkStart w:id="4" w:name="_Hlk57883728"/>
    </w:p>
    <w:p w14:paraId="2A150049">
      <w:pPr>
        <w:ind w:firstLine="880"/>
        <w:rPr>
          <w:rFonts w:hint="default" w:ascii="Times New Roman" w:hAnsi="Times New Roman" w:eastAsia="仿宋" w:cs="Times New Roman"/>
          <w:color w:val="auto"/>
          <w:sz w:val="44"/>
          <w:szCs w:val="44"/>
          <w:highlight w:val="none"/>
        </w:rPr>
      </w:pPr>
    </w:p>
    <w:p w14:paraId="73856010">
      <w:pPr>
        <w:ind w:firstLine="880"/>
        <w:rPr>
          <w:rFonts w:hint="default" w:ascii="Times New Roman" w:hAnsi="Times New Roman" w:eastAsia="仿宋" w:cs="Times New Roman"/>
          <w:color w:val="auto"/>
          <w:sz w:val="44"/>
          <w:szCs w:val="44"/>
          <w:highlight w:val="none"/>
        </w:rPr>
      </w:pPr>
    </w:p>
    <w:p w14:paraId="79547205">
      <w:pPr>
        <w:ind w:firstLine="880"/>
        <w:rPr>
          <w:rFonts w:hint="default" w:ascii="Times New Roman" w:hAnsi="Times New Roman" w:eastAsia="仿宋" w:cs="Times New Roman"/>
          <w:color w:val="auto"/>
          <w:sz w:val="44"/>
          <w:szCs w:val="44"/>
          <w:highlight w:val="none"/>
        </w:rPr>
      </w:pPr>
    </w:p>
    <w:p w14:paraId="59A7B950">
      <w:pPr>
        <w:ind w:firstLine="880"/>
        <w:rPr>
          <w:rFonts w:hint="default" w:ascii="Times New Roman" w:hAnsi="Times New Roman" w:eastAsia="仿宋" w:cs="Times New Roman"/>
          <w:color w:val="auto"/>
          <w:sz w:val="44"/>
          <w:szCs w:val="44"/>
          <w:highlight w:val="none"/>
        </w:rPr>
      </w:pPr>
    </w:p>
    <w:p w14:paraId="149E7ED1">
      <w:pPr>
        <w:ind w:firstLine="880"/>
        <w:rPr>
          <w:rFonts w:hint="default" w:ascii="Times New Roman" w:hAnsi="Times New Roman" w:eastAsia="仿宋" w:cs="Times New Roman"/>
          <w:color w:val="auto"/>
          <w:sz w:val="44"/>
          <w:szCs w:val="44"/>
          <w:highlight w:val="none"/>
        </w:rPr>
      </w:pPr>
    </w:p>
    <w:p w14:paraId="34F2464A">
      <w:pPr>
        <w:ind w:firstLine="880"/>
        <w:rPr>
          <w:rFonts w:hint="default" w:ascii="Times New Roman" w:hAnsi="Times New Roman" w:eastAsia="仿宋" w:cs="Times New Roman"/>
          <w:color w:val="auto"/>
          <w:sz w:val="44"/>
          <w:szCs w:val="44"/>
          <w:highlight w:val="none"/>
        </w:rPr>
      </w:pPr>
    </w:p>
    <w:p w14:paraId="211622A2">
      <w:pPr>
        <w:ind w:firstLine="880"/>
        <w:rPr>
          <w:rFonts w:hint="default" w:ascii="Times New Roman" w:hAnsi="Times New Roman" w:eastAsia="仿宋" w:cs="Times New Roman"/>
          <w:color w:val="auto"/>
          <w:sz w:val="44"/>
          <w:szCs w:val="44"/>
          <w:highlight w:val="none"/>
        </w:rPr>
      </w:pPr>
    </w:p>
    <w:p w14:paraId="2523DD86">
      <w:pPr>
        <w:ind w:firstLine="880"/>
        <w:rPr>
          <w:rFonts w:hint="default" w:ascii="Times New Roman" w:hAnsi="Times New Roman" w:eastAsia="仿宋" w:cs="Times New Roman"/>
          <w:color w:val="auto"/>
          <w:sz w:val="44"/>
          <w:szCs w:val="44"/>
          <w:highlight w:val="none"/>
        </w:rPr>
      </w:pPr>
    </w:p>
    <w:bookmarkEnd w:id="4"/>
    <w:p w14:paraId="50261AF8">
      <w:pPr>
        <w:adjustRightInd w:val="0"/>
        <w:snapToGrid w:val="0"/>
        <w:spacing w:line="360" w:lineRule="auto"/>
        <w:rPr>
          <w:rFonts w:hint="default" w:ascii="Times New Roman" w:hAnsi="Times New Roman" w:eastAsia="仿宋" w:cs="Times New Roman"/>
          <w:color w:val="auto"/>
          <w:sz w:val="32"/>
          <w:szCs w:val="36"/>
          <w:highlight w:val="none"/>
          <w:u w:val="single"/>
        </w:rPr>
      </w:pPr>
      <w:r>
        <w:rPr>
          <w:rFonts w:hint="default" w:ascii="Times New Roman" w:hAnsi="Times New Roman" w:eastAsia="仿宋" w:cs="Times New Roman"/>
          <w:color w:val="auto"/>
          <w:sz w:val="32"/>
          <w:szCs w:val="36"/>
          <w:highlight w:val="none"/>
        </w:rPr>
        <w:t>项目名称</w:t>
      </w:r>
      <w:r>
        <w:rPr>
          <w:rFonts w:hint="default" w:ascii="Times New Roman" w:hAnsi="Times New Roman" w:eastAsia="仿宋" w:cs="Times New Roman"/>
          <w:color w:val="auto"/>
          <w:sz w:val="32"/>
          <w:szCs w:val="36"/>
          <w:highlight w:val="none"/>
          <w:lang w:eastAsia="zh-CN"/>
        </w:rPr>
        <w:t>:</w:t>
      </w:r>
      <w:r>
        <w:rPr>
          <w:rFonts w:hint="eastAsia" w:eastAsia="仿宋" w:cs="Times New Roman"/>
          <w:color w:val="auto"/>
          <w:sz w:val="32"/>
          <w:szCs w:val="36"/>
          <w:highlight w:val="none"/>
          <w:u w:val="single"/>
          <w:lang w:eastAsia="zh-CN"/>
        </w:rPr>
        <w:t>庆安县格木克河改道项目</w:t>
      </w:r>
      <w:r>
        <w:rPr>
          <w:rFonts w:hint="default" w:ascii="Times New Roman" w:hAnsi="Times New Roman" w:eastAsia="仿宋" w:cs="Times New Roman"/>
          <w:color w:val="auto"/>
          <w:sz w:val="32"/>
          <w:szCs w:val="36"/>
          <w:highlight w:val="none"/>
          <w:u w:val="single"/>
        </w:rPr>
        <w:t xml:space="preserve">     </w:t>
      </w:r>
    </w:p>
    <w:p w14:paraId="3E843C8B">
      <w:pPr>
        <w:adjustRightInd w:val="0"/>
        <w:snapToGrid w:val="0"/>
        <w:spacing w:line="360" w:lineRule="auto"/>
        <w:rPr>
          <w:rFonts w:hint="eastAsia" w:eastAsia="仿宋" w:cs="Times New Roman"/>
          <w:color w:val="auto"/>
          <w:sz w:val="32"/>
          <w:szCs w:val="36"/>
          <w:highlight w:val="none"/>
          <w:u w:val="single"/>
          <w:lang w:eastAsia="zh-CN"/>
        </w:rPr>
      </w:pPr>
      <w:r>
        <w:rPr>
          <w:rFonts w:hint="default" w:ascii="Times New Roman" w:hAnsi="Times New Roman" w:eastAsia="仿宋" w:cs="Times New Roman"/>
          <w:color w:val="auto"/>
          <w:sz w:val="32"/>
          <w:szCs w:val="36"/>
          <w:highlight w:val="none"/>
        </w:rPr>
        <w:t>建设单位</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rPr>
        <w:t>盖章</w:t>
      </w:r>
      <w:r>
        <w:rPr>
          <w:rFonts w:hint="default" w:ascii="Times New Roman" w:hAnsi="Times New Roman" w:eastAsia="仿宋" w:cs="Times New Roman"/>
          <w:color w:val="auto"/>
          <w:sz w:val="32"/>
          <w:szCs w:val="36"/>
          <w:highlight w:val="none"/>
          <w:lang w:eastAsia="zh-CN"/>
        </w:rPr>
        <w:t>）:</w:t>
      </w:r>
      <w:r>
        <w:rPr>
          <w:rFonts w:hint="eastAsia" w:eastAsia="仿宋" w:cs="Times New Roman"/>
          <w:color w:val="auto"/>
          <w:sz w:val="32"/>
          <w:szCs w:val="36"/>
          <w:highlight w:val="none"/>
          <w:u w:val="single"/>
          <w:lang w:eastAsia="zh-CN"/>
        </w:rPr>
        <w:t>庆安县中小型水利工程建设管理中心</w:t>
      </w:r>
    </w:p>
    <w:p w14:paraId="13A59D3C">
      <w:pPr>
        <w:adjustRightInd w:val="0"/>
        <w:snapToGrid w:val="0"/>
        <w:spacing w:line="360" w:lineRule="auto"/>
        <w:rPr>
          <w:rFonts w:hint="default" w:ascii="Times New Roman" w:hAnsi="Times New Roman" w:eastAsia="仿宋" w:cs="Times New Roman"/>
          <w:color w:val="auto"/>
          <w:sz w:val="32"/>
          <w:szCs w:val="36"/>
          <w:highlight w:val="none"/>
          <w:u w:val="single"/>
        </w:rPr>
      </w:pPr>
      <w:r>
        <w:rPr>
          <w:rFonts w:hint="default" w:ascii="Times New Roman" w:hAnsi="Times New Roman" w:eastAsia="仿宋" w:cs="Times New Roman"/>
          <w:color w:val="auto"/>
          <w:sz w:val="32"/>
          <w:szCs w:val="36"/>
          <w:highlight w:val="none"/>
        </w:rPr>
        <w:t>编制日期</w:t>
      </w:r>
      <w:r>
        <w:rPr>
          <w:rFonts w:hint="default" w:ascii="Times New Roman" w:hAnsi="Times New Roman" w:eastAsia="仿宋" w:cs="Times New Roman"/>
          <w:color w:val="auto"/>
          <w:sz w:val="32"/>
          <w:szCs w:val="36"/>
          <w:highlight w:val="none"/>
          <w:lang w:eastAsia="zh-CN"/>
        </w:rPr>
        <w:t>:</w:t>
      </w:r>
      <w:r>
        <w:rPr>
          <w:rFonts w:hint="default" w:ascii="Times New Roman" w:hAnsi="Times New Roman" w:eastAsia="仿宋" w:cs="Times New Roman"/>
          <w:color w:val="auto"/>
          <w:sz w:val="32"/>
          <w:szCs w:val="36"/>
          <w:highlight w:val="none"/>
          <w:u w:val="single"/>
        </w:rPr>
        <w:t xml:space="preserve">           202</w:t>
      </w:r>
      <w:r>
        <w:rPr>
          <w:rFonts w:hint="default" w:ascii="Times New Roman" w:hAnsi="Times New Roman" w:eastAsia="仿宋" w:cs="Times New Roman"/>
          <w:color w:val="auto"/>
          <w:sz w:val="32"/>
          <w:szCs w:val="36"/>
          <w:highlight w:val="none"/>
          <w:u w:val="single"/>
          <w:lang w:val="en-US" w:eastAsia="zh-CN"/>
        </w:rPr>
        <w:t>6</w:t>
      </w:r>
      <w:r>
        <w:rPr>
          <w:rFonts w:hint="default" w:ascii="Times New Roman" w:hAnsi="Times New Roman" w:eastAsia="仿宋" w:cs="Times New Roman"/>
          <w:color w:val="auto"/>
          <w:sz w:val="32"/>
          <w:szCs w:val="36"/>
          <w:highlight w:val="none"/>
          <w:u w:val="single"/>
        </w:rPr>
        <w:t>年</w:t>
      </w:r>
      <w:r>
        <w:rPr>
          <w:rFonts w:hint="eastAsia" w:eastAsia="仿宋" w:cs="Times New Roman"/>
          <w:color w:val="auto"/>
          <w:sz w:val="32"/>
          <w:szCs w:val="36"/>
          <w:highlight w:val="none"/>
          <w:u w:val="single"/>
          <w:lang w:val="en-US" w:eastAsia="zh-CN"/>
        </w:rPr>
        <w:t>7</w:t>
      </w:r>
      <w:r>
        <w:rPr>
          <w:rFonts w:hint="default" w:ascii="Times New Roman" w:hAnsi="Times New Roman" w:eastAsia="仿宋" w:cs="Times New Roman"/>
          <w:color w:val="auto"/>
          <w:sz w:val="32"/>
          <w:szCs w:val="36"/>
          <w:highlight w:val="none"/>
          <w:u w:val="single"/>
        </w:rPr>
        <w:t xml:space="preserve">月             </w:t>
      </w:r>
    </w:p>
    <w:p w14:paraId="32450B0F">
      <w:pPr>
        <w:adjustRightInd w:val="0"/>
        <w:snapToGrid w:val="0"/>
        <w:spacing w:line="360" w:lineRule="auto"/>
        <w:ind w:firstLine="720" w:firstLineChars="200"/>
        <w:rPr>
          <w:rFonts w:hint="default" w:ascii="Times New Roman" w:hAnsi="Times New Roman" w:cs="Times New Roman"/>
          <w:color w:val="auto"/>
          <w:sz w:val="36"/>
          <w:szCs w:val="36"/>
          <w:highlight w:val="none"/>
          <w:u w:val="single"/>
        </w:rPr>
      </w:pPr>
    </w:p>
    <w:p w14:paraId="43E3A218">
      <w:pPr>
        <w:adjustRightInd w:val="0"/>
        <w:snapToGrid w:val="0"/>
        <w:spacing w:line="288" w:lineRule="auto"/>
        <w:ind w:firstLine="720"/>
        <w:rPr>
          <w:rFonts w:hint="default" w:ascii="Times New Roman" w:hAnsi="Times New Roman" w:cs="Times New Roman"/>
          <w:color w:val="auto"/>
          <w:sz w:val="36"/>
          <w:szCs w:val="36"/>
          <w:highlight w:val="none"/>
        </w:rPr>
      </w:pPr>
    </w:p>
    <w:p w14:paraId="6617144A">
      <w:pPr>
        <w:adjustRightInd w:val="0"/>
        <w:snapToGrid w:val="0"/>
        <w:spacing w:line="288" w:lineRule="auto"/>
        <w:ind w:firstLine="720"/>
        <w:rPr>
          <w:rFonts w:hint="default" w:ascii="Times New Roman" w:hAnsi="Times New Roman" w:cs="Times New Roman"/>
          <w:color w:val="auto"/>
          <w:sz w:val="36"/>
          <w:szCs w:val="36"/>
          <w:highlight w:val="none"/>
        </w:rPr>
      </w:pPr>
    </w:p>
    <w:p w14:paraId="10726688">
      <w:pPr>
        <w:adjustRightInd w:val="0"/>
        <w:snapToGrid w:val="0"/>
        <w:spacing w:line="288" w:lineRule="auto"/>
        <w:ind w:firstLine="720"/>
        <w:jc w:val="center"/>
        <w:rPr>
          <w:rFonts w:hint="default" w:ascii="Times New Roman" w:hAnsi="Times New Roman" w:eastAsia="楷体" w:cs="Times New Roman"/>
          <w:color w:val="auto"/>
          <w:sz w:val="36"/>
          <w:szCs w:val="36"/>
          <w:highlight w:val="none"/>
        </w:rPr>
      </w:pPr>
      <w:r>
        <w:rPr>
          <w:rFonts w:hint="default" w:ascii="Times New Roman" w:hAnsi="Times New Roman" w:eastAsia="楷体" w:cs="Times New Roman"/>
          <w:color w:val="auto"/>
          <w:sz w:val="36"/>
          <w:szCs w:val="36"/>
          <w:highlight w:val="none"/>
        </w:rPr>
        <w:t>中华人民共和国生态环境部制</w:t>
      </w:r>
    </w:p>
    <w:p w14:paraId="31C73818">
      <w:pPr>
        <w:adjustRightInd w:val="0"/>
        <w:snapToGrid w:val="0"/>
        <w:spacing w:line="288" w:lineRule="auto"/>
        <w:rPr>
          <w:rFonts w:hint="default" w:ascii="Times New Roman" w:hAnsi="Times New Roman" w:cs="Times New Roman"/>
          <w:color w:val="auto"/>
          <w:sz w:val="36"/>
          <w:szCs w:val="36"/>
          <w:highlight w:val="none"/>
        </w:rPr>
      </w:pPr>
      <w:r>
        <w:rPr>
          <w:rFonts w:hint="default" w:ascii="Times New Roman" w:hAnsi="Times New Roman" w:cs="Times New Roman"/>
          <w:color w:val="auto"/>
          <w:sz w:val="36"/>
          <w:szCs w:val="36"/>
          <w:highlight w:val="none"/>
        </w:rPr>
        <w:br w:type="page"/>
      </w:r>
    </w:p>
    <w:p w14:paraId="7F584447">
      <w:pPr>
        <w:adjustRightInd w:val="0"/>
        <w:snapToGrid w:val="0"/>
        <w:spacing w:line="288" w:lineRule="auto"/>
        <w:jc w:val="both"/>
        <w:rPr>
          <w:rFonts w:hint="default" w:ascii="Times New Roman" w:hAnsi="Times New Roman" w:eastAsia="宋体" w:cs="Times New Roman"/>
          <w:color w:val="auto"/>
          <w:sz w:val="36"/>
          <w:szCs w:val="36"/>
          <w:highlight w:val="none"/>
          <w:lang w:eastAsia="zh-CN"/>
        </w:rPr>
      </w:pPr>
    </w:p>
    <w:p w14:paraId="1A26CC95">
      <w:pPr>
        <w:adjustRightInd w:val="0"/>
        <w:snapToGrid w:val="0"/>
        <w:spacing w:line="288" w:lineRule="auto"/>
        <w:jc w:val="both"/>
        <w:rPr>
          <w:rFonts w:hint="default" w:ascii="Times New Roman" w:hAnsi="Times New Roman" w:eastAsia="宋体" w:cs="Times New Roman"/>
          <w:color w:val="auto"/>
          <w:sz w:val="36"/>
          <w:szCs w:val="36"/>
          <w:highlight w:val="none"/>
          <w:lang w:eastAsia="zh-CN"/>
        </w:rPr>
        <w:sectPr>
          <w:footerReference r:id="rId3" w:type="even"/>
          <w:pgSz w:w="11906" w:h="16838"/>
          <w:pgMar w:top="1440" w:right="1800" w:bottom="1440" w:left="1800" w:header="851" w:footer="1077" w:gutter="0"/>
          <w:pgNumType w:start="1"/>
          <w:cols w:space="720" w:num="1"/>
          <w:docGrid w:linePitch="312" w:charSpace="0"/>
        </w:sectPr>
      </w:pPr>
    </w:p>
    <w:p w14:paraId="556D10B6">
      <w:pPr>
        <w:adjustRightInd w:val="0"/>
        <w:snapToGrid w:val="0"/>
        <w:spacing w:before="120" w:beforeLines="50" w:after="120" w:afterLines="50" w:line="600" w:lineRule="exact"/>
        <w:ind w:firstLine="723"/>
        <w:jc w:val="center"/>
        <w:rPr>
          <w:rFonts w:hint="default" w:ascii="Times New Roman" w:hAnsi="Times New Roman" w:cs="Times New Roman"/>
          <w:b/>
          <w:color w:val="auto"/>
          <w:sz w:val="36"/>
          <w:szCs w:val="30"/>
          <w:highlight w:val="none"/>
        </w:rPr>
      </w:pPr>
      <w:r>
        <w:rPr>
          <w:rFonts w:hint="default" w:ascii="Times New Roman" w:hAnsi="Times New Roman" w:cs="Times New Roman"/>
          <w:b/>
          <w:color w:val="auto"/>
          <w:sz w:val="36"/>
          <w:szCs w:val="30"/>
          <w:highlight w:val="none"/>
        </w:rPr>
        <w:t>目录</w:t>
      </w:r>
    </w:p>
    <w:sdt>
      <w:sdtPr>
        <w:rPr>
          <w:rFonts w:hint="default" w:ascii="Times New Roman" w:hAnsi="Times New Roman" w:eastAsia="宋体" w:cs="Times New Roman"/>
          <w:kern w:val="2"/>
          <w:sz w:val="21"/>
          <w:szCs w:val="24"/>
          <w:highlight w:val="none"/>
          <w:lang w:val="en-US" w:eastAsia="zh-CN" w:bidi="ar-SA"/>
        </w:rPr>
        <w:id w:val="147477517"/>
        <w15:color w:val="DBDBDB"/>
        <w:docPartObj>
          <w:docPartGallery w:val="Table of Contents"/>
          <w:docPartUnique/>
        </w:docPartObj>
      </w:sdtPr>
      <w:sdtEndPr>
        <w:rPr>
          <w:rFonts w:hint="default" w:ascii="Times New Roman" w:hAnsi="Times New Roman" w:eastAsia="黑体" w:cs="Times New Roman"/>
          <w:bCs/>
          <w:color w:val="auto"/>
          <w:kern w:val="2"/>
          <w:sz w:val="21"/>
          <w:szCs w:val="24"/>
          <w:highlight w:val="none"/>
          <w:lang w:val="en-US" w:eastAsia="zh-CN" w:bidi="ar-SA"/>
        </w:rPr>
      </w:sdtEndPr>
      <w:sdtContent>
        <w:p w14:paraId="704D0378">
          <w:pPr>
            <w:spacing w:before="0" w:beforeLines="0" w:after="0" w:afterLines="0" w:line="240" w:lineRule="auto"/>
            <w:ind w:left="0" w:leftChars="0" w:right="0" w:rightChars="0" w:firstLine="0" w:firstLineChars="0"/>
            <w:jc w:val="center"/>
            <w:rPr>
              <w:rFonts w:hint="default" w:ascii="Times New Roman" w:hAnsi="Times New Roman" w:cs="Times New Roman"/>
              <w:highlight w:val="none"/>
            </w:rPr>
          </w:pPr>
        </w:p>
        <w:p w14:paraId="0130ABDC">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highlight w:val="none"/>
            </w:rPr>
            <w:fldChar w:fldCharType="begin"/>
          </w:r>
          <w:r>
            <w:rPr>
              <w:rFonts w:hint="default" w:ascii="Times New Roman" w:hAnsi="Times New Roman" w:eastAsia="黑体" w:cs="Times New Roman"/>
              <w:bCs/>
              <w:color w:val="auto"/>
              <w:sz w:val="24"/>
              <w:highlight w:val="none"/>
            </w:rPr>
            <w:instrText xml:space="preserve">TOC \o "1-2" \h \u </w:instrText>
          </w:r>
          <w:r>
            <w:rPr>
              <w:rFonts w:hint="default" w:ascii="Times New Roman" w:hAnsi="Times New Roman" w:eastAsia="黑体" w:cs="Times New Roman"/>
              <w:bCs/>
              <w:color w:val="auto"/>
              <w:sz w:val="24"/>
              <w:highlight w:val="none"/>
            </w:rPr>
            <w:fldChar w:fldCharType="separate"/>
          </w: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_Toc13584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一、建设项目基本情况</w:t>
          </w:r>
          <w:r>
            <w:rPr>
              <w:sz w:val="24"/>
              <w:szCs w:val="24"/>
              <w:highlight w:val="none"/>
            </w:rPr>
            <w:tab/>
          </w:r>
          <w:r>
            <w:rPr>
              <w:sz w:val="24"/>
              <w:szCs w:val="24"/>
              <w:highlight w:val="none"/>
            </w:rPr>
            <w:fldChar w:fldCharType="begin"/>
          </w:r>
          <w:r>
            <w:rPr>
              <w:sz w:val="24"/>
              <w:szCs w:val="24"/>
              <w:highlight w:val="none"/>
            </w:rPr>
            <w:instrText xml:space="preserve"> PAGEREF _Toc13584 \h </w:instrText>
          </w:r>
          <w:r>
            <w:rPr>
              <w:sz w:val="24"/>
              <w:szCs w:val="24"/>
              <w:highlight w:val="none"/>
            </w:rPr>
            <w:fldChar w:fldCharType="separate"/>
          </w:r>
          <w:r>
            <w:rPr>
              <w:sz w:val="24"/>
              <w:szCs w:val="24"/>
              <w:highlight w:val="none"/>
            </w:rPr>
            <w:t>1</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3641D2A6">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_Toc16941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二、建设内容</w:t>
          </w:r>
          <w:r>
            <w:rPr>
              <w:sz w:val="24"/>
              <w:szCs w:val="24"/>
              <w:highlight w:val="none"/>
            </w:rPr>
            <w:tab/>
          </w:r>
          <w:r>
            <w:rPr>
              <w:sz w:val="24"/>
              <w:szCs w:val="24"/>
              <w:highlight w:val="none"/>
            </w:rPr>
            <w:fldChar w:fldCharType="begin"/>
          </w:r>
          <w:r>
            <w:rPr>
              <w:sz w:val="24"/>
              <w:szCs w:val="24"/>
              <w:highlight w:val="none"/>
            </w:rPr>
            <w:instrText xml:space="preserve"> PAGEREF _Toc16941 \h </w:instrText>
          </w:r>
          <w:r>
            <w:rPr>
              <w:sz w:val="24"/>
              <w:szCs w:val="24"/>
              <w:highlight w:val="none"/>
            </w:rPr>
            <w:fldChar w:fldCharType="separate"/>
          </w:r>
          <w:r>
            <w:rPr>
              <w:sz w:val="24"/>
              <w:szCs w:val="24"/>
              <w:highlight w:val="none"/>
            </w:rPr>
            <w:t>27</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70F91E98">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_Toc11927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三、生态环境现状、保护目标及评价标准</w:t>
          </w:r>
          <w:r>
            <w:rPr>
              <w:sz w:val="24"/>
              <w:szCs w:val="24"/>
              <w:highlight w:val="none"/>
            </w:rPr>
            <w:tab/>
          </w:r>
          <w:r>
            <w:rPr>
              <w:sz w:val="24"/>
              <w:szCs w:val="24"/>
              <w:highlight w:val="none"/>
            </w:rPr>
            <w:fldChar w:fldCharType="begin"/>
          </w:r>
          <w:r>
            <w:rPr>
              <w:sz w:val="24"/>
              <w:szCs w:val="24"/>
              <w:highlight w:val="none"/>
            </w:rPr>
            <w:instrText xml:space="preserve"> PAGEREF _Toc11927 \h </w:instrText>
          </w:r>
          <w:r>
            <w:rPr>
              <w:sz w:val="24"/>
              <w:szCs w:val="24"/>
              <w:highlight w:val="none"/>
            </w:rPr>
            <w:fldChar w:fldCharType="separate"/>
          </w:r>
          <w:r>
            <w:rPr>
              <w:sz w:val="24"/>
              <w:szCs w:val="24"/>
              <w:highlight w:val="none"/>
            </w:rPr>
            <w:t>38</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6F4A2F76">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_Toc28550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四、生态环境影响分析</w:t>
          </w:r>
          <w:r>
            <w:rPr>
              <w:sz w:val="24"/>
              <w:szCs w:val="24"/>
              <w:highlight w:val="none"/>
            </w:rPr>
            <w:tab/>
          </w:r>
          <w:r>
            <w:rPr>
              <w:sz w:val="24"/>
              <w:szCs w:val="24"/>
              <w:highlight w:val="none"/>
            </w:rPr>
            <w:fldChar w:fldCharType="begin"/>
          </w:r>
          <w:r>
            <w:rPr>
              <w:sz w:val="24"/>
              <w:szCs w:val="24"/>
              <w:highlight w:val="none"/>
            </w:rPr>
            <w:instrText xml:space="preserve"> PAGEREF _Toc28550 \h </w:instrText>
          </w:r>
          <w:r>
            <w:rPr>
              <w:sz w:val="24"/>
              <w:szCs w:val="24"/>
              <w:highlight w:val="none"/>
            </w:rPr>
            <w:fldChar w:fldCharType="separate"/>
          </w:r>
          <w:r>
            <w:rPr>
              <w:sz w:val="24"/>
              <w:szCs w:val="24"/>
              <w:highlight w:val="none"/>
            </w:rPr>
            <w:t>50</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0F571D66">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_Toc5607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五、主要生态环境保护措施</w:t>
          </w:r>
          <w:r>
            <w:rPr>
              <w:sz w:val="24"/>
              <w:szCs w:val="24"/>
              <w:highlight w:val="none"/>
            </w:rPr>
            <w:tab/>
          </w:r>
          <w:r>
            <w:rPr>
              <w:sz w:val="24"/>
              <w:szCs w:val="24"/>
              <w:highlight w:val="none"/>
            </w:rPr>
            <w:fldChar w:fldCharType="begin"/>
          </w:r>
          <w:r>
            <w:rPr>
              <w:sz w:val="24"/>
              <w:szCs w:val="24"/>
              <w:highlight w:val="none"/>
            </w:rPr>
            <w:instrText xml:space="preserve"> PAGEREF _Toc5607 \h </w:instrText>
          </w:r>
          <w:r>
            <w:rPr>
              <w:sz w:val="24"/>
              <w:szCs w:val="24"/>
              <w:highlight w:val="none"/>
            </w:rPr>
            <w:fldChar w:fldCharType="separate"/>
          </w:r>
          <w:r>
            <w:rPr>
              <w:sz w:val="24"/>
              <w:szCs w:val="24"/>
              <w:highlight w:val="none"/>
            </w:rPr>
            <w:t>71</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173F8CB1">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_Toc13352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六、生态环境保护措施监督检查清单</w:t>
          </w:r>
          <w:r>
            <w:rPr>
              <w:sz w:val="24"/>
              <w:szCs w:val="24"/>
              <w:highlight w:val="none"/>
            </w:rPr>
            <w:tab/>
          </w:r>
          <w:r>
            <w:rPr>
              <w:sz w:val="24"/>
              <w:szCs w:val="24"/>
              <w:highlight w:val="none"/>
            </w:rPr>
            <w:fldChar w:fldCharType="begin"/>
          </w:r>
          <w:r>
            <w:rPr>
              <w:sz w:val="24"/>
              <w:szCs w:val="24"/>
              <w:highlight w:val="none"/>
            </w:rPr>
            <w:instrText xml:space="preserve"> PAGEREF _Toc13352 \h </w:instrText>
          </w:r>
          <w:r>
            <w:rPr>
              <w:sz w:val="24"/>
              <w:szCs w:val="24"/>
              <w:highlight w:val="none"/>
            </w:rPr>
            <w:fldChar w:fldCharType="separate"/>
          </w:r>
          <w:r>
            <w:rPr>
              <w:sz w:val="24"/>
              <w:szCs w:val="24"/>
              <w:highlight w:val="none"/>
            </w:rPr>
            <w:t>86</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34441689">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_Toc32359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七、结论</w:t>
          </w:r>
          <w:r>
            <w:rPr>
              <w:sz w:val="24"/>
              <w:szCs w:val="24"/>
              <w:highlight w:val="none"/>
            </w:rPr>
            <w:tab/>
          </w:r>
          <w:r>
            <w:rPr>
              <w:sz w:val="24"/>
              <w:szCs w:val="24"/>
              <w:highlight w:val="none"/>
            </w:rPr>
            <w:fldChar w:fldCharType="begin"/>
          </w:r>
          <w:r>
            <w:rPr>
              <w:sz w:val="24"/>
              <w:szCs w:val="24"/>
              <w:highlight w:val="none"/>
            </w:rPr>
            <w:instrText xml:space="preserve"> PAGEREF _Toc32359 \h </w:instrText>
          </w:r>
          <w:r>
            <w:rPr>
              <w:sz w:val="24"/>
              <w:szCs w:val="24"/>
              <w:highlight w:val="none"/>
            </w:rPr>
            <w:fldChar w:fldCharType="separate"/>
          </w:r>
          <w:r>
            <w:rPr>
              <w:sz w:val="24"/>
              <w:szCs w:val="24"/>
              <w:highlight w:val="none"/>
            </w:rPr>
            <w:t>89</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4045D9ED">
          <w:pPr>
            <w:pStyle w:val="19"/>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_Toc25876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eastAsia="宋体" w:cs="Times New Roman"/>
              <w:sz w:val="24"/>
              <w:szCs w:val="24"/>
              <w:highlight w:val="none"/>
            </w:rPr>
            <w:t>附图</w:t>
          </w:r>
          <w:r>
            <w:rPr>
              <w:sz w:val="24"/>
              <w:szCs w:val="24"/>
              <w:highlight w:val="none"/>
            </w:rPr>
            <w:tab/>
          </w:r>
          <w:r>
            <w:rPr>
              <w:sz w:val="24"/>
              <w:szCs w:val="24"/>
              <w:highlight w:val="none"/>
            </w:rPr>
            <w:fldChar w:fldCharType="begin"/>
          </w:r>
          <w:r>
            <w:rPr>
              <w:sz w:val="24"/>
              <w:szCs w:val="24"/>
              <w:highlight w:val="none"/>
            </w:rPr>
            <w:instrText xml:space="preserve"> PAGEREF _Toc25876 \h </w:instrText>
          </w:r>
          <w:r>
            <w:rPr>
              <w:sz w:val="24"/>
              <w:szCs w:val="24"/>
              <w:highlight w:val="none"/>
            </w:rPr>
            <w:fldChar w:fldCharType="separate"/>
          </w:r>
          <w:r>
            <w:rPr>
              <w:sz w:val="24"/>
              <w:szCs w:val="24"/>
              <w:highlight w:val="none"/>
            </w:rPr>
            <w:t>90</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03EDAD73">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_Toc898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附图1</w:t>
          </w:r>
          <w:r>
            <w:rPr>
              <w:rFonts w:hint="default"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t>地理位置示意图</w:t>
          </w:r>
          <w:r>
            <w:rPr>
              <w:sz w:val="24"/>
              <w:szCs w:val="24"/>
              <w:highlight w:val="none"/>
            </w:rPr>
            <w:tab/>
          </w:r>
          <w:r>
            <w:rPr>
              <w:sz w:val="24"/>
              <w:szCs w:val="24"/>
              <w:highlight w:val="none"/>
            </w:rPr>
            <w:fldChar w:fldCharType="begin"/>
          </w:r>
          <w:r>
            <w:rPr>
              <w:sz w:val="24"/>
              <w:szCs w:val="24"/>
              <w:highlight w:val="none"/>
            </w:rPr>
            <w:instrText xml:space="preserve"> PAGEREF _Toc898 \h </w:instrText>
          </w:r>
          <w:r>
            <w:rPr>
              <w:sz w:val="24"/>
              <w:szCs w:val="24"/>
              <w:highlight w:val="none"/>
            </w:rPr>
            <w:fldChar w:fldCharType="separate"/>
          </w:r>
          <w:r>
            <w:rPr>
              <w:sz w:val="24"/>
              <w:szCs w:val="24"/>
              <w:highlight w:val="none"/>
            </w:rPr>
            <w:t>90</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76361EBF">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_Toc2250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附图2</w:t>
          </w:r>
          <w:r>
            <w:rPr>
              <w:rFonts w:hint="default" w:ascii="Times New Roman" w:hAnsi="Times New Roman" w:cs="Times New Roman"/>
              <w:sz w:val="24"/>
              <w:szCs w:val="24"/>
              <w:highlight w:val="none"/>
              <w:lang w:val="en-US" w:eastAsia="zh-CN"/>
            </w:rPr>
            <w:t xml:space="preserve">  </w:t>
          </w:r>
          <w:r>
            <w:rPr>
              <w:rFonts w:hint="eastAsia" w:cs="Times New Roman"/>
              <w:sz w:val="24"/>
              <w:szCs w:val="24"/>
              <w:highlight w:val="none"/>
              <w:lang w:val="en-US" w:eastAsia="zh-CN"/>
            </w:rPr>
            <w:t>周边关系</w:t>
          </w:r>
          <w:r>
            <w:rPr>
              <w:rFonts w:hint="default" w:ascii="Times New Roman" w:hAnsi="Times New Roman" w:cs="Times New Roman"/>
              <w:sz w:val="24"/>
              <w:szCs w:val="24"/>
              <w:highlight w:val="none"/>
            </w:rPr>
            <w:t>图</w:t>
          </w:r>
          <w:r>
            <w:rPr>
              <w:sz w:val="24"/>
              <w:szCs w:val="24"/>
              <w:highlight w:val="none"/>
            </w:rPr>
            <w:tab/>
          </w:r>
          <w:r>
            <w:rPr>
              <w:sz w:val="24"/>
              <w:szCs w:val="24"/>
              <w:highlight w:val="none"/>
            </w:rPr>
            <w:fldChar w:fldCharType="begin"/>
          </w:r>
          <w:r>
            <w:rPr>
              <w:sz w:val="24"/>
              <w:szCs w:val="24"/>
              <w:highlight w:val="none"/>
            </w:rPr>
            <w:instrText xml:space="preserve"> PAGEREF _Toc2250 \h </w:instrText>
          </w:r>
          <w:r>
            <w:rPr>
              <w:sz w:val="24"/>
              <w:szCs w:val="24"/>
              <w:highlight w:val="none"/>
            </w:rPr>
            <w:fldChar w:fldCharType="separate"/>
          </w:r>
          <w:r>
            <w:rPr>
              <w:sz w:val="24"/>
              <w:szCs w:val="24"/>
              <w:highlight w:val="none"/>
            </w:rPr>
            <w:t>91</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1CE62E02">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_Toc3953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3</w:t>
          </w:r>
          <w:r>
            <w:rPr>
              <w:rFonts w:hint="eastAsia" w:cs="Times New Roman"/>
              <w:bCs/>
              <w:sz w:val="24"/>
              <w:szCs w:val="24"/>
              <w:highlight w:val="none"/>
              <w:lang w:val="en-US" w:eastAsia="zh-CN"/>
            </w:rPr>
            <w:t xml:space="preserve"> </w:t>
          </w:r>
          <w:r>
            <w:rPr>
              <w:rFonts w:hint="default" w:ascii="Times New Roman" w:hAnsi="Times New Roman" w:cs="Times New Roman"/>
              <w:bCs/>
              <w:sz w:val="24"/>
              <w:szCs w:val="24"/>
              <w:highlight w:val="none"/>
            </w:rPr>
            <w:t>平面布置图</w:t>
          </w:r>
          <w:r>
            <w:rPr>
              <w:sz w:val="24"/>
              <w:szCs w:val="24"/>
              <w:highlight w:val="none"/>
            </w:rPr>
            <w:tab/>
          </w:r>
          <w:r>
            <w:rPr>
              <w:sz w:val="24"/>
              <w:szCs w:val="24"/>
              <w:highlight w:val="none"/>
            </w:rPr>
            <w:fldChar w:fldCharType="begin"/>
          </w:r>
          <w:r>
            <w:rPr>
              <w:sz w:val="24"/>
              <w:szCs w:val="24"/>
              <w:highlight w:val="none"/>
            </w:rPr>
            <w:instrText xml:space="preserve"> PAGEREF _Toc3953 \h </w:instrText>
          </w:r>
          <w:r>
            <w:rPr>
              <w:sz w:val="24"/>
              <w:szCs w:val="24"/>
              <w:highlight w:val="none"/>
            </w:rPr>
            <w:fldChar w:fldCharType="separate"/>
          </w:r>
          <w:r>
            <w:rPr>
              <w:sz w:val="24"/>
              <w:szCs w:val="24"/>
              <w:highlight w:val="none"/>
            </w:rPr>
            <w:t>92</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6FD5BCB3">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_Toc20334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eastAsia" w:ascii="Times New Roman" w:hAnsi="Times New Roman" w:cs="Times New Roman"/>
              <w:bCs/>
              <w:sz w:val="24"/>
              <w:szCs w:val="24"/>
              <w:highlight w:val="none"/>
              <w:lang w:val="en-US" w:eastAsia="zh-CN"/>
            </w:rPr>
            <w:t xml:space="preserve">4 </w:t>
          </w:r>
          <w:r>
            <w:rPr>
              <w:rFonts w:hint="default" w:ascii="Times New Roman" w:hAnsi="Times New Roman" w:cs="Times New Roman"/>
              <w:bCs/>
              <w:sz w:val="24"/>
              <w:szCs w:val="24"/>
              <w:highlight w:val="none"/>
              <w:lang w:val="en-US" w:eastAsia="zh-CN"/>
            </w:rPr>
            <w:t xml:space="preserve"> </w:t>
          </w:r>
          <w:r>
            <w:rPr>
              <w:rFonts w:hint="eastAsia" w:ascii="Times New Roman" w:hAnsi="Times New Roman" w:cs="Times New Roman"/>
              <w:bCs/>
              <w:sz w:val="24"/>
              <w:szCs w:val="24"/>
              <w:highlight w:val="none"/>
              <w:lang w:val="en-US" w:eastAsia="zh-CN"/>
            </w:rPr>
            <w:t>纵断面</w:t>
          </w:r>
          <w:r>
            <w:rPr>
              <w:rFonts w:hint="default" w:ascii="Times New Roman" w:hAnsi="Times New Roman" w:cs="Times New Roman"/>
              <w:bCs/>
              <w:sz w:val="24"/>
              <w:szCs w:val="24"/>
              <w:highlight w:val="none"/>
            </w:rPr>
            <w:t>图</w:t>
          </w:r>
          <w:r>
            <w:rPr>
              <w:sz w:val="24"/>
              <w:szCs w:val="24"/>
              <w:highlight w:val="none"/>
            </w:rPr>
            <w:tab/>
          </w:r>
          <w:r>
            <w:rPr>
              <w:sz w:val="24"/>
              <w:szCs w:val="24"/>
              <w:highlight w:val="none"/>
            </w:rPr>
            <w:fldChar w:fldCharType="begin"/>
          </w:r>
          <w:r>
            <w:rPr>
              <w:sz w:val="24"/>
              <w:szCs w:val="24"/>
              <w:highlight w:val="none"/>
            </w:rPr>
            <w:instrText xml:space="preserve"> PAGEREF _Toc20334 \h </w:instrText>
          </w:r>
          <w:r>
            <w:rPr>
              <w:sz w:val="24"/>
              <w:szCs w:val="24"/>
              <w:highlight w:val="none"/>
            </w:rPr>
            <w:fldChar w:fldCharType="separate"/>
          </w:r>
          <w:r>
            <w:rPr>
              <w:sz w:val="24"/>
              <w:szCs w:val="24"/>
              <w:highlight w:val="none"/>
            </w:rPr>
            <w:t>93</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00F7E4DC">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_Toc3406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bCs/>
              <w:sz w:val="24"/>
              <w:szCs w:val="24"/>
              <w:highlight w:val="none"/>
            </w:rPr>
            <w:t>附图</w:t>
          </w:r>
          <w:r>
            <w:rPr>
              <w:rFonts w:hint="eastAsia" w:ascii="Times New Roman" w:hAnsi="Times New Roman" w:cs="Times New Roman"/>
              <w:bCs/>
              <w:sz w:val="24"/>
              <w:szCs w:val="24"/>
              <w:highlight w:val="none"/>
              <w:lang w:val="en-US" w:eastAsia="zh-CN"/>
            </w:rPr>
            <w:t xml:space="preserve">5 </w:t>
          </w:r>
          <w:r>
            <w:rPr>
              <w:rFonts w:hint="default" w:ascii="Times New Roman" w:hAnsi="Times New Roman" w:cs="Times New Roman"/>
              <w:bCs/>
              <w:sz w:val="24"/>
              <w:szCs w:val="24"/>
              <w:highlight w:val="none"/>
              <w:lang w:val="en-US" w:eastAsia="zh-CN"/>
            </w:rPr>
            <w:t xml:space="preserve"> </w:t>
          </w:r>
          <w:r>
            <w:rPr>
              <w:rFonts w:hint="eastAsia" w:ascii="Times New Roman" w:hAnsi="Times New Roman" w:cs="Times New Roman"/>
              <w:bCs/>
              <w:sz w:val="24"/>
              <w:szCs w:val="24"/>
              <w:highlight w:val="none"/>
              <w:lang w:val="en-US" w:eastAsia="zh-CN"/>
            </w:rPr>
            <w:t>横断面</w:t>
          </w:r>
          <w:r>
            <w:rPr>
              <w:rFonts w:hint="default" w:ascii="Times New Roman" w:hAnsi="Times New Roman" w:cs="Times New Roman"/>
              <w:bCs/>
              <w:sz w:val="24"/>
              <w:szCs w:val="24"/>
              <w:highlight w:val="none"/>
            </w:rPr>
            <w:t>图</w:t>
          </w:r>
          <w:r>
            <w:rPr>
              <w:sz w:val="24"/>
              <w:szCs w:val="24"/>
              <w:highlight w:val="none"/>
            </w:rPr>
            <w:tab/>
          </w:r>
          <w:r>
            <w:rPr>
              <w:sz w:val="24"/>
              <w:szCs w:val="24"/>
              <w:highlight w:val="none"/>
            </w:rPr>
            <w:fldChar w:fldCharType="begin"/>
          </w:r>
          <w:r>
            <w:rPr>
              <w:sz w:val="24"/>
              <w:szCs w:val="24"/>
              <w:highlight w:val="none"/>
            </w:rPr>
            <w:instrText xml:space="preserve"> PAGEREF _Toc3406 \h </w:instrText>
          </w:r>
          <w:r>
            <w:rPr>
              <w:sz w:val="24"/>
              <w:szCs w:val="24"/>
              <w:highlight w:val="none"/>
            </w:rPr>
            <w:fldChar w:fldCharType="separate"/>
          </w:r>
          <w:r>
            <w:rPr>
              <w:sz w:val="24"/>
              <w:szCs w:val="24"/>
              <w:highlight w:val="none"/>
            </w:rPr>
            <w:t>94</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2AFF724E">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_Toc12454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w:t>
          </w:r>
          <w:r>
            <w:rPr>
              <w:rFonts w:hint="eastAsia" w:ascii="Times New Roman" w:hAnsi="Times New Roman" w:cs="Times New Roman"/>
              <w:sz w:val="24"/>
              <w:szCs w:val="24"/>
              <w:highlight w:val="none"/>
              <w:lang w:val="en-US" w:eastAsia="zh-CN"/>
            </w:rPr>
            <w:t xml:space="preserve">6 </w:t>
          </w:r>
          <w:r>
            <w:rPr>
              <w:rFonts w:hint="default" w:ascii="Times New Roman" w:hAnsi="Times New Roman" w:cs="Times New Roman"/>
              <w:sz w:val="24"/>
              <w:szCs w:val="24"/>
              <w:highlight w:val="none"/>
              <w:lang w:val="en-US" w:eastAsia="zh-CN"/>
            </w:rPr>
            <w:t xml:space="preserve"> 施工</w:t>
          </w:r>
          <w:r>
            <w:rPr>
              <w:rFonts w:hint="default" w:ascii="Times New Roman" w:hAnsi="Times New Roman" w:cs="Times New Roman"/>
              <w:sz w:val="24"/>
              <w:szCs w:val="24"/>
              <w:highlight w:val="none"/>
            </w:rPr>
            <w:t>平面布置图</w:t>
          </w:r>
          <w:r>
            <w:rPr>
              <w:sz w:val="24"/>
              <w:szCs w:val="24"/>
              <w:highlight w:val="none"/>
            </w:rPr>
            <w:tab/>
          </w:r>
          <w:r>
            <w:rPr>
              <w:sz w:val="24"/>
              <w:szCs w:val="24"/>
              <w:highlight w:val="none"/>
            </w:rPr>
            <w:fldChar w:fldCharType="begin"/>
          </w:r>
          <w:r>
            <w:rPr>
              <w:sz w:val="24"/>
              <w:szCs w:val="24"/>
              <w:highlight w:val="none"/>
            </w:rPr>
            <w:instrText xml:space="preserve"> PAGEREF _Toc12454 \h </w:instrText>
          </w:r>
          <w:r>
            <w:rPr>
              <w:sz w:val="24"/>
              <w:szCs w:val="24"/>
              <w:highlight w:val="none"/>
            </w:rPr>
            <w:fldChar w:fldCharType="separate"/>
          </w:r>
          <w:r>
            <w:rPr>
              <w:sz w:val="24"/>
              <w:szCs w:val="24"/>
              <w:highlight w:val="none"/>
            </w:rPr>
            <w:t>99</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3DDF6855">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_Toc3711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rPr>
            <w:t>附图</w:t>
          </w:r>
          <w:r>
            <w:rPr>
              <w:rFonts w:hint="eastAsia" w:ascii="Times New Roman" w:hAnsi="Times New Roman" w:cs="Times New Roman"/>
              <w:sz w:val="24"/>
              <w:szCs w:val="24"/>
              <w:highlight w:val="none"/>
              <w:lang w:val="en-US" w:eastAsia="zh-CN"/>
            </w:rPr>
            <w:t>7</w:t>
          </w:r>
          <w:r>
            <w:rPr>
              <w:rFonts w:hint="default" w:ascii="Times New Roman" w:hAnsi="Times New Roman" w:cs="Times New Roman"/>
              <w:sz w:val="24"/>
              <w:szCs w:val="24"/>
              <w:highlight w:val="none"/>
              <w:lang w:val="en-US" w:eastAsia="zh-CN"/>
            </w:rPr>
            <w:t xml:space="preserve">  施工生产生活区</w:t>
          </w:r>
          <w:r>
            <w:rPr>
              <w:sz w:val="24"/>
              <w:szCs w:val="24"/>
              <w:highlight w:val="none"/>
            </w:rPr>
            <w:tab/>
          </w:r>
          <w:r>
            <w:rPr>
              <w:sz w:val="24"/>
              <w:szCs w:val="24"/>
              <w:highlight w:val="none"/>
            </w:rPr>
            <w:fldChar w:fldCharType="begin"/>
          </w:r>
          <w:r>
            <w:rPr>
              <w:sz w:val="24"/>
              <w:szCs w:val="24"/>
              <w:highlight w:val="none"/>
            </w:rPr>
            <w:instrText xml:space="preserve"> PAGEREF _Toc3711 \h </w:instrText>
          </w:r>
          <w:r>
            <w:rPr>
              <w:sz w:val="24"/>
              <w:szCs w:val="24"/>
              <w:highlight w:val="none"/>
            </w:rPr>
            <w:fldChar w:fldCharType="separate"/>
          </w:r>
          <w:r>
            <w:rPr>
              <w:sz w:val="24"/>
              <w:szCs w:val="24"/>
              <w:highlight w:val="none"/>
            </w:rPr>
            <w:t>100</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41E36EAC">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_Toc24285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eastAsia"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lang w:val="en-US" w:eastAsia="zh-CN"/>
            </w:rPr>
            <w:t xml:space="preserve">  评价范围及环境保护目标分布图</w:t>
          </w:r>
          <w:r>
            <w:rPr>
              <w:sz w:val="24"/>
              <w:szCs w:val="24"/>
              <w:highlight w:val="none"/>
            </w:rPr>
            <w:tab/>
          </w:r>
          <w:r>
            <w:rPr>
              <w:sz w:val="24"/>
              <w:szCs w:val="24"/>
              <w:highlight w:val="none"/>
            </w:rPr>
            <w:fldChar w:fldCharType="begin"/>
          </w:r>
          <w:r>
            <w:rPr>
              <w:sz w:val="24"/>
              <w:szCs w:val="24"/>
              <w:highlight w:val="none"/>
            </w:rPr>
            <w:instrText xml:space="preserve"> PAGEREF _Toc24285 \h </w:instrText>
          </w:r>
          <w:r>
            <w:rPr>
              <w:sz w:val="24"/>
              <w:szCs w:val="24"/>
              <w:highlight w:val="none"/>
            </w:rPr>
            <w:fldChar w:fldCharType="separate"/>
          </w:r>
          <w:r>
            <w:rPr>
              <w:sz w:val="24"/>
              <w:szCs w:val="24"/>
              <w:highlight w:val="none"/>
            </w:rPr>
            <w:t>101</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37962E41">
          <w:pPr>
            <w:pStyle w:val="21"/>
            <w:tabs>
              <w:tab w:val="right" w:leader="dot" w:pos="8844"/>
            </w:tabs>
            <w:spacing w:line="360" w:lineRule="auto"/>
            <w:rPr>
              <w:sz w:val="24"/>
              <w:szCs w:val="24"/>
              <w:highlight w:val="none"/>
            </w:rPr>
          </w:pPr>
          <w:r>
            <w:rPr>
              <w:rFonts w:hint="default" w:ascii="Times New Roman" w:hAnsi="Times New Roman" w:eastAsia="黑体" w:cs="Times New Roman"/>
              <w:bCs/>
              <w:color w:val="auto"/>
              <w:sz w:val="24"/>
              <w:szCs w:val="24"/>
              <w:highlight w:val="none"/>
            </w:rPr>
            <w:fldChar w:fldCharType="begin"/>
          </w:r>
          <w:r>
            <w:rPr>
              <w:rFonts w:hint="default" w:ascii="Times New Roman" w:hAnsi="Times New Roman" w:eastAsia="黑体" w:cs="Times New Roman"/>
              <w:bCs/>
              <w:sz w:val="24"/>
              <w:szCs w:val="24"/>
              <w:highlight w:val="none"/>
            </w:rPr>
            <w:instrText xml:space="preserve"> HYPERLINK \l _Toc30797 </w:instrText>
          </w:r>
          <w:r>
            <w:rPr>
              <w:rFonts w:hint="default" w:ascii="Times New Roman" w:hAnsi="Times New Roman" w:eastAsia="黑体" w:cs="Times New Roman"/>
              <w:bCs/>
              <w:sz w:val="24"/>
              <w:szCs w:val="24"/>
              <w:highlight w:val="none"/>
            </w:rPr>
            <w:fldChar w:fldCharType="separate"/>
          </w:r>
          <w:r>
            <w:rPr>
              <w:rFonts w:hint="default" w:ascii="Times New Roman" w:hAnsi="Times New Roman" w:cs="Times New Roman"/>
              <w:sz w:val="24"/>
              <w:szCs w:val="24"/>
              <w:highlight w:val="none"/>
              <w:lang w:eastAsia="zh-CN"/>
            </w:rPr>
            <w:t>附图</w:t>
          </w: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lang w:eastAsia="zh-CN"/>
            </w:rPr>
            <w:t>工程所在流域水系图</w:t>
          </w:r>
          <w:r>
            <w:rPr>
              <w:sz w:val="24"/>
              <w:szCs w:val="24"/>
              <w:highlight w:val="none"/>
            </w:rPr>
            <w:tab/>
          </w:r>
          <w:r>
            <w:rPr>
              <w:sz w:val="24"/>
              <w:szCs w:val="24"/>
              <w:highlight w:val="none"/>
            </w:rPr>
            <w:fldChar w:fldCharType="begin"/>
          </w:r>
          <w:r>
            <w:rPr>
              <w:sz w:val="24"/>
              <w:szCs w:val="24"/>
              <w:highlight w:val="none"/>
            </w:rPr>
            <w:instrText xml:space="preserve"> PAGEREF _Toc30797 \h </w:instrText>
          </w:r>
          <w:r>
            <w:rPr>
              <w:sz w:val="24"/>
              <w:szCs w:val="24"/>
              <w:highlight w:val="none"/>
            </w:rPr>
            <w:fldChar w:fldCharType="separate"/>
          </w:r>
          <w:r>
            <w:rPr>
              <w:sz w:val="24"/>
              <w:szCs w:val="24"/>
              <w:highlight w:val="none"/>
            </w:rPr>
            <w:t>103</w:t>
          </w:r>
          <w:r>
            <w:rPr>
              <w:sz w:val="24"/>
              <w:szCs w:val="24"/>
              <w:highlight w:val="none"/>
            </w:rPr>
            <w:fldChar w:fldCharType="end"/>
          </w:r>
          <w:r>
            <w:rPr>
              <w:rFonts w:hint="default" w:ascii="Times New Roman" w:hAnsi="Times New Roman" w:eastAsia="黑体" w:cs="Times New Roman"/>
              <w:bCs/>
              <w:color w:val="auto"/>
              <w:sz w:val="24"/>
              <w:szCs w:val="24"/>
              <w:highlight w:val="none"/>
            </w:rPr>
            <w:fldChar w:fldCharType="end"/>
          </w:r>
        </w:p>
        <w:p w14:paraId="14A6F0DF">
          <w:pPr>
            <w:pStyle w:val="21"/>
            <w:tabs>
              <w:tab w:val="right" w:leader="dot" w:pos="8844"/>
            </w:tabs>
            <w:spacing w:line="360" w:lineRule="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_Toc14942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附图</w:t>
          </w:r>
          <w:r>
            <w:rPr>
              <w:rFonts w:hint="eastAsia"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lang w:val="en-US" w:eastAsia="zh-CN"/>
            </w:rPr>
            <w:t xml:space="preserve"> 典型生态措施分布图</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_Toc14942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104</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1CB0AD82">
          <w:pPr>
            <w:pStyle w:val="21"/>
            <w:tabs>
              <w:tab w:val="right" w:leader="dot" w:pos="8844"/>
            </w:tabs>
            <w:spacing w:line="360" w:lineRule="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_Toc14942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附图</w:t>
          </w:r>
          <w:r>
            <w:rPr>
              <w:rFonts w:hint="eastAsia" w:ascii="Times New Roman" w:hAnsi="Times New Roman" w:cs="Times New Roman"/>
              <w:sz w:val="24"/>
              <w:szCs w:val="24"/>
              <w:highlight w:val="none"/>
              <w:lang w:val="en-US" w:eastAsia="zh-CN"/>
            </w:rPr>
            <w:t>1</w:t>
          </w:r>
          <w:r>
            <w:rPr>
              <w:rFonts w:hint="eastAsia" w:cs="Times New Roman"/>
              <w:sz w:val="24"/>
              <w:szCs w:val="24"/>
              <w:highlight w:val="none"/>
              <w:lang w:val="en-US" w:eastAsia="zh-CN"/>
            </w:rPr>
            <w:t>1</w:t>
          </w:r>
          <w:r>
            <w:rPr>
              <w:rFonts w:hint="default" w:ascii="Times New Roman" w:hAnsi="Times New Roman" w:cs="Times New Roman"/>
              <w:sz w:val="24"/>
              <w:szCs w:val="24"/>
              <w:highlight w:val="none"/>
              <w:lang w:val="en-US" w:eastAsia="zh-CN"/>
            </w:rPr>
            <w:t xml:space="preserve"> 典型生态措施分布图</w:t>
          </w:r>
          <w:r>
            <w:rPr>
              <w:rFonts w:hint="eastAsia" w:cs="Times New Roman"/>
              <w:sz w:val="24"/>
              <w:szCs w:val="24"/>
              <w:highlight w:val="none"/>
              <w:lang w:val="en-US" w:eastAsia="zh-CN"/>
            </w:rPr>
            <w:t>（详图）</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_Toc14942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104</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592A0F84">
          <w:pPr>
            <w:pStyle w:val="21"/>
            <w:tabs>
              <w:tab w:val="right" w:leader="dot" w:pos="8844"/>
            </w:tabs>
            <w:spacing w:line="360" w:lineRule="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_Toc30977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附图1</w:t>
          </w:r>
          <w:r>
            <w:rPr>
              <w:rFonts w:hint="eastAsia" w:cs="Times New Roman"/>
              <w:sz w:val="24"/>
              <w:szCs w:val="24"/>
              <w:highlight w:val="none"/>
              <w:lang w:val="en-US" w:eastAsia="zh-CN"/>
            </w:rPr>
            <w:t>2</w:t>
          </w:r>
          <w:r>
            <w:rPr>
              <w:rFonts w:hint="default" w:ascii="Times New Roman" w:hAnsi="Times New Roman" w:cs="Times New Roman"/>
              <w:sz w:val="24"/>
              <w:szCs w:val="24"/>
              <w:highlight w:val="none"/>
              <w:lang w:val="en-US" w:eastAsia="zh-CN"/>
            </w:rPr>
            <w:t xml:space="preserve">  生态监测布点图</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_Toc30977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106</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102C1B11">
          <w:pPr>
            <w:pStyle w:val="21"/>
            <w:tabs>
              <w:tab w:val="right" w:leader="dot" w:pos="8844"/>
            </w:tabs>
            <w:spacing w:line="360" w:lineRule="auto"/>
            <w:ind w:left="0" w:leftChars="0" w:firstLine="0" w:firstLineChars="0"/>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_Toc19776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附件</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_Toc19776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107</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5337DA45">
          <w:pPr>
            <w:pStyle w:val="21"/>
            <w:tabs>
              <w:tab w:val="right" w:leader="dot" w:pos="8844"/>
            </w:tabs>
            <w:spacing w:line="360" w:lineRule="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_Toc1019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附件1 关于</w:t>
          </w:r>
          <w:r>
            <w:rPr>
              <w:rFonts w:hint="eastAsia" w:ascii="Times New Roman" w:hAnsi="Times New Roman" w:cs="Times New Roman"/>
              <w:sz w:val="24"/>
              <w:szCs w:val="24"/>
              <w:highlight w:val="none"/>
              <w:lang w:val="en-US" w:eastAsia="zh-CN"/>
            </w:rPr>
            <w:t>庆安县格木克河改道项目</w:t>
          </w:r>
          <w:r>
            <w:rPr>
              <w:rFonts w:hint="default" w:ascii="Times New Roman" w:hAnsi="Times New Roman" w:cs="Times New Roman"/>
              <w:sz w:val="24"/>
              <w:szCs w:val="24"/>
              <w:highlight w:val="none"/>
              <w:lang w:val="en-US" w:eastAsia="zh-CN"/>
            </w:rPr>
            <w:t>初步设计报告的批复</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_Toc1019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107</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2FF7AFCB">
          <w:pPr>
            <w:pStyle w:val="21"/>
            <w:tabs>
              <w:tab w:val="right" w:leader="dot" w:pos="8844"/>
            </w:tabs>
            <w:spacing w:line="360" w:lineRule="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HYPERLINK \l _Toc22934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附件</w:t>
          </w:r>
          <w:r>
            <w:rPr>
              <w:rFonts w:hint="eastAsia"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lang w:val="en-US" w:eastAsia="zh-CN"/>
            </w:rPr>
            <w:t xml:space="preserve"> 生态环境分区管控报告</w:t>
          </w:r>
          <w:r>
            <w:rPr>
              <w:rFonts w:hint="default" w:ascii="Times New Roman" w:hAnsi="Times New Roman" w:cs="Times New Roman"/>
              <w:sz w:val="24"/>
              <w:szCs w:val="24"/>
              <w:highlight w:val="none"/>
              <w:lang w:val="en-US" w:eastAsia="zh-CN"/>
            </w:rPr>
            <w:tab/>
          </w:r>
          <w:r>
            <w:rPr>
              <w:rFonts w:hint="default" w:ascii="Times New Roman" w:hAnsi="Times New Roman" w:cs="Times New Roman"/>
              <w:sz w:val="24"/>
              <w:szCs w:val="24"/>
              <w:highlight w:val="none"/>
              <w:lang w:val="en-US" w:eastAsia="zh-CN"/>
            </w:rPr>
            <w:fldChar w:fldCharType="begin"/>
          </w:r>
          <w:r>
            <w:rPr>
              <w:rFonts w:hint="default" w:ascii="Times New Roman" w:hAnsi="Times New Roman" w:cs="Times New Roman"/>
              <w:sz w:val="24"/>
              <w:szCs w:val="24"/>
              <w:highlight w:val="none"/>
              <w:lang w:val="en-US" w:eastAsia="zh-CN"/>
            </w:rPr>
            <w:instrText xml:space="preserve"> PAGEREF _Toc22934 \h </w:instrText>
          </w:r>
          <w:r>
            <w:rPr>
              <w:rFonts w:hint="default" w:ascii="Times New Roman" w:hAnsi="Times New Roman" w:cs="Times New Roman"/>
              <w:sz w:val="24"/>
              <w:szCs w:val="24"/>
              <w:highlight w:val="none"/>
              <w:lang w:val="en-US" w:eastAsia="zh-CN"/>
            </w:rPr>
            <w:fldChar w:fldCharType="separate"/>
          </w:r>
          <w:r>
            <w:rPr>
              <w:rFonts w:hint="default" w:ascii="Times New Roman" w:hAnsi="Times New Roman" w:cs="Times New Roman"/>
              <w:sz w:val="24"/>
              <w:szCs w:val="24"/>
              <w:highlight w:val="none"/>
              <w:lang w:val="en-US" w:eastAsia="zh-CN"/>
            </w:rPr>
            <w:t>109</w:t>
          </w:r>
          <w:r>
            <w:rPr>
              <w:rFonts w:hint="default" w:ascii="Times New Roman" w:hAnsi="Times New Roman" w:cs="Times New Roman"/>
              <w:sz w:val="24"/>
              <w:szCs w:val="24"/>
              <w:highlight w:val="none"/>
              <w:lang w:val="en-US" w:eastAsia="zh-CN"/>
            </w:rPr>
            <w:fldChar w:fldCharType="end"/>
          </w:r>
          <w:r>
            <w:rPr>
              <w:rFonts w:hint="default" w:ascii="Times New Roman" w:hAnsi="Times New Roman" w:cs="Times New Roman"/>
              <w:sz w:val="24"/>
              <w:szCs w:val="24"/>
              <w:highlight w:val="none"/>
              <w:lang w:val="en-US" w:eastAsia="zh-CN"/>
            </w:rPr>
            <w:fldChar w:fldCharType="end"/>
          </w:r>
        </w:p>
        <w:p w14:paraId="7848E6A3">
          <w:pPr>
            <w:adjustRightInd w:val="0"/>
            <w:snapToGrid w:val="0"/>
            <w:spacing w:before="120" w:beforeLines="50" w:after="120" w:afterLines="50" w:line="600" w:lineRule="exact"/>
            <w:ind w:firstLine="480"/>
            <w:jc w:val="center"/>
            <w:rPr>
              <w:rFonts w:hint="default" w:ascii="Times New Roman" w:hAnsi="Times New Roman" w:eastAsia="黑体" w:cs="Times New Roman"/>
              <w:bCs/>
              <w:color w:val="auto"/>
              <w:kern w:val="2"/>
              <w:sz w:val="21"/>
              <w:szCs w:val="24"/>
              <w:highlight w:val="none"/>
              <w:lang w:val="en-US" w:eastAsia="zh-CN" w:bidi="ar-SA"/>
            </w:rPr>
            <w:sectPr>
              <w:footerReference r:id="rId4" w:type="default"/>
              <w:pgSz w:w="11906" w:h="16838"/>
              <w:pgMar w:top="1701" w:right="1531" w:bottom="1701" w:left="1531" w:header="851" w:footer="1077" w:gutter="0"/>
              <w:pgNumType w:fmt="upperRoman" w:start="1"/>
              <w:cols w:space="720" w:num="1"/>
              <w:docGrid w:linePitch="312" w:charSpace="0"/>
            </w:sectPr>
          </w:pPr>
          <w:r>
            <w:rPr>
              <w:rFonts w:hint="default" w:ascii="Times New Roman" w:hAnsi="Times New Roman" w:eastAsia="黑体" w:cs="Times New Roman"/>
              <w:bCs/>
              <w:color w:val="auto"/>
              <w:highlight w:val="none"/>
            </w:rPr>
            <w:fldChar w:fldCharType="end"/>
          </w:r>
        </w:p>
      </w:sdtContent>
    </w:sdt>
    <w:p w14:paraId="4953ED78">
      <w:pPr>
        <w:pStyle w:val="34"/>
        <w:rPr>
          <w:rFonts w:hint="default" w:ascii="Times New Roman" w:hAnsi="Times New Roman" w:cs="Times New Roman"/>
          <w:highlight w:val="none"/>
        </w:rPr>
      </w:pPr>
    </w:p>
    <w:p w14:paraId="0C2AF76D">
      <w:pPr>
        <w:pStyle w:val="4"/>
        <w:bidi w:val="0"/>
        <w:jc w:val="center"/>
        <w:rPr>
          <w:rFonts w:hint="default" w:ascii="Times New Roman" w:hAnsi="Times New Roman" w:eastAsia="宋体" w:cs="Times New Roman"/>
          <w:highlight w:val="none"/>
        </w:rPr>
      </w:pPr>
      <w:bookmarkStart w:id="5" w:name="_Toc13584"/>
      <w:bookmarkStart w:id="6" w:name="_Toc27584"/>
      <w:r>
        <w:rPr>
          <w:rFonts w:hint="default" w:ascii="Times New Roman" w:hAnsi="Times New Roman" w:eastAsia="宋体" w:cs="Times New Roman"/>
          <w:highlight w:val="none"/>
        </w:rPr>
        <w:t>一、建设项目基本情况</w:t>
      </w:r>
      <w:bookmarkEnd w:id="5"/>
      <w:bookmarkEnd w:id="6"/>
    </w:p>
    <w:tbl>
      <w:tblPr>
        <w:tblStyle w:val="25"/>
        <w:tblW w:w="4985"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21"/>
        <w:gridCol w:w="1779"/>
        <w:gridCol w:w="1832"/>
        <w:gridCol w:w="4311"/>
      </w:tblGrid>
      <w:tr w14:paraId="59C48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8"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84D7B7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建设项目名称</w:t>
            </w:r>
          </w:p>
        </w:tc>
        <w:tc>
          <w:tcPr>
            <w:tcW w:w="4414" w:type="pct"/>
            <w:gridSpan w:val="3"/>
            <w:tcBorders>
              <w:top w:val="single" w:color="auto" w:sz="8" w:space="0"/>
              <w:left w:val="nil"/>
              <w:bottom w:val="single" w:color="auto" w:sz="4" w:space="0"/>
              <w:right w:val="single" w:color="auto" w:sz="8" w:space="0"/>
            </w:tcBorders>
            <w:noWrap w:val="0"/>
            <w:vAlign w:val="center"/>
          </w:tcPr>
          <w:p w14:paraId="652C35DC">
            <w:pPr>
              <w:adjustRightInd w:val="0"/>
              <w:snapToGrid w:val="0"/>
              <w:jc w:val="center"/>
              <w:rPr>
                <w:rFonts w:hint="default"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庆安县格木克河改道项目</w:t>
            </w:r>
          </w:p>
        </w:tc>
      </w:tr>
      <w:tr w14:paraId="2B2497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2AEB583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项目代码</w:t>
            </w:r>
          </w:p>
        </w:tc>
        <w:tc>
          <w:tcPr>
            <w:tcW w:w="4414" w:type="pct"/>
            <w:gridSpan w:val="3"/>
            <w:tcBorders>
              <w:top w:val="single" w:color="auto" w:sz="4" w:space="0"/>
              <w:left w:val="nil"/>
              <w:bottom w:val="single" w:color="auto" w:sz="4" w:space="0"/>
              <w:right w:val="single" w:color="auto" w:sz="8" w:space="0"/>
            </w:tcBorders>
            <w:noWrap w:val="0"/>
            <w:vAlign w:val="center"/>
          </w:tcPr>
          <w:p w14:paraId="22CC356D">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w:t>
            </w:r>
          </w:p>
        </w:tc>
      </w:tr>
      <w:tr w14:paraId="1BF41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8" w:space="0"/>
              <w:left w:val="single" w:color="auto" w:sz="8" w:space="0"/>
              <w:bottom w:val="single" w:color="auto" w:sz="8" w:space="0"/>
              <w:right w:val="single" w:color="auto" w:sz="4" w:space="0"/>
            </w:tcBorders>
            <w:noWrap w:val="0"/>
            <w:tcMar>
              <w:top w:w="16" w:type="dxa"/>
              <w:left w:w="16" w:type="dxa"/>
              <w:bottom w:w="0" w:type="dxa"/>
              <w:right w:w="16" w:type="dxa"/>
            </w:tcMar>
            <w:vAlign w:val="center"/>
          </w:tcPr>
          <w:p w14:paraId="21592179">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建设单位联系人</w:t>
            </w:r>
          </w:p>
        </w:tc>
        <w:tc>
          <w:tcPr>
            <w:tcW w:w="991" w:type="pct"/>
            <w:tcBorders>
              <w:top w:val="single" w:color="auto" w:sz="8" w:space="0"/>
              <w:left w:val="nil"/>
              <w:bottom w:val="single" w:color="auto" w:sz="8" w:space="0"/>
              <w:right w:val="single" w:color="auto" w:sz="4" w:space="0"/>
            </w:tcBorders>
            <w:noWrap w:val="0"/>
            <w:vAlign w:val="center"/>
          </w:tcPr>
          <w:p w14:paraId="669AFC3A">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杜军羽</w:t>
            </w:r>
          </w:p>
        </w:tc>
        <w:tc>
          <w:tcPr>
            <w:tcW w:w="1021" w:type="pct"/>
            <w:tcBorders>
              <w:top w:val="single" w:color="auto" w:sz="8" w:space="0"/>
              <w:left w:val="nil"/>
              <w:bottom w:val="single" w:color="auto" w:sz="8" w:space="0"/>
              <w:right w:val="single" w:color="auto" w:sz="4" w:space="0"/>
            </w:tcBorders>
            <w:noWrap w:val="0"/>
            <w:vAlign w:val="center"/>
          </w:tcPr>
          <w:p w14:paraId="2D3171F6">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2400" w:type="pct"/>
            <w:tcBorders>
              <w:top w:val="single" w:color="auto" w:sz="8" w:space="0"/>
              <w:left w:val="nil"/>
              <w:bottom w:val="single" w:color="auto" w:sz="8" w:space="0"/>
              <w:right w:val="single" w:color="auto" w:sz="8" w:space="0"/>
            </w:tcBorders>
            <w:noWrap w:val="0"/>
            <w:vAlign w:val="center"/>
          </w:tcPr>
          <w:p w14:paraId="6A79973E">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15636949678</w:t>
            </w:r>
          </w:p>
        </w:tc>
      </w:tr>
      <w:tr w14:paraId="05241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D12411D">
            <w:pPr>
              <w:adjustRightInd w:val="0"/>
              <w:snapToGrid w:val="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建设地点</w:t>
            </w:r>
          </w:p>
        </w:tc>
        <w:tc>
          <w:tcPr>
            <w:tcW w:w="4414" w:type="pct"/>
            <w:gridSpan w:val="3"/>
            <w:tcBorders>
              <w:top w:val="single" w:color="auto" w:sz="4" w:space="0"/>
              <w:left w:val="nil"/>
              <w:bottom w:val="single" w:color="auto" w:sz="4" w:space="0"/>
              <w:right w:val="single" w:color="auto" w:sz="8" w:space="0"/>
            </w:tcBorders>
            <w:noWrap w:val="0"/>
            <w:vAlign w:val="center"/>
          </w:tcPr>
          <w:p w14:paraId="4A9E4644">
            <w:pPr>
              <w:adjustRightInd w:val="0"/>
              <w:snapToGrid w:val="0"/>
              <w:jc w:val="center"/>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黑龙江省绥化市庆安县</w:t>
            </w:r>
          </w:p>
        </w:tc>
      </w:tr>
      <w:tr w14:paraId="60E9D0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E1183F4">
            <w:pPr>
              <w:adjustRightInd w:val="0"/>
              <w:snapToGrid w:val="0"/>
              <w:jc w:val="center"/>
              <w:rPr>
                <w:rFonts w:hint="default" w:ascii="Times New Roman" w:hAnsi="Times New Roman" w:eastAsia="宋体" w:cs="Times New Roman"/>
                <w:color w:val="auto"/>
                <w:sz w:val="24"/>
                <w:highlight w:val="none"/>
                <w:u w:val="none"/>
              </w:rPr>
            </w:pPr>
            <w:r>
              <w:rPr>
                <w:rFonts w:hint="default" w:ascii="Times New Roman" w:hAnsi="Times New Roman" w:eastAsia="宋体" w:cs="Times New Roman"/>
                <w:color w:val="auto"/>
                <w:sz w:val="24"/>
                <w:highlight w:val="none"/>
                <w:u w:val="none"/>
              </w:rPr>
              <w:t>地理坐标</w:t>
            </w:r>
          </w:p>
        </w:tc>
        <w:tc>
          <w:tcPr>
            <w:tcW w:w="4414" w:type="pct"/>
            <w:gridSpan w:val="3"/>
            <w:tcBorders>
              <w:top w:val="single" w:color="auto" w:sz="4" w:space="0"/>
              <w:left w:val="nil"/>
              <w:bottom w:val="single" w:color="auto" w:sz="4" w:space="0"/>
              <w:right w:val="single" w:color="auto" w:sz="8" w:space="0"/>
            </w:tcBorders>
            <w:noWrap w:val="0"/>
            <w:vAlign w:val="center"/>
          </w:tcPr>
          <w:p w14:paraId="538A45DA">
            <w:pPr>
              <w:numPr>
                <w:ilvl w:val="0"/>
                <w:numId w:val="0"/>
              </w:numPr>
              <w:adjustRightInd w:val="0"/>
              <w:snapToGrid w:val="0"/>
              <w:jc w:val="both"/>
              <w:rPr>
                <w:rFonts w:hint="default" w:ascii="Times New Roman" w:hAnsi="Times New Roman" w:eastAsia="宋体" w:cs="Times New Roman"/>
                <w:color w:val="auto"/>
                <w:highlight w:val="none"/>
                <w:u w:val="none"/>
                <w:lang w:val="en-US" w:eastAsia="zh-CN"/>
              </w:rPr>
            </w:pPr>
            <w:r>
              <w:rPr>
                <w:rFonts w:hint="eastAsia" w:cs="Times New Roman"/>
                <w:color w:val="auto"/>
                <w:sz w:val="24"/>
                <w:highlight w:val="none"/>
                <w:u w:val="none"/>
                <w:lang w:val="en-US" w:eastAsia="zh-CN"/>
              </w:rPr>
              <w:t>改道</w:t>
            </w:r>
            <w:r>
              <w:rPr>
                <w:rFonts w:hint="default" w:ascii="Times New Roman" w:hAnsi="Times New Roman" w:eastAsia="宋体" w:cs="Times New Roman"/>
                <w:color w:val="auto"/>
                <w:sz w:val="24"/>
                <w:highlight w:val="none"/>
                <w:u w:val="none"/>
              </w:rPr>
              <w:t>范围</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起点</w:t>
            </w:r>
            <w:r>
              <w:rPr>
                <w:rFonts w:hint="eastAsia" w:cs="Times New Roman"/>
                <w:color w:val="auto"/>
                <w:sz w:val="24"/>
                <w:highlight w:val="none"/>
                <w:u w:val="none"/>
                <w:lang w:val="en-US" w:eastAsia="zh-CN"/>
              </w:rPr>
              <w:t>坐标</w:t>
            </w:r>
            <w:r>
              <w:rPr>
                <w:rFonts w:hint="default" w:ascii="Times New Roman" w:hAnsi="Times New Roman" w:eastAsia="宋体" w:cs="Times New Roman"/>
                <w:color w:val="auto"/>
                <w:sz w:val="24"/>
                <w:highlight w:val="none"/>
                <w:u w:val="none"/>
              </w:rPr>
              <w:t>东经</w:t>
            </w:r>
            <w:r>
              <w:rPr>
                <w:rFonts w:hint="eastAsia" w:cs="Times New Roman"/>
                <w:color w:val="auto"/>
                <w:sz w:val="24"/>
                <w:highlight w:val="none"/>
                <w:u w:val="none"/>
                <w:lang w:val="en-US" w:eastAsia="zh-CN"/>
              </w:rPr>
              <w:t>127</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3</w:t>
            </w:r>
            <w:r>
              <w:rPr>
                <w:rFonts w:hint="default" w:ascii="Times New Roman" w:hAnsi="Times New Roman" w:eastAsia="宋体" w:cs="Times New Roman"/>
                <w:color w:val="auto"/>
                <w:sz w:val="24"/>
                <w:highlight w:val="none"/>
                <w:u w:val="none"/>
              </w:rPr>
              <w:t>0</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49.509</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w:t>
            </w:r>
            <w:r>
              <w:rPr>
                <w:rFonts w:hint="eastAsia"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51</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46.302</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，终点坐标为东经127</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30</w:t>
            </w:r>
            <w:r>
              <w:rPr>
                <w:rFonts w:hint="default" w:ascii="Times New Roman" w:hAnsi="Times New Roman" w:cs="Times New Roman"/>
                <w:color w:val="auto"/>
                <w:sz w:val="24"/>
                <w:highlight w:val="none"/>
                <w:u w:val="none"/>
                <w:lang w:eastAsia="zh-CN"/>
              </w:rPr>
              <w:t>ʹ</w:t>
            </w:r>
            <w:r>
              <w:rPr>
                <w:rFonts w:hint="eastAsia" w:cs="Times New Roman"/>
                <w:color w:val="auto"/>
                <w:sz w:val="24"/>
                <w:highlight w:val="none"/>
                <w:u w:val="none"/>
                <w:lang w:val="en-US" w:eastAsia="zh-CN"/>
              </w:rPr>
              <w:t>25.891</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w:t>
            </w:r>
            <w:r>
              <w:rPr>
                <w:rFonts w:hint="eastAsia"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52</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02.745</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lang w:eastAsia="zh-CN"/>
              </w:rPr>
              <w:t>。</w:t>
            </w:r>
          </w:p>
        </w:tc>
      </w:tr>
      <w:tr w14:paraId="19E4C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689367A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建设项目行业类别</w:t>
            </w:r>
          </w:p>
        </w:tc>
        <w:tc>
          <w:tcPr>
            <w:tcW w:w="991" w:type="pct"/>
            <w:tcBorders>
              <w:top w:val="single" w:color="auto" w:sz="4" w:space="0"/>
              <w:left w:val="nil"/>
              <w:bottom w:val="single" w:color="auto" w:sz="4" w:space="0"/>
              <w:right w:val="single" w:color="auto" w:sz="4" w:space="0"/>
            </w:tcBorders>
            <w:noWrap w:val="0"/>
            <w:vAlign w:val="center"/>
          </w:tcPr>
          <w:p w14:paraId="347412C8">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127、防洪除涝</w:t>
            </w:r>
          </w:p>
        </w:tc>
        <w:tc>
          <w:tcPr>
            <w:tcW w:w="1021" w:type="pct"/>
            <w:tcBorders>
              <w:top w:val="single" w:color="auto" w:sz="4" w:space="0"/>
              <w:left w:val="nil"/>
              <w:bottom w:val="single" w:color="auto" w:sz="4" w:space="0"/>
              <w:right w:val="single" w:color="auto" w:sz="4" w:space="0"/>
            </w:tcBorders>
            <w:noWrap w:val="0"/>
            <w:vAlign w:val="center"/>
          </w:tcPr>
          <w:p w14:paraId="7A47A90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用地（用海）面积（</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）/长度（k</w:t>
            </w:r>
            <w:r>
              <w:rPr>
                <w:rFonts w:hint="default" w:ascii="Times New Roman" w:hAnsi="Times New Roman" w:cs="Times New Roman"/>
                <w:color w:val="auto"/>
                <w:sz w:val="24"/>
                <w:highlight w:val="none"/>
                <w:lang w:eastAsia="zh-CN"/>
              </w:rPr>
              <w:t>m</w:t>
            </w:r>
            <w:r>
              <w:rPr>
                <w:rFonts w:hint="default" w:ascii="Times New Roman" w:hAnsi="Times New Roman" w:eastAsia="宋体" w:cs="Times New Roman"/>
                <w:color w:val="auto"/>
                <w:sz w:val="24"/>
                <w:highlight w:val="none"/>
              </w:rPr>
              <w:t>）</w:t>
            </w:r>
          </w:p>
        </w:tc>
        <w:tc>
          <w:tcPr>
            <w:tcW w:w="2400" w:type="pct"/>
            <w:tcBorders>
              <w:top w:val="single" w:color="auto" w:sz="4" w:space="0"/>
              <w:left w:val="nil"/>
              <w:bottom w:val="single" w:color="auto" w:sz="4" w:space="0"/>
              <w:right w:val="single" w:color="auto" w:sz="8" w:space="0"/>
            </w:tcBorders>
            <w:noWrap w:val="0"/>
            <w:vAlign w:val="center"/>
          </w:tcPr>
          <w:p w14:paraId="0BA04407">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27600</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0.783</w:t>
            </w:r>
          </w:p>
        </w:tc>
      </w:tr>
      <w:tr w14:paraId="7AB838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0C53965">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建设性质</w:t>
            </w:r>
          </w:p>
        </w:tc>
        <w:tc>
          <w:tcPr>
            <w:tcW w:w="991" w:type="pct"/>
            <w:tcBorders>
              <w:top w:val="single" w:color="auto" w:sz="4" w:space="0"/>
              <w:left w:val="nil"/>
              <w:bottom w:val="single" w:color="auto" w:sz="4" w:space="0"/>
              <w:right w:val="single" w:color="auto" w:sz="4" w:space="0"/>
            </w:tcBorders>
            <w:noWrap w:val="0"/>
            <w:vAlign w:val="center"/>
          </w:tcPr>
          <w:p w14:paraId="79D132F7">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√新建（迁建）</w:t>
            </w:r>
          </w:p>
          <w:p w14:paraId="490C483A">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□改建</w:t>
            </w:r>
          </w:p>
          <w:p w14:paraId="4D09D2A7">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□扩建</w:t>
            </w:r>
          </w:p>
          <w:p w14:paraId="304E4753">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□技术改造</w:t>
            </w:r>
          </w:p>
        </w:tc>
        <w:tc>
          <w:tcPr>
            <w:tcW w:w="1021" w:type="pct"/>
            <w:tcBorders>
              <w:top w:val="single" w:color="auto" w:sz="4" w:space="0"/>
              <w:left w:val="nil"/>
              <w:bottom w:val="single" w:color="auto" w:sz="4" w:space="0"/>
              <w:right w:val="single" w:color="auto" w:sz="4" w:space="0"/>
            </w:tcBorders>
            <w:noWrap w:val="0"/>
            <w:vAlign w:val="center"/>
          </w:tcPr>
          <w:p w14:paraId="5A21CF36">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p>
          <w:p w14:paraId="047E4649">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申报情形</w:t>
            </w:r>
          </w:p>
        </w:tc>
        <w:tc>
          <w:tcPr>
            <w:tcW w:w="2400" w:type="pct"/>
            <w:tcBorders>
              <w:top w:val="single" w:color="auto" w:sz="4" w:space="0"/>
              <w:left w:val="nil"/>
              <w:bottom w:val="single" w:color="auto" w:sz="4" w:space="0"/>
              <w:right w:val="single" w:color="auto" w:sz="8" w:space="0"/>
            </w:tcBorders>
            <w:noWrap w:val="0"/>
            <w:vAlign w:val="center"/>
          </w:tcPr>
          <w:p w14:paraId="49B753F8">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√首次申报项目</w:t>
            </w:r>
          </w:p>
          <w:p w14:paraId="77BF32E6">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□不予批准后再次申报项目</w:t>
            </w:r>
          </w:p>
          <w:p w14:paraId="7FCAAB6F">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□超五年重新审核项目</w:t>
            </w:r>
          </w:p>
          <w:p w14:paraId="6737E360">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□重大变动重新报批项目</w:t>
            </w:r>
          </w:p>
        </w:tc>
      </w:tr>
      <w:tr w14:paraId="116A11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A78F73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项目审批（核准/备案）部门（选填）</w:t>
            </w:r>
          </w:p>
        </w:tc>
        <w:tc>
          <w:tcPr>
            <w:tcW w:w="991" w:type="pct"/>
            <w:tcBorders>
              <w:top w:val="single" w:color="auto" w:sz="4" w:space="0"/>
              <w:left w:val="nil"/>
              <w:bottom w:val="single" w:color="auto" w:sz="4" w:space="0"/>
              <w:right w:val="single" w:color="auto" w:sz="4" w:space="0"/>
            </w:tcBorders>
            <w:noWrap w:val="0"/>
            <w:vAlign w:val="center"/>
          </w:tcPr>
          <w:p w14:paraId="27488E61">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w:t>
            </w:r>
          </w:p>
        </w:tc>
        <w:tc>
          <w:tcPr>
            <w:tcW w:w="1021" w:type="pct"/>
            <w:tcBorders>
              <w:top w:val="single" w:color="auto" w:sz="4" w:space="0"/>
              <w:left w:val="nil"/>
              <w:bottom w:val="single" w:color="auto" w:sz="4" w:space="0"/>
              <w:right w:val="single" w:color="auto" w:sz="4" w:space="0"/>
            </w:tcBorders>
            <w:noWrap w:val="0"/>
            <w:vAlign w:val="center"/>
          </w:tcPr>
          <w:p w14:paraId="4B864A20">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项目审批（核准/</w:t>
            </w:r>
          </w:p>
          <w:p w14:paraId="6C4CD48E">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备案）文号（选填）</w:t>
            </w:r>
          </w:p>
        </w:tc>
        <w:tc>
          <w:tcPr>
            <w:tcW w:w="2400" w:type="pct"/>
            <w:tcBorders>
              <w:top w:val="single" w:color="auto" w:sz="4" w:space="0"/>
              <w:left w:val="nil"/>
              <w:bottom w:val="single" w:color="auto" w:sz="4" w:space="0"/>
              <w:right w:val="single" w:color="auto" w:sz="8" w:space="0"/>
            </w:tcBorders>
            <w:noWrap w:val="0"/>
            <w:vAlign w:val="center"/>
          </w:tcPr>
          <w:p w14:paraId="2E419997">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w:t>
            </w:r>
          </w:p>
        </w:tc>
      </w:tr>
      <w:tr w14:paraId="660322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3F77AF4A">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总投资（万元）</w:t>
            </w:r>
          </w:p>
        </w:tc>
        <w:tc>
          <w:tcPr>
            <w:tcW w:w="991" w:type="pct"/>
            <w:tcBorders>
              <w:top w:val="single" w:color="auto" w:sz="4" w:space="0"/>
              <w:left w:val="nil"/>
              <w:bottom w:val="single" w:color="auto" w:sz="4" w:space="0"/>
              <w:right w:val="single" w:color="auto" w:sz="4" w:space="0"/>
            </w:tcBorders>
            <w:noWrap w:val="0"/>
            <w:vAlign w:val="center"/>
          </w:tcPr>
          <w:p w14:paraId="6192F4D3">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85.31</w:t>
            </w:r>
          </w:p>
        </w:tc>
        <w:tc>
          <w:tcPr>
            <w:tcW w:w="1021" w:type="pct"/>
            <w:tcBorders>
              <w:top w:val="single" w:color="auto" w:sz="4" w:space="0"/>
              <w:left w:val="nil"/>
              <w:bottom w:val="single" w:color="auto" w:sz="4" w:space="0"/>
              <w:right w:val="single" w:color="auto" w:sz="4" w:space="0"/>
            </w:tcBorders>
            <w:noWrap w:val="0"/>
            <w:tcMar>
              <w:top w:w="16" w:type="dxa"/>
              <w:left w:w="16" w:type="dxa"/>
              <w:bottom w:w="0" w:type="dxa"/>
              <w:right w:w="16" w:type="dxa"/>
            </w:tcMar>
            <w:vAlign w:val="center"/>
          </w:tcPr>
          <w:p w14:paraId="509E3C4B">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环保投资（万元）</w:t>
            </w:r>
          </w:p>
        </w:tc>
        <w:tc>
          <w:tcPr>
            <w:tcW w:w="2400" w:type="pct"/>
            <w:tcBorders>
              <w:top w:val="single" w:color="auto" w:sz="4" w:space="0"/>
              <w:left w:val="nil"/>
              <w:bottom w:val="single" w:color="auto" w:sz="4" w:space="0"/>
              <w:right w:val="single" w:color="auto" w:sz="8" w:space="0"/>
            </w:tcBorders>
            <w:noWrap w:val="0"/>
            <w:vAlign w:val="center"/>
          </w:tcPr>
          <w:p w14:paraId="0EC17EC2">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31.17</w:t>
            </w:r>
          </w:p>
        </w:tc>
      </w:tr>
      <w:tr w14:paraId="5469E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21CB8BBE">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环保投资占比（%）</w:t>
            </w:r>
          </w:p>
        </w:tc>
        <w:tc>
          <w:tcPr>
            <w:tcW w:w="991" w:type="pct"/>
            <w:tcBorders>
              <w:top w:val="single" w:color="auto" w:sz="4" w:space="0"/>
              <w:left w:val="nil"/>
              <w:bottom w:val="single" w:color="auto" w:sz="4" w:space="0"/>
              <w:right w:val="single" w:color="auto" w:sz="4" w:space="0"/>
            </w:tcBorders>
            <w:noWrap w:val="0"/>
            <w:vAlign w:val="center"/>
          </w:tcPr>
          <w:p w14:paraId="1FE18778">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36.54</w:t>
            </w:r>
          </w:p>
        </w:tc>
        <w:tc>
          <w:tcPr>
            <w:tcW w:w="1021" w:type="pct"/>
            <w:tcBorders>
              <w:top w:val="single" w:color="auto" w:sz="4" w:space="0"/>
              <w:left w:val="nil"/>
              <w:bottom w:val="single" w:color="auto" w:sz="4" w:space="0"/>
              <w:right w:val="single" w:color="auto" w:sz="4" w:space="0"/>
            </w:tcBorders>
            <w:noWrap w:val="0"/>
            <w:tcMar>
              <w:top w:w="16" w:type="dxa"/>
              <w:left w:w="16" w:type="dxa"/>
              <w:bottom w:w="0" w:type="dxa"/>
              <w:right w:w="16" w:type="dxa"/>
            </w:tcMar>
            <w:vAlign w:val="center"/>
          </w:tcPr>
          <w:p w14:paraId="03C0A7CA">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施工工期</w:t>
            </w:r>
          </w:p>
        </w:tc>
        <w:tc>
          <w:tcPr>
            <w:tcW w:w="2400" w:type="pct"/>
            <w:tcBorders>
              <w:top w:val="single" w:color="auto" w:sz="4" w:space="0"/>
              <w:left w:val="nil"/>
              <w:bottom w:val="single" w:color="auto" w:sz="4" w:space="0"/>
              <w:right w:val="single" w:color="auto" w:sz="8" w:space="0"/>
            </w:tcBorders>
            <w:noWrap w:val="0"/>
            <w:vAlign w:val="center"/>
          </w:tcPr>
          <w:p w14:paraId="3B92749B">
            <w:pPr>
              <w:adjustRightInd w:val="0"/>
              <w:snapToGrid w:val="0"/>
              <w:jc w:val="center"/>
              <w:rPr>
                <w:rFonts w:hint="default" w:ascii="Times New Roman" w:hAnsi="Times New Roman" w:eastAsia="宋体" w:cs="Times New Roman"/>
                <w:color w:val="auto"/>
                <w:sz w:val="24"/>
                <w:highlight w:val="none"/>
              </w:rPr>
            </w:pP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rPr>
              <w:t>个月，202</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年</w:t>
            </w:r>
            <w:r>
              <w:rPr>
                <w:rFonts w:hint="eastAsia" w:cs="Times New Roman"/>
                <w:color w:val="auto"/>
                <w:sz w:val="24"/>
                <w:highlight w:val="none"/>
                <w:lang w:val="en-US" w:eastAsia="zh-CN"/>
              </w:rPr>
              <w:t>8</w:t>
            </w:r>
            <w:r>
              <w:rPr>
                <w:rFonts w:hint="default" w:ascii="Times New Roman" w:hAnsi="Times New Roman" w:eastAsia="宋体" w:cs="Times New Roman"/>
                <w:color w:val="auto"/>
                <w:sz w:val="24"/>
                <w:highlight w:val="none"/>
              </w:rPr>
              <w:t>月至202</w:t>
            </w:r>
            <w:r>
              <w:rPr>
                <w:rFonts w:hint="eastAsia" w:cs="Times New Roman"/>
                <w:color w:val="auto"/>
                <w:sz w:val="24"/>
                <w:highlight w:val="none"/>
                <w:lang w:val="en-US" w:eastAsia="zh-CN"/>
              </w:rPr>
              <w:t>7</w:t>
            </w:r>
            <w:r>
              <w:rPr>
                <w:rFonts w:hint="default" w:ascii="Times New Roman" w:hAnsi="Times New Roman" w:eastAsia="宋体" w:cs="Times New Roman"/>
                <w:color w:val="auto"/>
                <w:sz w:val="24"/>
                <w:highlight w:val="none"/>
              </w:rPr>
              <w:t>年</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月</w:t>
            </w:r>
          </w:p>
        </w:tc>
      </w:tr>
      <w:tr w14:paraId="3FD81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75F0CD9F">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是否开工建设</w:t>
            </w:r>
          </w:p>
        </w:tc>
        <w:tc>
          <w:tcPr>
            <w:tcW w:w="4414" w:type="pct"/>
            <w:gridSpan w:val="3"/>
            <w:tcBorders>
              <w:top w:val="single" w:color="auto" w:sz="4" w:space="0"/>
              <w:left w:val="nil"/>
              <w:bottom w:val="single" w:color="auto" w:sz="4" w:space="0"/>
              <w:right w:val="single" w:color="auto" w:sz="8" w:space="0"/>
            </w:tcBorders>
            <w:noWrap w:val="0"/>
            <w:vAlign w:val="center"/>
          </w:tcPr>
          <w:p w14:paraId="1754E9FF">
            <w:pPr>
              <w:adjustRightInd w:val="0"/>
              <w:snapToGrid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√否</w:t>
            </w:r>
          </w:p>
          <w:p w14:paraId="00107D64">
            <w:pPr>
              <w:adjustRightInd w:val="0"/>
              <w:snapToGrid w:val="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□是</w:t>
            </w:r>
            <w:r>
              <w:rPr>
                <w:rFonts w:hint="default" w:ascii="Times New Roman" w:hAnsi="Times New Roman" w:cs="Times New Roman"/>
                <w:color w:val="auto"/>
                <w:sz w:val="24"/>
                <w:highlight w:val="none"/>
                <w:lang w:eastAsia="zh-CN"/>
              </w:rPr>
              <w:t>:</w:t>
            </w:r>
          </w:p>
        </w:tc>
      </w:tr>
      <w:tr w14:paraId="2E7AF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31614C8C">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专项评价设置情况</w:t>
            </w:r>
          </w:p>
        </w:tc>
        <w:tc>
          <w:tcPr>
            <w:tcW w:w="4414"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063FA85C">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按照《建设项目环境影响报告表编制技术指南（生态影响类）（试行）》要求，本工程专项评价设置情况见表1</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1所示。</w:t>
            </w:r>
            <w:r>
              <w:rPr>
                <w:rFonts w:hint="default" w:ascii="Times New Roman" w:hAnsi="Times New Roman" w:eastAsia="宋体" w:cs="Times New Roman"/>
                <w:color w:val="auto"/>
                <w:kern w:val="0"/>
                <w:sz w:val="24"/>
                <w:highlight w:val="none"/>
                <w:lang w:val="en-US" w:eastAsia="zh-CN"/>
              </w:rPr>
              <w:t>本项目不设置专项评价。</w:t>
            </w:r>
          </w:p>
          <w:p w14:paraId="3BDC2BC2">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72D15B6F">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1535A8AC">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15FAED21">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16AB7B0B">
            <w:pPr>
              <w:autoSpaceDE w:val="0"/>
              <w:autoSpaceDN w:val="0"/>
              <w:adjustRightInd w:val="0"/>
              <w:snapToGrid w:val="0"/>
              <w:spacing w:line="360" w:lineRule="auto"/>
              <w:jc w:val="center"/>
              <w:rPr>
                <w:rFonts w:hint="default" w:ascii="Times New Roman" w:hAnsi="Times New Roman" w:eastAsia="宋体" w:cs="Times New Roman"/>
                <w:b/>
                <w:bCs/>
                <w:color w:val="auto"/>
                <w:kern w:val="0"/>
                <w:szCs w:val="21"/>
                <w:highlight w:val="none"/>
                <w:lang w:val="en-US" w:eastAsia="zh-CN"/>
              </w:rPr>
            </w:pPr>
          </w:p>
          <w:p w14:paraId="7D3E470F">
            <w:pPr>
              <w:autoSpaceDE w:val="0"/>
              <w:autoSpaceDN w:val="0"/>
              <w:adjustRightInd w:val="0"/>
              <w:snapToGrid w:val="0"/>
              <w:spacing w:line="360" w:lineRule="auto"/>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表1</w:t>
            </w:r>
            <w:r>
              <w:rPr>
                <w:rFonts w:hint="default" w:ascii="Times New Roman" w:hAnsi="Times New Roman" w:cs="Times New Roman"/>
                <w:b/>
                <w:bCs/>
                <w:color w:val="auto"/>
                <w:kern w:val="0"/>
                <w:szCs w:val="21"/>
                <w:highlight w:val="none"/>
                <w:lang w:val="en-US" w:eastAsia="zh-CN"/>
              </w:rPr>
              <w:t>—</w:t>
            </w:r>
            <w:r>
              <w:rPr>
                <w:rFonts w:hint="default" w:ascii="Times New Roman" w:hAnsi="Times New Roman" w:eastAsia="宋体" w:cs="Times New Roman"/>
                <w:b/>
                <w:bCs/>
                <w:color w:val="auto"/>
                <w:kern w:val="0"/>
                <w:szCs w:val="21"/>
                <w:highlight w:val="none"/>
                <w:lang w:val="en-US" w:eastAsia="zh-CN"/>
              </w:rPr>
              <w:t>1  专项评价设置情况一览表</w:t>
            </w:r>
          </w:p>
          <w:tbl>
            <w:tblPr>
              <w:tblStyle w:val="25"/>
              <w:tblW w:w="478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3727"/>
              <w:gridCol w:w="2374"/>
              <w:gridCol w:w="724"/>
            </w:tblGrid>
            <w:tr w14:paraId="58B6C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6" w:hRule="atLeast"/>
                <w:jc w:val="center"/>
              </w:trPr>
              <w:tc>
                <w:tcPr>
                  <w:tcW w:w="484" w:type="pct"/>
                  <w:noWrap w:val="0"/>
                  <w:vAlign w:val="center"/>
                </w:tcPr>
                <w:p w14:paraId="0802BA1E">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专项评价类别</w:t>
                  </w:r>
                </w:p>
              </w:tc>
              <w:tc>
                <w:tcPr>
                  <w:tcW w:w="2465" w:type="pct"/>
                  <w:noWrap w:val="0"/>
                  <w:vAlign w:val="center"/>
                </w:tcPr>
                <w:p w14:paraId="45697E9A">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设置原则</w:t>
                  </w:r>
                </w:p>
              </w:tc>
              <w:tc>
                <w:tcPr>
                  <w:tcW w:w="1570" w:type="pct"/>
                  <w:noWrap w:val="0"/>
                  <w:vAlign w:val="center"/>
                </w:tcPr>
                <w:p w14:paraId="453D3223">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本</w:t>
                  </w:r>
                  <w:r>
                    <w:rPr>
                      <w:rFonts w:hint="default" w:ascii="Times New Roman" w:hAnsi="Times New Roman" w:eastAsia="宋体" w:cs="Times New Roman"/>
                      <w:color w:val="auto"/>
                      <w:sz w:val="21"/>
                      <w:szCs w:val="21"/>
                      <w:highlight w:val="none"/>
                      <w:lang w:val="en-US" w:eastAsia="zh-CN"/>
                    </w:rPr>
                    <w:t>工程</w:t>
                  </w:r>
                  <w:r>
                    <w:rPr>
                      <w:rFonts w:hint="default" w:ascii="Times New Roman" w:hAnsi="Times New Roman" w:eastAsia="宋体" w:cs="Times New Roman"/>
                      <w:color w:val="auto"/>
                      <w:sz w:val="21"/>
                      <w:szCs w:val="21"/>
                      <w:highlight w:val="none"/>
                      <w:lang w:val="zh-CN"/>
                    </w:rPr>
                    <w:t>情况</w:t>
                  </w:r>
                </w:p>
              </w:tc>
              <w:tc>
                <w:tcPr>
                  <w:tcW w:w="479" w:type="pct"/>
                  <w:noWrap w:val="0"/>
                  <w:vAlign w:val="center"/>
                </w:tcPr>
                <w:p w14:paraId="3C500CC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是否设置专题</w:t>
                  </w:r>
                </w:p>
              </w:tc>
            </w:tr>
            <w:tr w14:paraId="6874B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07B2F87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2465" w:type="pct"/>
                  <w:noWrap w:val="0"/>
                  <w:vAlign w:val="center"/>
                </w:tcPr>
                <w:p w14:paraId="06A7546F">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水力发电</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引水式发电、涉及调峰发电的项目；</w:t>
                  </w:r>
                </w:p>
                <w:p w14:paraId="733A0E7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人工湖、人工湿地</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00B70ECE">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引水工程</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全部（配套的管线工程等除外）；</w:t>
                  </w:r>
                </w:p>
                <w:p w14:paraId="49BC216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防洪除涝工程</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包含水库的项目；</w:t>
                  </w:r>
                </w:p>
                <w:p w14:paraId="7ADF84F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河湖整治</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涉及清淤且底泥存在重金属污染的项目</w:t>
                  </w:r>
                </w:p>
              </w:tc>
              <w:tc>
                <w:tcPr>
                  <w:tcW w:w="1570" w:type="pct"/>
                  <w:noWrap w:val="0"/>
                  <w:vAlign w:val="center"/>
                </w:tcPr>
                <w:p w14:paraId="4766855D">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本工程为防洪除涝工程，</w:t>
                  </w:r>
                  <w:r>
                    <w:rPr>
                      <w:rFonts w:hint="eastAsia" w:cs="Times New Roman"/>
                      <w:color w:val="auto"/>
                      <w:sz w:val="21"/>
                      <w:szCs w:val="21"/>
                      <w:highlight w:val="none"/>
                      <w:lang w:val="en-US" w:eastAsia="zh-CN"/>
                    </w:rPr>
                    <w:t>不包括水库，</w:t>
                  </w:r>
                  <w:r>
                    <w:rPr>
                      <w:rFonts w:hint="default" w:ascii="Times New Roman" w:hAnsi="Times New Roman" w:eastAsia="宋体" w:cs="Times New Roman"/>
                      <w:color w:val="auto"/>
                      <w:sz w:val="21"/>
                      <w:szCs w:val="21"/>
                      <w:highlight w:val="none"/>
                      <w:lang w:val="en-US" w:eastAsia="zh-CN"/>
                    </w:rPr>
                    <w:t>不涉及清淤且底泥存在重金属污染的项目。</w:t>
                  </w:r>
                </w:p>
              </w:tc>
              <w:tc>
                <w:tcPr>
                  <w:tcW w:w="479" w:type="pct"/>
                  <w:noWrap w:val="0"/>
                  <w:vAlign w:val="center"/>
                </w:tcPr>
                <w:p w14:paraId="7638A60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不设置</w:t>
                  </w:r>
                </w:p>
              </w:tc>
            </w:tr>
            <w:tr w14:paraId="6077C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4" w:type="pct"/>
                  <w:noWrap w:val="0"/>
                  <w:vAlign w:val="center"/>
                </w:tcPr>
                <w:p w14:paraId="3CB0D8E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w:t>
                  </w:r>
                </w:p>
              </w:tc>
              <w:tc>
                <w:tcPr>
                  <w:tcW w:w="2465" w:type="pct"/>
                  <w:noWrap w:val="0"/>
                  <w:vAlign w:val="center"/>
                </w:tcPr>
                <w:p w14:paraId="4489347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陆地石油和天然气开采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0F8EC80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地下水（含矿泉水）开采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7536041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水利、水电、交通等</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含穿越可溶岩地层隧道的项目</w:t>
                  </w:r>
                </w:p>
              </w:tc>
              <w:tc>
                <w:tcPr>
                  <w:tcW w:w="1570" w:type="pct"/>
                  <w:noWrap w:val="0"/>
                  <w:vAlign w:val="center"/>
                </w:tcPr>
                <w:p w14:paraId="4E12A72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本工程为防洪除涝工程，属于水利工程，本工程不含穿越可溶岩地层隧道。</w:t>
                  </w:r>
                </w:p>
              </w:tc>
              <w:tc>
                <w:tcPr>
                  <w:tcW w:w="479" w:type="pct"/>
                  <w:noWrap w:val="0"/>
                  <w:vAlign w:val="center"/>
                </w:tcPr>
                <w:p w14:paraId="6D8F9F0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不设置</w:t>
                  </w:r>
                </w:p>
              </w:tc>
            </w:tr>
            <w:tr w14:paraId="09E01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7052DD3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w:t>
                  </w:r>
                </w:p>
              </w:tc>
              <w:tc>
                <w:tcPr>
                  <w:tcW w:w="2465" w:type="pct"/>
                  <w:noWrap w:val="0"/>
                  <w:vAlign w:val="center"/>
                </w:tcPr>
                <w:p w14:paraId="379A48A7">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涉及环境敏感区（不包括饮用水水源保护区，以居住、医疗卫生、文化教育、科研、行政办公为主要功能的区域，以及文物保护单位）的项目</w:t>
                  </w:r>
                </w:p>
              </w:tc>
              <w:tc>
                <w:tcPr>
                  <w:tcW w:w="1570" w:type="pct"/>
                  <w:noWrap w:val="0"/>
                  <w:vAlign w:val="center"/>
                </w:tcPr>
                <w:p w14:paraId="1CE2A2B8">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环境敏感区是指《建设项目环境影响评价分类管理名录》中针对该类项目所列的敏感区。本工程属于防洪除涝工程，不涉及环境敏感区。</w:t>
                  </w:r>
                </w:p>
              </w:tc>
              <w:tc>
                <w:tcPr>
                  <w:tcW w:w="479" w:type="pct"/>
                  <w:noWrap w:val="0"/>
                  <w:vAlign w:val="center"/>
                </w:tcPr>
                <w:p w14:paraId="6E0E327B">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rPr>
                    <w:t>设置</w:t>
                  </w:r>
                </w:p>
              </w:tc>
            </w:tr>
            <w:tr w14:paraId="5645B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018437E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w:t>
                  </w:r>
                </w:p>
              </w:tc>
              <w:tc>
                <w:tcPr>
                  <w:tcW w:w="2465" w:type="pct"/>
                  <w:noWrap w:val="0"/>
                  <w:vAlign w:val="center"/>
                </w:tcPr>
                <w:p w14:paraId="082BA0A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油气、液体化工码头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7A1E950A">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干散货（含煤炭、矿石）、件杂、多用途、通用码头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涉及粉尘、挥发性有机物排放的项目</w:t>
                  </w:r>
                </w:p>
              </w:tc>
              <w:tc>
                <w:tcPr>
                  <w:tcW w:w="1570" w:type="pct"/>
                  <w:noWrap w:val="0"/>
                  <w:vAlign w:val="center"/>
                </w:tcPr>
                <w:p w14:paraId="3D1DCE09">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本工程不涉及油气、液体化工码头、干散货、件杂、多用途、通用码头。</w:t>
                  </w:r>
                </w:p>
              </w:tc>
              <w:tc>
                <w:tcPr>
                  <w:tcW w:w="479" w:type="pct"/>
                  <w:noWrap w:val="0"/>
                  <w:vAlign w:val="center"/>
                </w:tcPr>
                <w:p w14:paraId="3AD3F0EC">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r w14:paraId="40527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3EB2E9A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2465" w:type="pct"/>
                  <w:noWrap w:val="0"/>
                  <w:vAlign w:val="center"/>
                </w:tcPr>
                <w:p w14:paraId="0668D78A">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公路、铁路、机场等交通运输业涉及环境敏感区（以居住、医疗卫生、文化教育、科研、行政办公为主要功能的区域）的项目；</w:t>
                  </w:r>
                </w:p>
                <w:p w14:paraId="3C26DC12">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城市道路（不含维护，不含支路、人行天桥、人行地道）</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tc>
              <w:tc>
                <w:tcPr>
                  <w:tcW w:w="1570" w:type="pct"/>
                  <w:noWrap w:val="0"/>
                  <w:vAlign w:val="center"/>
                </w:tcPr>
                <w:p w14:paraId="19BA2250">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本工程不属于交通运输业。</w:t>
                  </w:r>
                </w:p>
              </w:tc>
              <w:tc>
                <w:tcPr>
                  <w:tcW w:w="479" w:type="pct"/>
                  <w:noWrap w:val="0"/>
                  <w:vAlign w:val="center"/>
                </w:tcPr>
                <w:p w14:paraId="3CDD4332">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r w14:paraId="04DCD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84" w:type="pct"/>
                  <w:noWrap w:val="0"/>
                  <w:vAlign w:val="center"/>
                </w:tcPr>
                <w:p w14:paraId="6FD9CF8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w:t>
                  </w:r>
                </w:p>
              </w:tc>
              <w:tc>
                <w:tcPr>
                  <w:tcW w:w="2465" w:type="pct"/>
                  <w:noWrap w:val="0"/>
                  <w:vAlign w:val="center"/>
                </w:tcPr>
                <w:p w14:paraId="238F41E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石油和天然气开采</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564148CD">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油气、液体化工码头</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p w14:paraId="5D64F194">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原油、成品油、天然气管线（不含城镇天然气管线、企业厂区内管线），危险化学品输送管线（不含企业厂区内管线）</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全部</w:t>
                  </w:r>
                </w:p>
              </w:tc>
              <w:tc>
                <w:tcPr>
                  <w:tcW w:w="1570" w:type="pct"/>
                  <w:noWrap w:val="0"/>
                  <w:vAlign w:val="center"/>
                </w:tcPr>
                <w:p w14:paraId="17A69996">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本工程不涉及石油和天然气开采、油气、液体化工码头、原油、成品油、天然气管线、危险化学品输送管线。</w:t>
                  </w:r>
                </w:p>
              </w:tc>
              <w:tc>
                <w:tcPr>
                  <w:tcW w:w="479" w:type="pct"/>
                  <w:noWrap w:val="0"/>
                  <w:vAlign w:val="center"/>
                </w:tcPr>
                <w:p w14:paraId="42A79467">
                  <w:pPr>
                    <w:adjustRightInd w:val="0"/>
                    <w:snapToGrid w:val="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不设置</w:t>
                  </w:r>
                </w:p>
              </w:tc>
            </w:tr>
          </w:tbl>
          <w:p w14:paraId="7EDD414C">
            <w:pPr>
              <w:autoSpaceDE w:val="0"/>
              <w:autoSpaceDN w:val="0"/>
              <w:adjustRightInd w:val="0"/>
              <w:snapToGrid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lang w:val="en-US" w:eastAsia="zh-CN"/>
              </w:rPr>
              <w:t xml:space="preserve">    </w:t>
            </w:r>
          </w:p>
        </w:tc>
      </w:tr>
      <w:tr w14:paraId="441F4F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78CE6DC">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规划情况</w:t>
            </w:r>
          </w:p>
        </w:tc>
        <w:tc>
          <w:tcPr>
            <w:tcW w:w="4414"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67E35799">
            <w:pPr>
              <w:pStyle w:val="84"/>
              <w:widowControl/>
              <w:spacing w:line="360" w:lineRule="auto"/>
              <w:ind w:firstLine="0" w:firstLineChars="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r>
      <w:tr w14:paraId="5CCBB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58F0941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规划环境影响评价情况</w:t>
            </w:r>
          </w:p>
        </w:tc>
        <w:tc>
          <w:tcPr>
            <w:tcW w:w="4414"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319BF4F3">
            <w:pPr>
              <w:adjustRightInd w:val="0"/>
              <w:snapToGrid w:val="0"/>
              <w:spacing w:line="360" w:lineRule="auto"/>
              <w:jc w:val="center"/>
              <w:rPr>
                <w:rFonts w:hint="eastAsia" w:ascii="Times New Roman" w:hAnsi="Times New Roman" w:eastAsia="宋体" w:cs="Times New Roman"/>
                <w:color w:val="auto"/>
                <w:kern w:val="0"/>
                <w:sz w:val="24"/>
                <w:highlight w:val="none"/>
                <w:lang w:val="en-US" w:eastAsia="zh-CN"/>
              </w:rPr>
            </w:pPr>
            <w:r>
              <w:rPr>
                <w:rFonts w:hint="eastAsia" w:cs="Times New Roman"/>
                <w:color w:val="auto"/>
                <w:kern w:val="0"/>
                <w:sz w:val="24"/>
                <w:highlight w:val="none"/>
                <w:lang w:val="en-US" w:eastAsia="zh-CN"/>
              </w:rPr>
              <w:t>/</w:t>
            </w:r>
          </w:p>
        </w:tc>
      </w:tr>
      <w:tr w14:paraId="16274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4" w:space="0"/>
              <w:right w:val="single" w:color="auto" w:sz="4" w:space="0"/>
            </w:tcBorders>
            <w:noWrap w:val="0"/>
            <w:tcMar>
              <w:top w:w="16" w:type="dxa"/>
              <w:left w:w="16" w:type="dxa"/>
              <w:bottom w:w="0" w:type="dxa"/>
              <w:right w:w="16" w:type="dxa"/>
            </w:tcMar>
            <w:vAlign w:val="center"/>
          </w:tcPr>
          <w:p w14:paraId="4E72D4F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规划及</w:t>
            </w:r>
            <w:r>
              <w:rPr>
                <w:rFonts w:hint="default" w:ascii="Times New Roman" w:hAnsi="Times New Roman" w:eastAsia="宋体" w:cs="Times New Roman"/>
                <w:color w:val="auto"/>
                <w:sz w:val="21"/>
                <w:szCs w:val="21"/>
                <w:highlight w:val="none"/>
              </w:rPr>
              <w:t>规划环境影响评价</w:t>
            </w:r>
            <w:r>
              <w:rPr>
                <w:rFonts w:hint="default" w:ascii="Times New Roman" w:hAnsi="Times New Roman" w:eastAsia="宋体" w:cs="Times New Roman"/>
                <w:color w:val="auto"/>
                <w:kern w:val="0"/>
                <w:sz w:val="21"/>
                <w:szCs w:val="21"/>
                <w:highlight w:val="none"/>
              </w:rPr>
              <w:t>符合性分析</w:t>
            </w:r>
          </w:p>
        </w:tc>
        <w:tc>
          <w:tcPr>
            <w:tcW w:w="4414" w:type="pct"/>
            <w:gridSpan w:val="3"/>
            <w:tcBorders>
              <w:top w:val="single" w:color="auto" w:sz="4" w:space="0"/>
              <w:left w:val="nil"/>
              <w:bottom w:val="single" w:color="auto" w:sz="4" w:space="0"/>
              <w:right w:val="single" w:color="auto" w:sz="8" w:space="0"/>
            </w:tcBorders>
            <w:noWrap w:val="0"/>
            <w:tcMar>
              <w:top w:w="16" w:type="dxa"/>
              <w:left w:w="16" w:type="dxa"/>
              <w:bottom w:w="0" w:type="dxa"/>
              <w:right w:w="16" w:type="dxa"/>
            </w:tcMar>
            <w:vAlign w:val="center"/>
          </w:tcPr>
          <w:p w14:paraId="35D16F60">
            <w:pPr>
              <w:pStyle w:val="84"/>
              <w:widowControl/>
              <w:spacing w:line="360" w:lineRule="auto"/>
              <w:ind w:left="0" w:leftChars="0" w:firstLine="0" w:firstLineChars="0"/>
              <w:jc w:val="center"/>
              <w:rPr>
                <w:rFonts w:hint="eastAsia"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w:t>
            </w:r>
          </w:p>
        </w:tc>
      </w:tr>
      <w:tr w14:paraId="70E29D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585" w:type="pct"/>
            <w:tcBorders>
              <w:top w:val="single" w:color="auto" w:sz="4" w:space="0"/>
              <w:left w:val="single" w:color="auto" w:sz="8" w:space="0"/>
              <w:bottom w:val="single" w:color="auto" w:sz="8" w:space="0"/>
              <w:right w:val="single" w:color="auto" w:sz="4" w:space="0"/>
            </w:tcBorders>
            <w:noWrap w:val="0"/>
            <w:tcMar>
              <w:top w:w="16" w:type="dxa"/>
              <w:left w:w="16" w:type="dxa"/>
              <w:bottom w:w="0" w:type="dxa"/>
              <w:right w:w="16" w:type="dxa"/>
            </w:tcMar>
            <w:vAlign w:val="center"/>
          </w:tcPr>
          <w:p w14:paraId="4BA48633">
            <w:pPr>
              <w:autoSpaceDE w:val="0"/>
              <w:autoSpaceDN w:val="0"/>
              <w:adjustRightInd w:val="0"/>
              <w:snapToGrid w:val="0"/>
              <w:jc w:val="center"/>
              <w:rPr>
                <w:rFonts w:hint="default" w:ascii="Times New Roman" w:hAnsi="Times New Roman" w:eastAsia="宋体" w:cs="Times New Roman"/>
                <w:color w:val="auto"/>
                <w:kern w:val="0"/>
                <w:sz w:val="24"/>
                <w:highlight w:val="none"/>
              </w:rPr>
            </w:pPr>
            <w:bookmarkStart w:id="7" w:name="_Hlk56690880"/>
            <w:r>
              <w:rPr>
                <w:rFonts w:hint="default" w:ascii="Times New Roman" w:hAnsi="Times New Roman" w:eastAsia="宋体" w:cs="Times New Roman"/>
                <w:color w:val="auto"/>
                <w:kern w:val="0"/>
                <w:sz w:val="24"/>
                <w:highlight w:val="none"/>
              </w:rPr>
              <w:t>其他符合性分析</w:t>
            </w:r>
            <w:bookmarkEnd w:id="7"/>
          </w:p>
        </w:tc>
        <w:tc>
          <w:tcPr>
            <w:tcW w:w="4414" w:type="pct"/>
            <w:gridSpan w:val="3"/>
            <w:tcBorders>
              <w:top w:val="single" w:color="auto" w:sz="4" w:space="0"/>
              <w:left w:val="nil"/>
              <w:bottom w:val="single" w:color="auto" w:sz="8" w:space="0"/>
              <w:right w:val="single" w:color="auto" w:sz="8" w:space="0"/>
            </w:tcBorders>
            <w:noWrap w:val="0"/>
            <w:tcMar>
              <w:top w:w="16" w:type="dxa"/>
              <w:left w:w="16" w:type="dxa"/>
              <w:bottom w:w="0" w:type="dxa"/>
              <w:right w:w="16" w:type="dxa"/>
            </w:tcMar>
            <w:vAlign w:val="center"/>
          </w:tcPr>
          <w:p w14:paraId="1A41AFB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1、生态环境分区管控要求符合性分析</w:t>
            </w:r>
          </w:p>
          <w:p w14:paraId="5AE93DE3">
            <w:pPr>
              <w:pStyle w:val="135"/>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lang w:val="en-US" w:eastAsia="zh-CN"/>
              </w:rPr>
            </w:pPr>
            <w:bookmarkStart w:id="8" w:name="_Toc45198927"/>
            <w:r>
              <w:rPr>
                <w:rFonts w:hint="default" w:ascii="Times New Roman" w:hAnsi="Times New Roman" w:eastAsia="宋体" w:cs="Times New Roman"/>
                <w:color w:val="auto"/>
                <w:kern w:val="2"/>
                <w:sz w:val="24"/>
                <w:szCs w:val="24"/>
                <w:highlight w:val="none"/>
              </w:rPr>
              <w:t>根据《黑龙江省人民政府关于实施</w:t>
            </w:r>
            <w:r>
              <w:rPr>
                <w:rFonts w:hint="default" w:ascii="Times New Roman" w:hAnsi="Times New Roman"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三线一单</w:t>
            </w:r>
            <w:r>
              <w:rPr>
                <w:rFonts w:hint="default" w:ascii="Times New Roman" w:hAnsi="Times New Roman"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生态环境分区管控意见》（黑政发〔2020〕14号）</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绥化</w:t>
            </w:r>
            <w:r>
              <w:rPr>
                <w:rFonts w:hint="default" w:ascii="Times New Roman" w:hAnsi="Times New Roman" w:eastAsia="宋体" w:cs="Times New Roman"/>
                <w:color w:val="auto"/>
                <w:sz w:val="24"/>
                <w:szCs w:val="24"/>
                <w:highlight w:val="none"/>
              </w:rPr>
              <w:t>市人民政府关于实施</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生态环境分区管控的意见》（绥政发〔2021〕10号）</w:t>
            </w:r>
            <w:r>
              <w:rPr>
                <w:rFonts w:hint="default" w:ascii="Times New Roman" w:hAnsi="Times New Roman" w:eastAsia="宋体" w:cs="Times New Roman"/>
                <w:color w:val="auto"/>
                <w:sz w:val="24"/>
                <w:szCs w:val="24"/>
                <w:highlight w:val="none"/>
                <w:lang w:eastAsia="zh-CN"/>
              </w:rPr>
              <w:t>、《关于公布黑龙江省生态环境分区管控动态更新成果（2023年版）的通知》</w:t>
            </w:r>
            <w:r>
              <w:rPr>
                <w:rFonts w:hint="default"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highlight w:val="none"/>
              </w:rPr>
              <w:t>关于发布绥化市生态环境准入清单（2023年版）的函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2024年1月29日）</w:t>
            </w:r>
            <w:r>
              <w:rPr>
                <w:rFonts w:hint="eastAsia" w:hAnsi="Times New Roman" w:cs="Times New Roman"/>
                <w:color w:val="auto"/>
                <w:sz w:val="24"/>
                <w:szCs w:val="24"/>
                <w:highlight w:val="none"/>
                <w:lang w:val="en-US" w:eastAsia="zh-CN"/>
              </w:rPr>
              <w:t>的</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kern w:val="2"/>
                <w:sz w:val="24"/>
                <w:szCs w:val="24"/>
                <w:highlight w:val="none"/>
                <w:lang w:val="en-US" w:eastAsia="zh-CN"/>
              </w:rPr>
              <w:t>以及黑龙江省生态环境分区管控数据应用平台出具的《</w:t>
            </w:r>
            <w:r>
              <w:rPr>
                <w:rFonts w:hint="eastAsia" w:hAnsi="Times New Roman" w:cs="Times New Roman"/>
                <w:color w:val="auto"/>
                <w:kern w:val="2"/>
                <w:sz w:val="24"/>
                <w:szCs w:val="24"/>
                <w:highlight w:val="none"/>
                <w:lang w:val="en-US" w:eastAsia="zh-CN"/>
              </w:rPr>
              <w:t>庆安县格木克河改道项目</w:t>
            </w:r>
            <w:r>
              <w:rPr>
                <w:rFonts w:hint="default" w:ascii="Times New Roman" w:hAnsi="Times New Roman" w:eastAsia="宋体" w:cs="Times New Roman"/>
                <w:color w:val="auto"/>
                <w:kern w:val="2"/>
                <w:sz w:val="24"/>
                <w:szCs w:val="24"/>
                <w:highlight w:val="none"/>
                <w:lang w:val="en-US" w:eastAsia="zh-CN"/>
              </w:rPr>
              <w:t>生态环境分区管控分析报告》可知，</w:t>
            </w:r>
            <w:r>
              <w:rPr>
                <w:rFonts w:hint="default" w:ascii="Times New Roman" w:hAnsi="Times New Roman" w:eastAsia="宋体" w:cs="Times New Roman"/>
                <w:color w:val="auto"/>
                <w:sz w:val="24"/>
                <w:szCs w:val="24"/>
                <w:highlight w:val="none"/>
                <w:lang w:bidi="ar"/>
              </w:rPr>
              <w:t>本项目属于</w:t>
            </w:r>
            <w:r>
              <w:rPr>
                <w:rFonts w:hint="default" w:ascii="Times New Roman" w:hAnsi="Times New Roman" w:eastAsia="宋体" w:cs="Times New Roman"/>
                <w:color w:val="auto"/>
                <w:sz w:val="24"/>
                <w:szCs w:val="24"/>
                <w:highlight w:val="none"/>
                <w:lang w:val="en-US" w:eastAsia="zh-CN"/>
              </w:rPr>
              <w:t>重点管控区</w:t>
            </w:r>
            <w:r>
              <w:rPr>
                <w:rFonts w:hint="default" w:ascii="Times New Roman" w:hAnsi="Times New Roman" w:eastAsia="宋体" w:cs="Times New Roman"/>
                <w:color w:val="auto"/>
                <w:sz w:val="24"/>
                <w:szCs w:val="24"/>
                <w:highlight w:val="none"/>
                <w:lang w:eastAsia="zh-CN" w:bidi="ar"/>
              </w:rPr>
              <w:t>、一般管控单元</w:t>
            </w:r>
            <w:r>
              <w:rPr>
                <w:rFonts w:hint="default" w:ascii="Times New Roman" w:hAnsi="Times New Roman" w:eastAsia="宋体" w:cs="Times New Roman"/>
                <w:color w:val="auto"/>
                <w:sz w:val="24"/>
                <w:szCs w:val="24"/>
                <w:highlight w:val="none"/>
                <w:lang w:val="en-US" w:eastAsia="zh-CN" w:bidi="ar"/>
              </w:rPr>
              <w:t>，同时</w:t>
            </w:r>
            <w:r>
              <w:rPr>
                <w:rFonts w:hint="default" w:ascii="Times New Roman" w:hAnsi="Times New Roman" w:eastAsia="宋体" w:cs="Times New Roman"/>
                <w:color w:val="auto"/>
                <w:sz w:val="24"/>
                <w:szCs w:val="24"/>
                <w:highlight w:val="none"/>
              </w:rPr>
              <w:t>环境质量底线</w:t>
            </w:r>
            <w:r>
              <w:rPr>
                <w:rFonts w:hint="default" w:ascii="Times New Roman" w:hAnsi="Times New Roman" w:eastAsia="宋体" w:cs="Times New Roman"/>
                <w:color w:val="auto"/>
                <w:sz w:val="24"/>
                <w:szCs w:val="24"/>
                <w:highlight w:val="none"/>
                <w:lang w:val="en-US" w:eastAsia="zh-CN"/>
              </w:rPr>
              <w:t>为</w:t>
            </w:r>
            <w:r>
              <w:rPr>
                <w:rFonts w:hint="eastAsia" w:hAnsi="Times New Roman" w:cs="Times New Roman"/>
                <w:color w:val="auto"/>
                <w:sz w:val="24"/>
                <w:szCs w:val="24"/>
                <w:highlight w:val="none"/>
                <w:lang w:val="en-US" w:eastAsia="zh-CN"/>
              </w:rPr>
              <w:t>水环境工业污染重点管控区、大气环境受体敏感重点管控区、大气环境高排放重点管控区</w:t>
            </w:r>
            <w:r>
              <w:rPr>
                <w:rFonts w:hint="default" w:ascii="Times New Roman" w:hAnsi="Times New Roman" w:eastAsia="宋体" w:cs="Times New Roman"/>
                <w:color w:val="auto"/>
                <w:sz w:val="24"/>
                <w:szCs w:val="24"/>
                <w:highlight w:val="none"/>
                <w:lang w:val="en-US" w:eastAsia="zh-CN"/>
              </w:rPr>
              <w:t>、大气环境一般管控区、其他区域，资源利用上线为</w:t>
            </w:r>
            <w:r>
              <w:rPr>
                <w:rFonts w:hint="eastAsia" w:hAnsi="Times New Roman" w:cs="Times New Roman"/>
                <w:color w:val="auto"/>
                <w:sz w:val="24"/>
                <w:szCs w:val="24"/>
                <w:highlight w:val="none"/>
                <w:lang w:val="en-US" w:eastAsia="zh-CN"/>
              </w:rPr>
              <w:t>高污染燃料禁燃区</w:t>
            </w:r>
            <w:r>
              <w:rPr>
                <w:rFonts w:hint="default" w:ascii="Times New Roman" w:hAnsi="Times New Roman" w:eastAsia="宋体" w:cs="Times New Roman"/>
                <w:color w:val="auto"/>
                <w:sz w:val="24"/>
                <w:szCs w:val="24"/>
                <w:highlight w:val="none"/>
                <w:lang w:val="en-US" w:eastAsia="zh-CN"/>
              </w:rPr>
              <w:t>、自然资源一般管控区。本工程与生态环境分区管控符合性情况如下</w:t>
            </w:r>
            <w:r>
              <w:rPr>
                <w:rFonts w:hint="default" w:ascii="Times New Roman" w:hAnsi="Times New Roman" w:cs="Times New Roman"/>
                <w:color w:val="auto"/>
                <w:sz w:val="24"/>
                <w:szCs w:val="24"/>
                <w:highlight w:val="none"/>
                <w:lang w:val="en-US" w:eastAsia="zh-CN"/>
              </w:rPr>
              <w:t>:</w:t>
            </w:r>
          </w:p>
          <w:p w14:paraId="6378EE4A">
            <w:pPr>
              <w:pStyle w:val="135"/>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一图</w:t>
            </w:r>
            <w:r>
              <w:rPr>
                <w:rFonts w:hint="default" w:ascii="Times New Roman" w:hAnsi="Times New Roman" w:cs="Times New Roman"/>
                <w:color w:val="auto"/>
                <w:sz w:val="24"/>
                <w:szCs w:val="24"/>
                <w:highlight w:val="none"/>
                <w:lang w:eastAsia="zh-CN"/>
              </w:rPr>
              <w:t>"</w:t>
            </w:r>
          </w:p>
          <w:p w14:paraId="526EED66">
            <w:pPr>
              <w:keepNext w:val="0"/>
              <w:keepLines w:val="0"/>
              <w:pageBreakBefore w:val="0"/>
              <w:widowControl/>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根据图1</w:t>
            </w:r>
            <w:r>
              <w:rPr>
                <w:rFonts w:hint="default" w:ascii="Times New Roman" w:hAnsi="Times New Roman"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lang w:val="en-US" w:eastAsia="zh-CN"/>
              </w:rPr>
              <w:t>1</w:t>
            </w:r>
            <w:r>
              <w:rPr>
                <w:rFonts w:hint="default" w:ascii="Times New Roman" w:hAnsi="Times New Roman" w:eastAsia="宋体" w:cs="Times New Roman"/>
                <w:color w:val="auto"/>
                <w:kern w:val="24"/>
                <w:sz w:val="24"/>
                <w:szCs w:val="24"/>
                <w:highlight w:val="none"/>
              </w:rPr>
              <w:t>，本项目与环境管控单元叠加图显示，本项目属于一般管控单元。</w:t>
            </w:r>
          </w:p>
          <w:p w14:paraId="51BDDA9A">
            <w:pPr>
              <w:keepNext w:val="0"/>
              <w:keepLines w:val="0"/>
              <w:pageBreakBefore w:val="0"/>
              <w:widowControl/>
              <w:suppressLineNumbers w:val="0"/>
              <w:kinsoku/>
              <w:wordWrap/>
              <w:overflowPunct/>
              <w:topLinePunct w:val="0"/>
              <w:autoSpaceDE/>
              <w:autoSpaceDN/>
              <w:bidi w:val="0"/>
              <w:spacing w:line="500" w:lineRule="exact"/>
              <w:jc w:val="left"/>
              <w:textAlignment w:val="auto"/>
              <w:rPr>
                <w:rFonts w:hint="default" w:ascii="Times New Roman" w:hAnsi="Times New Roman" w:eastAsia="宋体" w:cs="Times New Roman"/>
                <w:b/>
                <w:bCs/>
                <w:color w:val="auto"/>
                <w:kern w:val="24"/>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与环境管控单元叠加图</w:t>
            </w:r>
            <w:r>
              <w:rPr>
                <w:rFonts w:hint="default" w:ascii="Times New Roman" w:hAnsi="Times New Roman" w:cs="Times New Roman"/>
                <w:b/>
                <w:bCs/>
                <w:color w:val="auto"/>
                <w:kern w:val="0"/>
                <w:sz w:val="24"/>
                <w:szCs w:val="24"/>
                <w:highlight w:val="none"/>
                <w:lang w:val="en-US" w:eastAsia="zh-CN" w:bidi="ar"/>
              </w:rPr>
              <w:t>:</w:t>
            </w:r>
          </w:p>
          <w:p w14:paraId="3A6E4B34">
            <w:pPr>
              <w:pStyle w:val="136"/>
              <w:rPr>
                <w:rFonts w:hint="default" w:ascii="Times New Roman" w:hAnsi="Times New Roman" w:eastAsia="宋体" w:cs="Times New Roman"/>
                <w:color w:val="auto"/>
                <w:highlight w:val="none"/>
                <w:lang w:val="en-US" w:eastAsia="zh-CN"/>
              </w:rPr>
            </w:pPr>
          </w:p>
          <w:p w14:paraId="703F2825">
            <w:pPr>
              <w:pStyle w:val="135"/>
              <w:ind w:left="0" w:leftChars="0" w:firstLine="0" w:firstLineChars="0"/>
              <w:jc w:val="center"/>
              <w:rPr>
                <w:rFonts w:hint="default" w:ascii="Times New Roman" w:hAnsi="Times New Roman" w:eastAsia="宋体" w:cs="Times New Roman"/>
                <w:color w:val="auto"/>
                <w:highlight w:val="none"/>
              </w:rPr>
            </w:pPr>
            <w:r>
              <w:rPr>
                <w:highlight w:val="none"/>
              </w:rPr>
              <w:drawing>
                <wp:inline distT="0" distB="0" distL="114300" distR="114300">
                  <wp:extent cx="4836795" cy="2484120"/>
                  <wp:effectExtent l="0" t="0" r="1905" b="1143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8"/>
                          <a:stretch>
                            <a:fillRect/>
                          </a:stretch>
                        </pic:blipFill>
                        <pic:spPr>
                          <a:xfrm>
                            <a:off x="0" y="0"/>
                            <a:ext cx="4836795" cy="2484120"/>
                          </a:xfrm>
                          <a:prstGeom prst="rect">
                            <a:avLst/>
                          </a:prstGeom>
                          <a:noFill/>
                          <a:ln>
                            <a:noFill/>
                          </a:ln>
                        </pic:spPr>
                      </pic:pic>
                    </a:graphicData>
                  </a:graphic>
                </wp:inline>
              </w:drawing>
            </w:r>
          </w:p>
          <w:p w14:paraId="289F55AB">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67861AA">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75790D8">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5014A4B5">
            <w:pPr>
              <w:keepNext w:val="0"/>
              <w:keepLines w:val="0"/>
              <w:widowControl/>
              <w:suppressLineNumbers w:val="0"/>
              <w:jc w:val="left"/>
              <w:rPr>
                <w:rFonts w:hint="default" w:ascii="Times New Roman" w:hAnsi="Times New Roman" w:eastAsia="宋体" w:cs="Times New Roman"/>
                <w:b/>
                <w:bCs/>
                <w:color w:val="auto"/>
                <w:kern w:val="0"/>
                <w:sz w:val="24"/>
                <w:szCs w:val="24"/>
                <w:highlight w:val="none"/>
                <w:lang w:val="en-US" w:eastAsia="zh-CN" w:bidi="ar"/>
              </w:rPr>
            </w:pPr>
          </w:p>
          <w:p w14:paraId="0B46665E">
            <w:pPr>
              <w:keepNext w:val="0"/>
              <w:keepLines w:val="0"/>
              <w:widowControl/>
              <w:suppressLineNumbers w:val="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与地下水环境管控区叠加图</w:t>
            </w:r>
            <w:r>
              <w:rPr>
                <w:rFonts w:hint="default" w:ascii="Times New Roman" w:hAnsi="Times New Roman" w:cs="Times New Roman"/>
                <w:b/>
                <w:bCs/>
                <w:color w:val="auto"/>
                <w:kern w:val="0"/>
                <w:sz w:val="24"/>
                <w:szCs w:val="24"/>
                <w:highlight w:val="none"/>
                <w:lang w:val="en-US" w:eastAsia="zh-CN" w:bidi="ar"/>
              </w:rPr>
              <w:t>:</w:t>
            </w:r>
          </w:p>
          <w:p w14:paraId="6A6C8663">
            <w:pPr>
              <w:keepNext w:val="0"/>
              <w:keepLines w:val="0"/>
              <w:widowControl/>
              <w:suppressLineNumbers w:val="0"/>
              <w:jc w:val="center"/>
              <w:rPr>
                <w:rFonts w:hint="default" w:ascii="Times New Roman" w:hAnsi="Times New Roman" w:eastAsia="宋体" w:cs="Times New Roman"/>
                <w:color w:val="auto"/>
                <w:kern w:val="0"/>
                <w:sz w:val="24"/>
                <w:szCs w:val="24"/>
                <w:highlight w:val="none"/>
                <w:lang w:val="en-US" w:eastAsia="zh-CN" w:bidi="ar"/>
              </w:rPr>
            </w:pPr>
            <w:r>
              <w:rPr>
                <w:highlight w:val="none"/>
              </w:rPr>
              <w:drawing>
                <wp:inline distT="0" distB="0" distL="114300" distR="114300">
                  <wp:extent cx="4994910" cy="2562860"/>
                  <wp:effectExtent l="0" t="0" r="15240" b="889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
                          <a:stretch>
                            <a:fillRect/>
                          </a:stretch>
                        </pic:blipFill>
                        <pic:spPr>
                          <a:xfrm>
                            <a:off x="0" y="0"/>
                            <a:ext cx="4994910" cy="2562860"/>
                          </a:xfrm>
                          <a:prstGeom prst="rect">
                            <a:avLst/>
                          </a:prstGeom>
                          <a:noFill/>
                          <a:ln>
                            <a:noFill/>
                          </a:ln>
                        </pic:spPr>
                      </pic:pic>
                    </a:graphicData>
                  </a:graphic>
                </wp:inline>
              </w:drawing>
            </w:r>
          </w:p>
          <w:p w14:paraId="1CCD61F2">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图1</w:t>
            </w:r>
            <w:r>
              <w:rPr>
                <w:rFonts w:hint="default" w:ascii="Times New Roman" w:hAnsi="Times New Roman" w:cs="Times New Roman"/>
                <w:b/>
                <w:bCs/>
                <w:color w:val="auto"/>
                <w:kern w:val="0"/>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lang w:val="en-US" w:eastAsia="zh-CN" w:bidi="ar-SA"/>
              </w:rPr>
              <w:t>1  本项目与环境管控单元对照分析示意图</w:t>
            </w:r>
          </w:p>
          <w:p w14:paraId="66807DD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w:t>
            </w:r>
            <w:r>
              <w:rPr>
                <w:rFonts w:hint="default" w:ascii="Times New Roman" w:hAnsi="Times New Roman" w:eastAsia="宋体" w:cs="Times New Roman"/>
                <w:color w:val="auto"/>
                <w:sz w:val="24"/>
                <w:szCs w:val="24"/>
                <w:highlight w:val="none"/>
                <w:lang w:val="en-US" w:eastAsia="zh-CN"/>
              </w:rPr>
              <w:t>表</w:t>
            </w:r>
            <w:r>
              <w:rPr>
                <w:rFonts w:hint="default" w:ascii="Times New Roman" w:hAnsi="Times New Roman" w:cs="Times New Roman"/>
                <w:color w:val="auto"/>
                <w:sz w:val="24"/>
                <w:szCs w:val="24"/>
                <w:highlight w:val="none"/>
                <w:lang w:eastAsia="zh-CN"/>
              </w:rPr>
              <w:t>"</w:t>
            </w:r>
          </w:p>
          <w:p w14:paraId="379A6D3C">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1）生态红线分析</w:t>
            </w:r>
            <w:r>
              <w:rPr>
                <w:rFonts w:hint="default" w:ascii="Times New Roman" w:hAnsi="Times New Roman" w:cs="Times New Roman"/>
                <w:color w:val="auto"/>
                <w:kern w:val="2"/>
                <w:sz w:val="24"/>
                <w:szCs w:val="24"/>
                <w:highlight w:val="none"/>
                <w:lang w:val="en-US" w:eastAsia="zh-CN"/>
              </w:rPr>
              <w:t>:</w:t>
            </w:r>
          </w:p>
          <w:p w14:paraId="3EB5A5B2">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根据黑龙江省生态环境分区管控数据应用平台出具的《</w:t>
            </w:r>
            <w:r>
              <w:rPr>
                <w:rFonts w:hint="eastAsia" w:hAnsi="Times New Roman" w:cs="Times New Roman"/>
                <w:color w:val="auto"/>
                <w:kern w:val="2"/>
                <w:sz w:val="24"/>
                <w:szCs w:val="24"/>
                <w:highlight w:val="none"/>
                <w:lang w:val="en-US" w:eastAsia="zh-CN"/>
              </w:rPr>
              <w:t>庆安县格木克河改道项目</w:t>
            </w:r>
            <w:r>
              <w:rPr>
                <w:rFonts w:hint="default" w:ascii="Times New Roman" w:hAnsi="Times New Roman" w:eastAsia="宋体" w:cs="Times New Roman"/>
                <w:color w:val="auto"/>
                <w:kern w:val="2"/>
                <w:sz w:val="24"/>
                <w:szCs w:val="24"/>
                <w:highlight w:val="none"/>
                <w:lang w:val="en-US" w:eastAsia="zh-CN"/>
              </w:rPr>
              <w:t>生态环境分区管控分析报告》可知，</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与生态保护红线交集面积为0.0</w:t>
            </w:r>
            <w:r>
              <w:rPr>
                <w:rFonts w:hint="eastAsia"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平方公里，占项目占地面积的 0.00%。</w:t>
            </w:r>
          </w:p>
          <w:p w14:paraId="4612E805">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eastAsia="zh-CN"/>
              </w:rPr>
              <w:t>"生态环境分区管控"</w:t>
            </w:r>
            <w:r>
              <w:rPr>
                <w:rFonts w:hint="default" w:ascii="Times New Roman" w:hAnsi="Times New Roman" w:eastAsia="宋体" w:cs="Times New Roman"/>
                <w:color w:val="auto"/>
                <w:sz w:val="24"/>
                <w:highlight w:val="none"/>
              </w:rPr>
              <w:t>符合性分析</w:t>
            </w:r>
          </w:p>
          <w:p w14:paraId="0541C8C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w:t>
            </w:r>
            <w:r>
              <w:rPr>
                <w:rFonts w:hint="default" w:ascii="Times New Roman" w:hAnsi="Times New Roman" w:cs="Times New Roman"/>
                <w:color w:val="auto"/>
                <w:sz w:val="24"/>
                <w:highlight w:val="none"/>
                <w:lang w:eastAsia="zh-CN"/>
              </w:rPr>
              <w:t>"生态环境分区管控"</w:t>
            </w:r>
            <w:r>
              <w:rPr>
                <w:rFonts w:hint="default" w:ascii="Times New Roman" w:hAnsi="Times New Roman" w:eastAsia="宋体" w:cs="Times New Roman"/>
                <w:color w:val="auto"/>
                <w:sz w:val="24"/>
                <w:highlight w:val="none"/>
              </w:rPr>
              <w:t>符合性分析见表1</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54A1FB62">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kern w:val="0"/>
                <w:sz w:val="21"/>
                <w:szCs w:val="22"/>
                <w:highlight w:val="none"/>
                <w:lang w:val="en-US" w:eastAsia="zh-CN" w:bidi="ar-SA"/>
              </w:rPr>
            </w:pPr>
            <w:r>
              <w:rPr>
                <w:rFonts w:hint="default" w:ascii="Times New Roman" w:hAnsi="Times New Roman" w:eastAsia="宋体" w:cs="Times New Roman"/>
                <w:b/>
                <w:bCs/>
                <w:color w:val="auto"/>
                <w:kern w:val="0"/>
                <w:sz w:val="21"/>
                <w:szCs w:val="22"/>
                <w:highlight w:val="none"/>
                <w:lang w:val="en-US" w:eastAsia="zh-CN" w:bidi="ar-SA"/>
              </w:rPr>
              <w:t>表1</w:t>
            </w:r>
            <w:r>
              <w:rPr>
                <w:rFonts w:hint="default" w:ascii="Times New Roman" w:hAnsi="Times New Roman" w:cs="Times New Roman"/>
                <w:b/>
                <w:bCs/>
                <w:color w:val="auto"/>
                <w:kern w:val="0"/>
                <w:sz w:val="21"/>
                <w:szCs w:val="22"/>
                <w:highlight w:val="none"/>
                <w:lang w:val="en-US" w:eastAsia="zh-CN" w:bidi="ar-SA"/>
              </w:rPr>
              <w:t>—</w:t>
            </w:r>
            <w:r>
              <w:rPr>
                <w:rFonts w:hint="default" w:ascii="Times New Roman" w:hAnsi="Times New Roman" w:eastAsia="宋体" w:cs="Times New Roman"/>
                <w:b/>
                <w:bCs/>
                <w:color w:val="auto"/>
                <w:kern w:val="0"/>
                <w:sz w:val="21"/>
                <w:szCs w:val="22"/>
                <w:highlight w:val="none"/>
                <w:lang w:val="en-US" w:eastAsia="zh-CN" w:bidi="ar-SA"/>
              </w:rPr>
              <w:t>2  本项目与</w:t>
            </w:r>
            <w:r>
              <w:rPr>
                <w:rFonts w:hint="default" w:ascii="Times New Roman" w:hAnsi="Times New Roman" w:cs="Times New Roman"/>
                <w:b/>
                <w:bCs/>
                <w:color w:val="auto"/>
                <w:kern w:val="0"/>
                <w:sz w:val="21"/>
                <w:szCs w:val="22"/>
                <w:highlight w:val="none"/>
                <w:lang w:val="en-US" w:eastAsia="zh-CN" w:bidi="ar-SA"/>
              </w:rPr>
              <w:t>"生态环境分区管控"</w:t>
            </w:r>
            <w:r>
              <w:rPr>
                <w:rFonts w:hint="default" w:ascii="Times New Roman" w:hAnsi="Times New Roman" w:eastAsia="宋体" w:cs="Times New Roman"/>
                <w:b/>
                <w:bCs/>
                <w:color w:val="auto"/>
                <w:kern w:val="0"/>
                <w:sz w:val="21"/>
                <w:szCs w:val="22"/>
                <w:highlight w:val="none"/>
                <w:lang w:val="en-US" w:eastAsia="zh-CN" w:bidi="ar-SA"/>
              </w:rPr>
              <w:t>要求符合性分析</w:t>
            </w:r>
          </w:p>
          <w:tbl>
            <w:tblPr>
              <w:tblStyle w:val="25"/>
              <w:tblW w:w="493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4159"/>
              <w:gridCol w:w="14"/>
              <w:gridCol w:w="2219"/>
            </w:tblGrid>
            <w:tr w14:paraId="748C4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92" w:type="pct"/>
                  <w:noWrap w:val="0"/>
                  <w:vAlign w:val="center"/>
                </w:tcPr>
                <w:p w14:paraId="6ED2AE16">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315DEAA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庆安县城镇空间</w:t>
                  </w:r>
                </w:p>
              </w:tc>
            </w:tr>
            <w:tr w14:paraId="23C1E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92" w:type="pct"/>
                  <w:noWrap w:val="0"/>
                  <w:vAlign w:val="center"/>
                </w:tcPr>
                <w:p w14:paraId="3C4F33AF">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0FA6AD76">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w:t>
                  </w:r>
                  <w:r>
                    <w:rPr>
                      <w:rFonts w:hint="eastAsia" w:cs="Times New Roman"/>
                      <w:b/>
                      <w:bCs/>
                      <w:snapToGrid w:val="0"/>
                      <w:color w:val="auto"/>
                      <w:sz w:val="18"/>
                      <w:szCs w:val="18"/>
                      <w:highlight w:val="none"/>
                      <w:lang w:val="en-US" w:eastAsia="zh-CN"/>
                    </w:rPr>
                    <w:t>23122420002</w:t>
                  </w:r>
                </w:p>
              </w:tc>
            </w:tr>
            <w:tr w14:paraId="7FF7F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892" w:type="pct"/>
                  <w:noWrap w:val="0"/>
                  <w:vAlign w:val="center"/>
                </w:tcPr>
                <w:p w14:paraId="02243D6D">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39DCCBFF">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重点管控单元</w:t>
                  </w:r>
                </w:p>
              </w:tc>
            </w:tr>
            <w:tr w14:paraId="7724B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64" w:type="pct"/>
                  <w:gridSpan w:val="2"/>
                  <w:noWrap w:val="0"/>
                  <w:vAlign w:val="center"/>
                </w:tcPr>
                <w:p w14:paraId="25475420">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管控要求</w:t>
                  </w:r>
                </w:p>
              </w:tc>
              <w:tc>
                <w:tcPr>
                  <w:tcW w:w="1435" w:type="pct"/>
                  <w:gridSpan w:val="2"/>
                  <w:noWrap w:val="0"/>
                  <w:vAlign w:val="center"/>
                </w:tcPr>
                <w:p w14:paraId="6AAF241E">
                  <w:pPr>
                    <w:keepNext w:val="0"/>
                    <w:keepLines w:val="0"/>
                    <w:pageBreakBefore w:val="0"/>
                    <w:kinsoku/>
                    <w:wordWrap/>
                    <w:overflowPunct/>
                    <w:topLinePunct w:val="0"/>
                    <w:bidi w:val="0"/>
                    <w:adjustRightInd w:val="0"/>
                    <w:snapToGrid w:val="0"/>
                    <w:spacing w:line="240" w:lineRule="exact"/>
                    <w:ind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项目符合性分析</w:t>
                  </w:r>
                </w:p>
              </w:tc>
            </w:tr>
            <w:tr w14:paraId="5F91E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0DCE980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空间布局约束</w:t>
                  </w:r>
                </w:p>
              </w:tc>
              <w:tc>
                <w:tcPr>
                  <w:tcW w:w="2672" w:type="pct"/>
                  <w:noWrap w:val="0"/>
                  <w:vAlign w:val="center"/>
                </w:tcPr>
                <w:p w14:paraId="372D7A8B">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执行1.严禁在人口密集区新建危险化学品生产项目，城镇人口密集区危险化学品生产企业应搬迁改造。2.禁止在城镇居民区、文化教育科学研究区等人口集中区域建设畜禽养殖场、养殖小区。</w:t>
                  </w:r>
                </w:p>
              </w:tc>
              <w:tc>
                <w:tcPr>
                  <w:tcW w:w="1435" w:type="pct"/>
                  <w:gridSpan w:val="2"/>
                  <w:noWrap w:val="0"/>
                  <w:vAlign w:val="center"/>
                </w:tcPr>
                <w:p w14:paraId="247AFF2A">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工程为</w:t>
                  </w:r>
                  <w:r>
                    <w:rPr>
                      <w:rFonts w:hint="default" w:ascii="Times New Roman" w:hAnsi="Times New Roman" w:eastAsia="宋体" w:cs="Times New Roman"/>
                      <w:color w:val="auto"/>
                      <w:sz w:val="18"/>
                      <w:szCs w:val="18"/>
                      <w:highlight w:val="none"/>
                      <w:lang w:eastAsia="zh-CN"/>
                    </w:rPr>
                    <w:t>防洪除涝工程，</w:t>
                  </w:r>
                  <w:r>
                    <w:rPr>
                      <w:rFonts w:hint="eastAsia" w:cs="Times New Roman"/>
                      <w:color w:val="auto"/>
                      <w:sz w:val="18"/>
                      <w:szCs w:val="18"/>
                      <w:highlight w:val="none"/>
                      <w:lang w:val="en-US" w:eastAsia="zh-CN"/>
                    </w:rPr>
                    <w:t>不涉及危险化学品生产，不涉及</w:t>
                  </w:r>
                  <w:r>
                    <w:rPr>
                      <w:rFonts w:hint="default" w:ascii="Times New Roman" w:hAnsi="Times New Roman" w:eastAsia="宋体" w:cs="Times New Roman"/>
                      <w:snapToGrid w:val="0"/>
                      <w:color w:val="auto"/>
                      <w:sz w:val="18"/>
                      <w:szCs w:val="18"/>
                      <w:highlight w:val="none"/>
                    </w:rPr>
                    <w:t>畜禽养殖场、养殖小区</w:t>
                  </w:r>
                  <w:r>
                    <w:rPr>
                      <w:rFonts w:hint="default" w:ascii="Times New Roman" w:hAnsi="Times New Roman" w:eastAsia="宋体" w:cs="Times New Roman"/>
                      <w:color w:val="auto"/>
                      <w:sz w:val="18"/>
                      <w:szCs w:val="18"/>
                      <w:highlight w:val="none"/>
                      <w:lang w:eastAsia="zh-CN"/>
                    </w:rPr>
                    <w:t>。</w:t>
                  </w:r>
                </w:p>
              </w:tc>
            </w:tr>
            <w:tr w14:paraId="623F5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315AF726">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污染物排放管控</w:t>
                  </w:r>
                </w:p>
              </w:tc>
              <w:tc>
                <w:tcPr>
                  <w:tcW w:w="2672" w:type="pct"/>
                  <w:noWrap w:val="0"/>
                  <w:vAlign w:val="center"/>
                </w:tcPr>
                <w:p w14:paraId="60ED980F">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执行：加快 65t</w:t>
                  </w:r>
                  <w:r>
                    <w:rPr>
                      <w:rFonts w:hint="eastAsia" w:cs="Times New Roman"/>
                      <w:snapToGrid w:val="0"/>
                      <w:color w:val="auto"/>
                      <w:sz w:val="18"/>
                      <w:szCs w:val="18"/>
                      <w:highlight w:val="none"/>
                      <w:lang w:val="en-US" w:eastAsia="zh-CN"/>
                    </w:rPr>
                    <w:t>/</w:t>
                  </w:r>
                  <w:r>
                    <w:rPr>
                      <w:rFonts w:hint="default" w:ascii="Times New Roman" w:hAnsi="Times New Roman" w:eastAsia="宋体" w:cs="Times New Roman"/>
                      <w:snapToGrid w:val="0"/>
                      <w:color w:val="auto"/>
                      <w:sz w:val="18"/>
                      <w:szCs w:val="18"/>
                      <w:highlight w:val="none"/>
                      <w:lang w:val="en-US" w:eastAsia="zh-CN"/>
                    </w:rPr>
                    <w:t>h 以上燃煤锅炉（含电力）超低排放改造。</w:t>
                  </w:r>
                </w:p>
              </w:tc>
              <w:tc>
                <w:tcPr>
                  <w:tcW w:w="1435" w:type="pct"/>
                  <w:gridSpan w:val="2"/>
                  <w:noWrap w:val="0"/>
                  <w:vAlign w:val="center"/>
                </w:tcPr>
                <w:p w14:paraId="1C3B989F">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本项目不涉及以上条款。</w:t>
                  </w:r>
                </w:p>
              </w:tc>
            </w:tr>
            <w:tr w14:paraId="29079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772B4CF3">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环境风险防控</w:t>
                  </w:r>
                </w:p>
              </w:tc>
              <w:tc>
                <w:tcPr>
                  <w:tcW w:w="2672" w:type="pct"/>
                  <w:noWrap w:val="0"/>
                  <w:vAlign w:val="center"/>
                </w:tcPr>
                <w:p w14:paraId="50230F6E">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执行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w:t>
                  </w:r>
                </w:p>
              </w:tc>
              <w:tc>
                <w:tcPr>
                  <w:tcW w:w="1435" w:type="pct"/>
                  <w:gridSpan w:val="2"/>
                  <w:noWrap w:val="0"/>
                  <w:vAlign w:val="center"/>
                </w:tcPr>
                <w:p w14:paraId="229B9CD2">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本项目不涉及以上条款。</w:t>
                  </w:r>
                </w:p>
              </w:tc>
            </w:tr>
            <w:tr w14:paraId="6B98A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4D1ED246">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资源开发效率</w:t>
                  </w:r>
                </w:p>
              </w:tc>
              <w:tc>
                <w:tcPr>
                  <w:tcW w:w="2672" w:type="pct"/>
                  <w:noWrap w:val="0"/>
                  <w:vAlign w:val="center"/>
                </w:tcPr>
                <w:p w14:paraId="76252174">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执行 1.推进污水再生利用设施建设。 2.公共建筑必须采用节水器具，限期淘汰公共建筑中</w:t>
                  </w:r>
                </w:p>
                <w:p w14:paraId="2A9ED9DC">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不符合节水标准的水嘴、便器水箱等生活用水器具。</w:t>
                  </w:r>
                </w:p>
              </w:tc>
              <w:tc>
                <w:tcPr>
                  <w:tcW w:w="1435" w:type="pct"/>
                  <w:gridSpan w:val="2"/>
                  <w:noWrap w:val="0"/>
                  <w:vAlign w:val="center"/>
                </w:tcPr>
                <w:p w14:paraId="11C89137">
                  <w:pPr>
                    <w:keepNext w:val="0"/>
                    <w:keepLines w:val="0"/>
                    <w:pageBreakBefore w:val="0"/>
                    <w:widowControl w:val="0"/>
                    <w:kinsoku/>
                    <w:wordWrap/>
                    <w:overflowPunct/>
                    <w:topLinePunct w:val="0"/>
                    <w:autoSpaceDE/>
                    <w:autoSpaceDN/>
                    <w:bidi w:val="0"/>
                    <w:snapToGrid w:val="0"/>
                    <w:spacing w:line="240" w:lineRule="exact"/>
                    <w:ind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本项目不涉及以上条款。</w:t>
                  </w:r>
                </w:p>
              </w:tc>
            </w:tr>
            <w:tr w14:paraId="44F9E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92" w:type="pct"/>
                  <w:noWrap w:val="0"/>
                  <w:vAlign w:val="center"/>
                </w:tcPr>
                <w:p w14:paraId="13300D89">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22932353">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黑龙江庆安经济开发区</w:t>
                  </w:r>
                </w:p>
              </w:tc>
            </w:tr>
            <w:tr w14:paraId="75983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68E41148">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1AEF544A">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w:t>
                  </w:r>
                  <w:r>
                    <w:rPr>
                      <w:rFonts w:hint="eastAsia" w:cs="Times New Roman"/>
                      <w:b/>
                      <w:bCs/>
                      <w:snapToGrid w:val="0"/>
                      <w:color w:val="auto"/>
                      <w:sz w:val="18"/>
                      <w:szCs w:val="18"/>
                      <w:highlight w:val="none"/>
                      <w:lang w:val="en-US" w:eastAsia="zh-CN"/>
                    </w:rPr>
                    <w:t>23122420001</w:t>
                  </w:r>
                </w:p>
              </w:tc>
            </w:tr>
            <w:tr w14:paraId="2D454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892" w:type="pct"/>
                  <w:noWrap w:val="0"/>
                  <w:vAlign w:val="center"/>
                </w:tcPr>
                <w:p w14:paraId="2FEF8A6E">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2740D768">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eastAsia" w:cs="Times New Roman"/>
                      <w:b/>
                      <w:bCs/>
                      <w:snapToGrid w:val="0"/>
                      <w:color w:val="auto"/>
                      <w:sz w:val="18"/>
                      <w:szCs w:val="18"/>
                      <w:highlight w:val="none"/>
                      <w:lang w:val="en-US" w:eastAsia="zh-CN"/>
                    </w:rPr>
                    <w:t>重点</w:t>
                  </w:r>
                  <w:r>
                    <w:rPr>
                      <w:rFonts w:hint="default" w:ascii="Times New Roman" w:hAnsi="Times New Roman" w:eastAsia="宋体" w:cs="Times New Roman"/>
                      <w:b/>
                      <w:bCs/>
                      <w:snapToGrid w:val="0"/>
                      <w:color w:val="auto"/>
                      <w:sz w:val="18"/>
                      <w:szCs w:val="18"/>
                      <w:highlight w:val="none"/>
                      <w:lang w:val="en-US" w:eastAsia="zh-CN"/>
                    </w:rPr>
                    <w:t>管控单元</w:t>
                  </w:r>
                </w:p>
              </w:tc>
            </w:tr>
            <w:tr w14:paraId="26816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892" w:type="pct"/>
                  <w:noWrap w:val="0"/>
                  <w:vAlign w:val="center"/>
                </w:tcPr>
                <w:p w14:paraId="6537C7A8">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rPr>
                    <w:t>空间布局约束</w:t>
                  </w:r>
                </w:p>
              </w:tc>
              <w:tc>
                <w:tcPr>
                  <w:tcW w:w="2672" w:type="pct"/>
                  <w:noWrap w:val="0"/>
                  <w:vAlign w:val="center"/>
                </w:tcPr>
                <w:p w14:paraId="083C2D31">
                  <w:pPr>
                    <w:keepNext w:val="0"/>
                    <w:keepLines w:val="0"/>
                    <w:pageBreakBefore w:val="0"/>
                    <w:kinsoku/>
                    <w:wordWrap/>
                    <w:overflowPunct/>
                    <w:topLinePunct w:val="0"/>
                    <w:bidi w:val="0"/>
                    <w:snapToGrid w:val="0"/>
                    <w:spacing w:line="240" w:lineRule="exact"/>
                    <w:ind w:right="0"/>
                    <w:jc w:val="left"/>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1.食品企业项目仅允许布局在规范的范围内。建立总量控制措施，完善配套服务设施，严格控制污染企业进入。 2.引导使用先进科技，提高生产效率，减少原料的使用量。 3.执行（1）入园建设项目开展环评工作时，应以产业园区规划环评为依据，重点分析项目环评与规划环评结论及审查意见的符合性；产业园区招商引资、入园建设项目环评审批等应将规划环评结论及审查意见作为重要依据。（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3）重大制造业项目、依托能源和矿产资源的资源加工业项目原则上布局在重点开发区。（4）未纳入国家有关领域产业规划的，一律不得新建改扩建炼油和新建乙烯、对二甲苯、煤制烯烃项目。（5）禁止引进国家产业政策明令淘汰和限制的产品、技术、工艺、设备及行为。（6）编制产业园区开发建设规划时应依法开展规划环评。（7）规划审批机关在审批规划时，应将规划环评结论及审查意见作为决策的重要依据，在审批中未采纳环境影响报告书结论及审查意见的，应当作出说明并存档备查。（8）产业园区招商引资、入园建设项目环评审批等应将规划环评结论及审查意见作为重要依据。（9）产业园区开发建设规划应符合国家政策和相关法律法规要求，规划发生重大调整或修订的，应当依法重新或补充开展规划环评工作。 4.水环境工业污染重点管控区同时执行（1）区域内严格控制高耗水、高污染行业发展。（2）加快淘汰落后产能，大力推进产业结构调整和优化升级。（3）根据水资源和水环境承载能力，以水定城、以水定地、以水定人、以水定产。</w:t>
                  </w:r>
                </w:p>
              </w:tc>
              <w:tc>
                <w:tcPr>
                  <w:tcW w:w="1435" w:type="pct"/>
                  <w:gridSpan w:val="2"/>
                  <w:noWrap w:val="0"/>
                  <w:vAlign w:val="center"/>
                </w:tcPr>
                <w:p w14:paraId="4C3BA23B">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lang w:eastAsia="zh-CN"/>
                    </w:rPr>
                    <w:t>属防洪除涝工程，</w:t>
                  </w:r>
                  <w:r>
                    <w:rPr>
                      <w:rFonts w:hint="default" w:ascii="Times New Roman" w:hAnsi="Times New Roman" w:eastAsia="宋体" w:cs="Times New Roman"/>
                      <w:color w:val="auto"/>
                      <w:sz w:val="18"/>
                      <w:szCs w:val="18"/>
                      <w:highlight w:val="none"/>
                      <w:lang w:val="en-US" w:eastAsia="zh-CN"/>
                    </w:rPr>
                    <w:t>本项目占用林地和草原</w:t>
                  </w:r>
                  <w:r>
                    <w:rPr>
                      <w:rFonts w:hint="default" w:ascii="Times New Roman" w:hAnsi="Times New Roman" w:cs="Times New Roman"/>
                      <w:color w:val="auto"/>
                      <w:sz w:val="18"/>
                      <w:szCs w:val="18"/>
                      <w:highlight w:val="none"/>
                      <w:lang w:val="en-US" w:eastAsia="zh-CN"/>
                    </w:rPr>
                    <w:t>、耕地。</w:t>
                  </w:r>
                </w:p>
                <w:p w14:paraId="515BC165">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在施工前进行表土剥离，在施工结束后进行表土回填并进行土地复垦，恢复耕地</w:t>
                  </w:r>
                  <w:r>
                    <w:rPr>
                      <w:rFonts w:hint="default" w:ascii="Times New Roman" w:hAnsi="Times New Roman" w:cs="Times New Roman"/>
                      <w:color w:val="auto"/>
                      <w:sz w:val="18"/>
                      <w:szCs w:val="18"/>
                      <w:highlight w:val="none"/>
                      <w:lang w:val="en-US" w:eastAsia="zh-CN"/>
                    </w:rPr>
                    <w:t>。</w:t>
                  </w:r>
                </w:p>
                <w:p w14:paraId="125EC406">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360" w:firstLineChars="200"/>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永久占用林地和草地，在</w:t>
                  </w:r>
                  <w:r>
                    <w:rPr>
                      <w:rFonts w:hint="default" w:ascii="Times New Roman" w:hAnsi="Times New Roman" w:eastAsia="宋体" w:cs="Times New Roman"/>
                      <w:color w:val="auto"/>
                      <w:sz w:val="18"/>
                      <w:szCs w:val="18"/>
                      <w:highlight w:val="none"/>
                      <w:lang w:val="en-US" w:eastAsia="zh-CN"/>
                    </w:rPr>
                    <w:t>施工结束后进行生态修复，占补平衡。</w:t>
                  </w:r>
                </w:p>
              </w:tc>
            </w:tr>
            <w:tr w14:paraId="1C68F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92" w:type="pct"/>
                  <w:shd w:val="clear" w:color="auto" w:fill="auto"/>
                  <w:noWrap w:val="0"/>
                  <w:vAlign w:val="center"/>
                </w:tcPr>
                <w:p w14:paraId="19F79125">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污染物排放管控</w:t>
                  </w:r>
                </w:p>
              </w:tc>
              <w:tc>
                <w:tcPr>
                  <w:tcW w:w="2672" w:type="pct"/>
                  <w:shd w:val="clear" w:color="auto" w:fill="auto"/>
                  <w:noWrap w:val="0"/>
                  <w:vAlign w:val="center"/>
                </w:tcPr>
                <w:p w14:paraId="3C5ED805">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1.城市建成区和工业园区内新建、改扩建项目废气污染物二氧化硫、氮氧化物和细颗粒物排放总量应等量置换。 2.升级改造环保设施，确保园区排水稳定达标，制定农副食品加工行业专项治理方案，严格控制化学需氧量、氮、磷等污染物的排放。 3.执行（1）应按规定建设污水集中处理设施，并安装自动在线监控装置。 （3）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 （5）新、改、扩建涉重金属重点行业建设项目必须遵循重点重金属污染物排放“减量置换”或“等量替换”原则。 （6）对于含有毒有害水污染物的工业废水和生活污水混合处理的污水处理厂产生的污泥，不能采用土地利用方式。</w:t>
                  </w:r>
                </w:p>
                <w:p w14:paraId="01010FC8">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（7）加强消耗臭氧层物质和氢氟碳化物环境管理，加强泡沫、制冷、氟化工等行业治理，逐步淘汰氢氯氟烃使用。 （8）新建煤制烯烃、新建煤制对二甲苯 (PX) 项目纳入《现代煤化工产业创新发展布局方案》后，由省级政府核准。新建年产超过 100 万吨的煤制甲醇项目，由省级政府核准。 （9）各地不得新建、扩建二氟甲烷、1,1,1,2-四氟乙烷、五氟乙烷、1,1,1-三氟乙烷、1.1.1.3.3-五氟丙烷用作制冷剂、发泡剂等受控用途的 HFCs 化工生产设施 （不含副立设施），环境影响报告书 （表） 已通过审批的除外。 4.水环境工业污染重点管控区同时执行（1) 。 （2）新建、改建和扩建项目应当优先采用资源利用率高以及污染物产生量少的清洁生产技术、工艺和设备。 （3）集中治理工业集聚区内工业废水，区内工业废水必须经预处理达到集中处理要求后，方可进入污水集中处理设施。新建、升级工业集聚区应同步规划和建设污水、垃圾集中处理等污染治理设施。</w:t>
                  </w:r>
                </w:p>
              </w:tc>
              <w:tc>
                <w:tcPr>
                  <w:tcW w:w="1435" w:type="pct"/>
                  <w:gridSpan w:val="2"/>
                  <w:shd w:val="clear" w:color="auto" w:fill="auto"/>
                  <w:noWrap w:val="0"/>
                  <w:vAlign w:val="center"/>
                </w:tcPr>
                <w:p w14:paraId="4A36F561">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本项目运营期无污染物排放。</w:t>
                  </w:r>
                </w:p>
              </w:tc>
            </w:tr>
            <w:tr w14:paraId="4B7F3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92" w:type="pct"/>
                  <w:shd w:val="clear" w:color="auto" w:fill="auto"/>
                  <w:noWrap w:val="0"/>
                  <w:vAlign w:val="center"/>
                </w:tcPr>
                <w:p w14:paraId="70E7A569">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环境风险防控</w:t>
                  </w:r>
                </w:p>
              </w:tc>
              <w:tc>
                <w:tcPr>
                  <w:tcW w:w="2672" w:type="pct"/>
                  <w:shd w:val="clear" w:color="auto" w:fill="auto"/>
                  <w:noWrap w:val="0"/>
                  <w:vAlign w:val="center"/>
                </w:tcPr>
                <w:p w14:paraId="45A2A8C9">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1.在居住和工业企业混住区域，应加强环境风险防控。 2.执行（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 3.水环境工业污染重点管控区同时执行排放《有毒有害水污染物名录》所列</w:t>
                  </w:r>
                </w:p>
                <w:p w14:paraId="14C59FA8">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有毒有害水污染物的企业事业单位和其他生产经营者，应当对排污口和周边环境进行监测，评估环境风险，排查环境安全隐患，并公开有毒有害水污染物信息，采取有效措施防范环境风险。</w:t>
                  </w:r>
                </w:p>
              </w:tc>
              <w:tc>
                <w:tcPr>
                  <w:tcW w:w="1435" w:type="pct"/>
                  <w:gridSpan w:val="2"/>
                  <w:shd w:val="clear" w:color="auto" w:fill="auto"/>
                  <w:noWrap w:val="0"/>
                  <w:vAlign w:val="center"/>
                </w:tcPr>
                <w:p w14:paraId="22334D97">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本项目不属于工业企业建设项目。</w:t>
                  </w:r>
                </w:p>
              </w:tc>
            </w:tr>
            <w:tr w14:paraId="5FAD1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92" w:type="pct"/>
                  <w:shd w:val="clear" w:color="auto" w:fill="auto"/>
                  <w:noWrap w:val="0"/>
                  <w:vAlign w:val="center"/>
                </w:tcPr>
                <w:p w14:paraId="4DE03D41">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资源开发效率</w:t>
                  </w:r>
                </w:p>
              </w:tc>
              <w:tc>
                <w:tcPr>
                  <w:tcW w:w="2672" w:type="pct"/>
                  <w:shd w:val="clear" w:color="auto" w:fill="auto"/>
                  <w:noWrap w:val="0"/>
                  <w:vAlign w:val="center"/>
                </w:tcPr>
                <w:p w14:paraId="7C953E5D">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1.加强工业节水管理，提升工业用水效率，打造生活配套服务设施完备园区。 2.执行（1）落实最严格的水资源管理制度，实行水资源消耗总量和强度双控。 （2）全面推行清洁生产，依法在“双超双有高耗能”行业实施强制性清洁生产审核。 3.高污染燃料禁燃区同时执行（1）在禁燃区内，禁止销售、燃用高污染燃料；禁止新建、扩建燃用高污染燃料的设施，已建成的，应当在城市人民政府规定的期限内改用天然气、页岩气、液化石油气、电或</w:t>
                  </w:r>
                </w:p>
                <w:p w14:paraId="36D24E00">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kern w:val="2"/>
                      <w:sz w:val="18"/>
                      <w:szCs w:val="18"/>
                      <w:highlight w:val="none"/>
                      <w:lang w:val="en-US" w:eastAsia="zh-CN" w:bidi="ar-SA"/>
                    </w:rPr>
                    <w:t>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435" w:type="pct"/>
                  <w:gridSpan w:val="2"/>
                  <w:shd w:val="clear" w:color="auto" w:fill="auto"/>
                  <w:noWrap w:val="0"/>
                  <w:vAlign w:val="center"/>
                </w:tcPr>
                <w:p w14:paraId="33F1E32C">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本项目不涉及以上条款。</w:t>
                  </w:r>
                </w:p>
              </w:tc>
            </w:tr>
            <w:tr w14:paraId="1B77F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92" w:type="pct"/>
                  <w:noWrap w:val="0"/>
                  <w:vAlign w:val="center"/>
                </w:tcPr>
                <w:p w14:paraId="32660C9C">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环境管控单元名称</w:t>
                  </w:r>
                </w:p>
              </w:tc>
              <w:tc>
                <w:tcPr>
                  <w:tcW w:w="4107" w:type="pct"/>
                  <w:gridSpan w:val="3"/>
                  <w:noWrap w:val="0"/>
                  <w:vAlign w:val="center"/>
                </w:tcPr>
                <w:p w14:paraId="1C37C1EF">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庆安县其他区域</w:t>
                  </w:r>
                </w:p>
              </w:tc>
            </w:tr>
            <w:tr w14:paraId="66C6D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36333695">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环境管控单元编码</w:t>
                  </w:r>
                </w:p>
              </w:tc>
              <w:tc>
                <w:tcPr>
                  <w:tcW w:w="4107" w:type="pct"/>
                  <w:gridSpan w:val="3"/>
                  <w:noWrap w:val="0"/>
                  <w:vAlign w:val="center"/>
                </w:tcPr>
                <w:p w14:paraId="127A06A9">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ZH23122430002</w:t>
                  </w:r>
                </w:p>
              </w:tc>
            </w:tr>
            <w:tr w14:paraId="16EE6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2" w:type="pct"/>
                  <w:noWrap w:val="0"/>
                  <w:vAlign w:val="center"/>
                </w:tcPr>
                <w:p w14:paraId="1A10DF77">
                  <w:pPr>
                    <w:keepNext w:val="0"/>
                    <w:keepLines w:val="0"/>
                    <w:pageBreakBefore w:val="0"/>
                    <w:kinsoku/>
                    <w:wordWrap/>
                    <w:overflowPunct/>
                    <w:topLinePunct w:val="0"/>
                    <w:bidi w:val="0"/>
                    <w:adjustRightInd w:val="0"/>
                    <w:snapToGrid w:val="0"/>
                    <w:spacing w:line="240" w:lineRule="exact"/>
                    <w:ind w:right="0" w:rightChars="0"/>
                    <w:jc w:val="center"/>
                    <w:textAlignment w:val="baseline"/>
                    <w:rPr>
                      <w:rFonts w:hint="default" w:ascii="Times New Roman" w:hAnsi="Times New Roman" w:eastAsia="宋体" w:cs="Times New Roman"/>
                      <w:b/>
                      <w:bCs/>
                      <w:color w:val="auto"/>
                      <w:spacing w:val="-3"/>
                      <w:kern w:val="0"/>
                      <w:sz w:val="18"/>
                      <w:szCs w:val="18"/>
                      <w:highlight w:val="none"/>
                      <w:lang w:eastAsia="zh-CN"/>
                    </w:rPr>
                  </w:pPr>
                  <w:r>
                    <w:rPr>
                      <w:rFonts w:hint="default" w:ascii="Times New Roman" w:hAnsi="Times New Roman" w:eastAsia="宋体" w:cs="Times New Roman"/>
                      <w:b/>
                      <w:bCs/>
                      <w:color w:val="auto"/>
                      <w:sz w:val="18"/>
                      <w:szCs w:val="18"/>
                      <w:highlight w:val="none"/>
                    </w:rPr>
                    <w:t>管控单元类别</w:t>
                  </w:r>
                </w:p>
              </w:tc>
              <w:tc>
                <w:tcPr>
                  <w:tcW w:w="4107" w:type="pct"/>
                  <w:gridSpan w:val="3"/>
                  <w:noWrap w:val="0"/>
                  <w:vAlign w:val="center"/>
                </w:tcPr>
                <w:p w14:paraId="08E588EB">
                  <w:pPr>
                    <w:keepNext w:val="0"/>
                    <w:keepLines w:val="0"/>
                    <w:pageBreakBefore w:val="0"/>
                    <w:kinsoku/>
                    <w:wordWrap/>
                    <w:overflowPunct/>
                    <w:topLinePunct w:val="0"/>
                    <w:bidi w:val="0"/>
                    <w:snapToGrid w:val="0"/>
                    <w:spacing w:line="240" w:lineRule="exact"/>
                    <w:ind w:right="0"/>
                    <w:jc w:val="center"/>
                    <w:rPr>
                      <w:rFonts w:hint="default" w:ascii="Times New Roman" w:hAnsi="Times New Roman" w:eastAsia="宋体" w:cs="Times New Roman"/>
                      <w:b/>
                      <w:bCs/>
                      <w:snapToGrid w:val="0"/>
                      <w:color w:val="auto"/>
                      <w:sz w:val="18"/>
                      <w:szCs w:val="18"/>
                      <w:highlight w:val="none"/>
                      <w:lang w:val="en-US" w:eastAsia="zh-CN"/>
                    </w:rPr>
                  </w:pPr>
                  <w:r>
                    <w:rPr>
                      <w:rFonts w:hint="default" w:ascii="Times New Roman" w:hAnsi="Times New Roman" w:eastAsia="宋体" w:cs="Times New Roman"/>
                      <w:b/>
                      <w:bCs/>
                      <w:snapToGrid w:val="0"/>
                      <w:color w:val="auto"/>
                      <w:sz w:val="18"/>
                      <w:szCs w:val="18"/>
                      <w:highlight w:val="none"/>
                      <w:lang w:val="en-US" w:eastAsia="zh-CN"/>
                    </w:rPr>
                    <w:t>一般管控单元</w:t>
                  </w:r>
                </w:p>
              </w:tc>
            </w:tr>
            <w:tr w14:paraId="47B885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892" w:type="pct"/>
                  <w:shd w:val="clear" w:color="auto" w:fill="auto"/>
                  <w:noWrap w:val="0"/>
                  <w:vAlign w:val="center"/>
                </w:tcPr>
                <w:p w14:paraId="46438EDF">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空间布局约束</w:t>
                  </w:r>
                </w:p>
              </w:tc>
              <w:tc>
                <w:tcPr>
                  <w:tcW w:w="2681" w:type="pct"/>
                  <w:gridSpan w:val="2"/>
                  <w:noWrap w:val="0"/>
                  <w:vAlign w:val="center"/>
                </w:tcPr>
                <w:p w14:paraId="49534B6B">
                  <w:pPr>
                    <w:keepNext w:val="0"/>
                    <w:keepLines w:val="0"/>
                    <w:pageBreakBefore w:val="0"/>
                    <w:kinsoku/>
                    <w:wordWrap/>
                    <w:overflowPunct/>
                    <w:topLinePunct w:val="0"/>
                    <w:bidi w:val="0"/>
                    <w:snapToGrid w:val="0"/>
                    <w:spacing w:line="240" w:lineRule="exact"/>
                    <w:ind w:right="0"/>
                    <w:jc w:val="both"/>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执行 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425" w:type="pct"/>
                  <w:noWrap w:val="0"/>
                  <w:vAlign w:val="center"/>
                </w:tcPr>
                <w:p w14:paraId="6549494C">
                  <w:pPr>
                    <w:keepNext w:val="0"/>
                    <w:keepLines w:val="0"/>
                    <w:pageBreakBefore w:val="0"/>
                    <w:widowControl w:val="0"/>
                    <w:kinsoku/>
                    <w:wordWrap/>
                    <w:overflowPunct/>
                    <w:topLinePunct w:val="0"/>
                    <w:autoSpaceDE/>
                    <w:autoSpaceDN/>
                    <w:bidi w:val="0"/>
                    <w:adjustRightInd/>
                    <w:snapToGrid w:val="0"/>
                    <w:spacing w:line="240" w:lineRule="exact"/>
                    <w:ind w:right="0" w:firstLine="360" w:firstLineChars="200"/>
                    <w:jc w:val="left"/>
                    <w:textAlignment w:val="auto"/>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color w:val="auto"/>
                      <w:sz w:val="18"/>
                      <w:szCs w:val="18"/>
                      <w:highlight w:val="none"/>
                    </w:rPr>
                    <w:t>本</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rPr>
                    <w:t>为防洪除涝</w:t>
                  </w:r>
                  <w:r>
                    <w:rPr>
                      <w:rFonts w:hint="default" w:ascii="Times New Roman" w:hAnsi="Times New Roman" w:eastAsia="宋体" w:cs="Times New Roman"/>
                      <w:color w:val="auto"/>
                      <w:sz w:val="18"/>
                      <w:szCs w:val="18"/>
                      <w:highlight w:val="none"/>
                      <w:lang w:val="en-US" w:eastAsia="zh-CN"/>
                    </w:rPr>
                    <w:t>工程</w:t>
                  </w:r>
                  <w:r>
                    <w:rPr>
                      <w:rFonts w:hint="default" w:ascii="Times New Roman" w:hAnsi="Times New Roman" w:eastAsia="宋体" w:cs="Times New Roman"/>
                      <w:color w:val="auto"/>
                      <w:sz w:val="18"/>
                      <w:szCs w:val="18"/>
                      <w:highlight w:val="none"/>
                    </w:rPr>
                    <w:t>运营期不排放大气污染物、水污染物，非产能过剩行业及高耗能行业，符合要求。</w:t>
                  </w:r>
                </w:p>
              </w:tc>
            </w:tr>
            <w:tr w14:paraId="7D8E6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2" w:type="pct"/>
                  <w:shd w:val="clear" w:color="auto" w:fill="auto"/>
                  <w:noWrap w:val="0"/>
                  <w:vAlign w:val="center"/>
                </w:tcPr>
                <w:p w14:paraId="4E44346A">
                  <w:pPr>
                    <w:keepNext w:val="0"/>
                    <w:keepLines w:val="0"/>
                    <w:pageBreakBefore w:val="0"/>
                    <w:kinsoku/>
                    <w:wordWrap/>
                    <w:overflowPunct/>
                    <w:topLinePunct w:val="0"/>
                    <w:bidi w:val="0"/>
                    <w:snapToGrid w:val="0"/>
                    <w:spacing w:line="240" w:lineRule="exact"/>
                    <w:ind w:right="0" w:rightChars="0"/>
                    <w:jc w:val="both"/>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污染物排放管控</w:t>
                  </w:r>
                </w:p>
              </w:tc>
              <w:tc>
                <w:tcPr>
                  <w:tcW w:w="2681" w:type="pct"/>
                  <w:gridSpan w:val="2"/>
                  <w:shd w:val="clear" w:color="auto" w:fill="auto"/>
                  <w:noWrap w:val="0"/>
                  <w:vAlign w:val="center"/>
                </w:tcPr>
                <w:p w14:paraId="70D0D9E4">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1425" w:type="pct"/>
                  <w:shd w:val="clear" w:color="auto" w:fill="auto"/>
                  <w:noWrap w:val="0"/>
                  <w:vAlign w:val="center"/>
                </w:tcPr>
                <w:p w14:paraId="2F3A1878">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713264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7E6033CD">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环境风险防控</w:t>
                  </w:r>
                </w:p>
              </w:tc>
              <w:tc>
                <w:tcPr>
                  <w:tcW w:w="0" w:type="auto"/>
                  <w:gridSpan w:val="2"/>
                  <w:shd w:val="clear" w:color="auto" w:fill="auto"/>
                  <w:vAlign w:val="center"/>
                </w:tcPr>
                <w:p w14:paraId="179CE216">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0" w:type="auto"/>
                  <w:shd w:val="clear" w:color="auto" w:fill="auto"/>
                  <w:vAlign w:val="center"/>
                </w:tcPr>
                <w:p w14:paraId="24E677EF">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r w14:paraId="4DC49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493E8829">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eastAsia="宋体" w:cs="Times New Roman"/>
                      <w:snapToGrid w:val="0"/>
                      <w:color w:val="auto"/>
                      <w:sz w:val="18"/>
                      <w:szCs w:val="18"/>
                      <w:highlight w:val="none"/>
                    </w:rPr>
                    <w:t>资源开发效率</w:t>
                  </w:r>
                </w:p>
              </w:tc>
              <w:tc>
                <w:tcPr>
                  <w:tcW w:w="0" w:type="auto"/>
                  <w:gridSpan w:val="2"/>
                  <w:shd w:val="clear" w:color="auto" w:fill="auto"/>
                  <w:vAlign w:val="center"/>
                </w:tcPr>
                <w:p w14:paraId="6D9306B4">
                  <w:pPr>
                    <w:keepNext w:val="0"/>
                    <w:keepLines w:val="0"/>
                    <w:pageBreakBefore w:val="0"/>
                    <w:kinsoku/>
                    <w:wordWrap/>
                    <w:overflowPunct/>
                    <w:topLinePunct w:val="0"/>
                    <w:bidi w:val="0"/>
                    <w:snapToGrid w:val="0"/>
                    <w:spacing w:line="240" w:lineRule="exact"/>
                    <w:ind w:right="0" w:rightChars="0"/>
                    <w:jc w:val="center"/>
                    <w:rPr>
                      <w:rFonts w:hint="default" w:ascii="Times New Roman" w:hAnsi="Times New Roman" w:eastAsia="宋体" w:cs="Times New Roman"/>
                      <w:snapToGrid w:val="0"/>
                      <w:color w:val="auto"/>
                      <w:kern w:val="2"/>
                      <w:sz w:val="18"/>
                      <w:szCs w:val="18"/>
                      <w:highlight w:val="none"/>
                      <w:lang w:val="en-US" w:eastAsia="zh-CN" w:bidi="ar-SA"/>
                    </w:rPr>
                  </w:pPr>
                  <w:r>
                    <w:rPr>
                      <w:rFonts w:hint="default" w:ascii="Times New Roman" w:hAnsi="Times New Roman" w:cs="Times New Roman"/>
                      <w:snapToGrid w:val="0"/>
                      <w:color w:val="auto"/>
                      <w:sz w:val="18"/>
                      <w:szCs w:val="18"/>
                      <w:highlight w:val="none"/>
                      <w:lang w:val="en-US" w:eastAsia="zh-CN"/>
                    </w:rPr>
                    <w:t>/</w:t>
                  </w:r>
                </w:p>
              </w:tc>
              <w:tc>
                <w:tcPr>
                  <w:tcW w:w="0" w:type="auto"/>
                  <w:shd w:val="clear" w:color="auto" w:fill="auto"/>
                  <w:vAlign w:val="center"/>
                </w:tcPr>
                <w:p w14:paraId="6A64237B">
                  <w:pPr>
                    <w:keepNext w:val="0"/>
                    <w:keepLines w:val="0"/>
                    <w:pageBreakBefore w:val="0"/>
                    <w:widowControl w:val="0"/>
                    <w:kinsoku/>
                    <w:wordWrap/>
                    <w:overflowPunct/>
                    <w:topLinePunct w:val="0"/>
                    <w:autoSpaceDE/>
                    <w:autoSpaceDN/>
                    <w:bidi w:val="0"/>
                    <w:snapToGrid w:val="0"/>
                    <w:spacing w:line="240" w:lineRule="exact"/>
                    <w:ind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r>
          </w:tbl>
          <w:p w14:paraId="222817C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eastAsia="zh-CN"/>
              </w:rPr>
            </w:pPr>
          </w:p>
          <w:p w14:paraId="165C32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highlight w:val="none"/>
                <w:lang w:eastAsia="zh-CN"/>
              </w:rPr>
            </w:pPr>
            <w:r>
              <w:rPr>
                <w:highlight w:val="none"/>
              </w:rPr>
              <w:drawing>
                <wp:anchor distT="0" distB="0" distL="114300" distR="114300" simplePos="0" relativeHeight="251715584" behindDoc="0" locked="0" layoutInCell="1" allowOverlap="1">
                  <wp:simplePos x="0" y="0"/>
                  <wp:positionH relativeFrom="column">
                    <wp:posOffset>4453890</wp:posOffset>
                  </wp:positionH>
                  <wp:positionV relativeFrom="paragraph">
                    <wp:posOffset>44450</wp:posOffset>
                  </wp:positionV>
                  <wp:extent cx="409575" cy="523875"/>
                  <wp:effectExtent l="0" t="0" r="9525" b="9525"/>
                  <wp:wrapNone/>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0"/>
                          <a:stretch>
                            <a:fillRect/>
                          </a:stretch>
                        </pic:blipFill>
                        <pic:spPr>
                          <a:xfrm>
                            <a:off x="0" y="0"/>
                            <a:ext cx="409575" cy="523875"/>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714560" behindDoc="0" locked="0" layoutInCell="1" allowOverlap="1">
                      <wp:simplePos x="0" y="0"/>
                      <wp:positionH relativeFrom="column">
                        <wp:posOffset>3776980</wp:posOffset>
                      </wp:positionH>
                      <wp:positionV relativeFrom="paragraph">
                        <wp:posOffset>2937510</wp:posOffset>
                      </wp:positionV>
                      <wp:extent cx="810260" cy="295275"/>
                      <wp:effectExtent l="654050" t="12700" r="21590" b="73025"/>
                      <wp:wrapNone/>
                      <wp:docPr id="26" name="矩形标注 26"/>
                      <wp:cNvGraphicFramePr/>
                      <a:graphic xmlns:a="http://schemas.openxmlformats.org/drawingml/2006/main">
                        <a:graphicData uri="http://schemas.microsoft.com/office/word/2010/wordprocessingShape">
                          <wps:wsp>
                            <wps:cNvSpPr/>
                            <wps:spPr>
                              <a:xfrm>
                                <a:off x="0" y="0"/>
                                <a:ext cx="810260" cy="295275"/>
                              </a:xfrm>
                              <a:prstGeom prst="wedgeRectCallout">
                                <a:avLst>
                                  <a:gd name="adj1" fmla="val -129153"/>
                                  <a:gd name="adj2" fmla="val 64959"/>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714B66">
                                  <w:pPr>
                                    <w:jc w:val="center"/>
                                    <w:rPr>
                                      <w:rFonts w:hint="default" w:eastAsia="宋体"/>
                                      <w:b/>
                                      <w:bCs/>
                                      <w:color w:val="FF0000"/>
                                      <w:sz w:val="16"/>
                                      <w:szCs w:val="20"/>
                                      <w:lang w:val="en-US" w:eastAsia="zh-CN"/>
                                    </w:rPr>
                                  </w:pPr>
                                  <w:r>
                                    <w:rPr>
                                      <w:rFonts w:hint="eastAsia"/>
                                      <w:b/>
                                      <w:bCs/>
                                      <w:color w:val="FF0000"/>
                                      <w:sz w:val="16"/>
                                      <w:szCs w:val="2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7.4pt;margin-top:231.3pt;height:23.25pt;width:63.8pt;z-index:251714560;v-text-anchor:middle;mso-width-relative:page;mso-height-relative:page;" filled="f" stroked="t" coordsize="21600,21600" o:gfxdata="UEsDBAoAAAAAAIdO4kAAAAAAAAAAAAAAAAAEAAAAZHJzL1BLAwQUAAAACACHTuJAlzROfdgAAAAL&#10;AQAADwAAAGRycy9kb3ducmV2LnhtbE2PzU7DMBCE70i8g7VI3KidEFIa4lSA1CtSW36uTrw4EbEd&#10;2U4b3p7lBMfRjGa+qbeLHdkJQxy8k5CtBDB0ndeDMxJej7ube2AxKafV6B1K+MYI2+byolaV9me3&#10;x9MhGUYlLlZKQp/SVHEeux6tiis/oSPv0werEslguA7qTOV25LkQJbdqcLTQqwmfe+y+DrOV8HR8&#10;M48vH3NaL/v3XcsD3hoal9dXmXgAlnBJf2H4xSd0aIip9bPTkY0S7jYFoScJRZmXwCixzvMCWEuW&#10;2GTAm5r//9D8AFBLAwQUAAAACACHTuJABOqvH58CAAAlBQAADgAAAGRycy9lMm9Eb2MueG1srVTB&#10;bhMxEL0j8Q+W7+1uliRtom6qKFERUkUrCuLseL3ZRV7b2E425Qf4DBAnOHPmcyi/wbN324bCoQcu&#10;3hnP7JuZNzM+Od01kmyFdbVWOR0cppQIxXVRq3VO37w+OzimxHmmCia1Ejm9Fo6ezp4+OWnNVGS6&#10;0rIQlgBEuWlrclp5b6ZJ4nglGuYOtREKxlLbhnmodp0UlrVAb2SSpek4abUtjNVcOIfbZWekPaJ9&#10;DKAuy5qLpeabRijfoVohmUdJrqqNo7OYbVkK7i/K0glPZE5RqY8ngkBehTOZnbDp2jJT1bxPgT0m&#10;hQc1NaxWCHoHtWSekY2t/4Jqam6106U/5LpJukIiI6hikD7g5qpiRsRaQLUzd6S7/wfLX24vLamL&#10;nGZjShRr0PFfn779/PHl5vPHm+9fCa7BUWvcFK5X5tL2moMYCt6VtglflEJ2kdfrO17FzhOOy+NB&#10;mo3BOIcpm4yyo1HATO5/Ntb550I3JAg5bUWxFq/QuwWTUm98ZJZtz52PFBd9nqx4N6CkbCQ6tmWS&#10;HAyyyWD0rO/pnle27zUeTkaTPn6PiUxuMwgBlD6rpYyTIRVpkfNomIb0Gca9xJhBbAwoc2pNCZNr&#10;7BH3NmbptKyL8HsAcna9WkhLkBw4SY/SRRw4hPvDLcReMld1ftHU5ycVaArcd2wHye9Wu74FK11c&#10;o3lWd1PtDD+rAXXOnL9kFqQgZyy6v8BRSo1CdC9RUmn74V/3wR/TBSslLdYCRb7fMCsokS8U5m4y&#10;GA4B66MyHB1lUOy+ZbVvUZtmoVE72oTsohj8vbwVS6ubt3gP5iEqTExxxO7o7JWF79YVLwoX83l0&#10;w+4Y5s/VleEBvGvafON1WfswWYGojp1ewfbEges3Paznvh697l+32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XNE592AAAAAsBAAAPAAAAAAAAAAEAIAAAACIAAABkcnMvZG93bnJldi54bWxQSwEC&#10;FAAUAAAACACHTuJABOqvH58CAAAlBQAADgAAAAAAAAABACAAAAAnAQAAZHJzL2Uyb0RvYy54bWxQ&#10;SwUGAAAAAAYABgBZAQAAOAYAAAAA&#10;" adj="-17097,24831">
                      <v:fill on="f" focussize="0,0"/>
                      <v:stroke weight="2pt" color="#0070C0 [2404]" joinstyle="round"/>
                      <v:imagedata o:title=""/>
                      <o:lock v:ext="edit" aspectratio="f"/>
                      <v:textbox>
                        <w:txbxContent>
                          <w:p w14:paraId="36714B66">
                            <w:pPr>
                              <w:jc w:val="center"/>
                              <w:rPr>
                                <w:rFonts w:hint="default" w:eastAsia="宋体"/>
                                <w:b/>
                                <w:bCs/>
                                <w:color w:val="FF0000"/>
                                <w:sz w:val="16"/>
                                <w:szCs w:val="20"/>
                                <w:lang w:val="en-US" w:eastAsia="zh-CN"/>
                              </w:rPr>
                            </w:pPr>
                            <w:r>
                              <w:rPr>
                                <w:rFonts w:hint="eastAsia"/>
                                <w:b/>
                                <w:bCs/>
                                <w:color w:val="FF0000"/>
                                <w:sz w:val="16"/>
                                <w:szCs w:val="20"/>
                                <w:lang w:val="en-US" w:eastAsia="zh-CN"/>
                              </w:rPr>
                              <w:t>项目位置</w:t>
                            </w:r>
                          </w:p>
                        </w:txbxContent>
                      </v:textbox>
                    </v:shape>
                  </w:pict>
                </mc:Fallback>
              </mc:AlternateContent>
            </w:r>
            <w:r>
              <w:rPr>
                <w:sz w:val="21"/>
                <w:highlight w:val="none"/>
              </w:rPr>
              <mc:AlternateContent>
                <mc:Choice Requires="wps">
                  <w:drawing>
                    <wp:anchor distT="0" distB="0" distL="114300" distR="114300" simplePos="0" relativeHeight="251713536" behindDoc="0" locked="0" layoutInCell="1" allowOverlap="1">
                      <wp:simplePos x="0" y="0"/>
                      <wp:positionH relativeFrom="column">
                        <wp:posOffset>3062605</wp:posOffset>
                      </wp:positionH>
                      <wp:positionV relativeFrom="paragraph">
                        <wp:posOffset>3270885</wp:posOffset>
                      </wp:positionV>
                      <wp:extent cx="152400" cy="0"/>
                      <wp:effectExtent l="0" t="28575" r="0" b="28575"/>
                      <wp:wrapNone/>
                      <wp:docPr id="24" name="直接连接符 24"/>
                      <wp:cNvGraphicFramePr/>
                      <a:graphic xmlns:a="http://schemas.openxmlformats.org/drawingml/2006/main">
                        <a:graphicData uri="http://schemas.microsoft.com/office/word/2010/wordprocessingShape">
                          <wps:wsp>
                            <wps:cNvCnPr/>
                            <wps:spPr>
                              <a:xfrm>
                                <a:off x="0" y="0"/>
                                <a:ext cx="152400" cy="0"/>
                              </a:xfrm>
                              <a:prstGeom prst="line">
                                <a:avLst/>
                              </a:prstGeom>
                              <a:ln w="571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41.15pt;margin-top:257.55pt;height:0pt;width:12pt;z-index:251713536;mso-width-relative:page;mso-height-relative:page;" filled="f" stroked="t" coordsize="21600,21600" o:gfxdata="UEsDBAoAAAAAAIdO4kAAAAAAAAAAAAAAAAAEAAAAZHJzL1BLAwQUAAAACACHTuJAMMPmitYAAAAL&#10;AQAADwAAAGRycy9kb3ducmV2LnhtbE2PTU/DMAyG70j8h8hI3FjSQaeqNJ20CSRuiA3uaeO1ZYlT&#10;NdkXvx4jIcHRrx+9flwtz96JI05xCKQhmykQSG2wA3Ua3rfPdwWImAxZ4wKhhgtGWNbXV5UpbTjR&#10;Gx43qRNcQrE0GvqUxlLK2PboTZyFEYl3uzB5k3icOmknc+Jy7+RcqYX0ZiC+0JsR1z22+83Ba2jT&#10;ev/y5L6K3cUXKdiP1WfzutL69iZTjyASntMfDD/6rA41OzXhQDYKp+GhmN8zqiHP8gwEE7lacNL8&#10;JrKu5P8f6m9QSwMEFAAAAAgAh07iQGqfIMjaAQAAnAMAAA4AAABkcnMvZTJvRG9jLnhtbK1TzY7T&#10;MBC+I/EOlu80abUFFDXdw1blgqAS8ACu4ySW/KcZb9O+BC+AxA1OHLnzNiyPwdjJdmH3softwR3P&#10;fP7G3+fJ6vJoDTsoQO1dzeezkjPlpG+062r+6eP2xWvOMArXCOOdqvlJIb9cP3+2GkKlFr73plHA&#10;iMRhNYSa9zGGqihQ9soKnPmgHBVbD1ZE2kJXNCAGYremWJTly2Lw0ATwUiFSdjMW+cQIjyH0baul&#10;2nh5bZWLIysoIyJJwl4H5Ot827ZVMr5vW1SRmZqT0phXakLxPq3FeiWqDkTotZyuIB5zhXuarNCO&#10;mp6pNiIKdg36AZXVEjz6Ns6kt8UoJDtCKublPW8+9CKorIWsxnA2HZ+OVr477IDppuaLC86csPTi&#10;N19+/v787c+vr7Te/PjOqEI2DQErQl+5HUw7DDtImo8t2PRPatgxW3s6W6uOkUlKzpeLi5JMl7el&#10;4u5cAIxvlLcsBTU32iXRohKHtxipF0FvISnt/FYbkx/OODbUfPlqvkzUgqaxpSmg0AZShK7jTJiO&#10;xlxGyJTojW7S8USE0O2vDLCDoOHYbkv6JaHU7j9Y6r0R2I+4XJpgxhE6+TI6kaK9b07ZoJynR8t8&#10;04Clqfh3n0/ffVT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DD5orWAAAACwEAAA8AAAAAAAAA&#10;AQAgAAAAIgAAAGRycy9kb3ducmV2LnhtbFBLAQIUABQAAAAIAIdO4kBqnyDI2gEAAJwDAAAOAAAA&#10;AAAAAAEAIAAAACUBAABkcnMvZTJvRG9jLnhtbFBLBQYAAAAABgAGAFkBAABxBQAAAAA=&#10;">
                      <v:fill on="f" focussize="0,0"/>
                      <v:stroke weight="4.5pt" color="#FF0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12512" behindDoc="0" locked="0" layoutInCell="1" allowOverlap="1">
                      <wp:simplePos x="0" y="0"/>
                      <wp:positionH relativeFrom="column">
                        <wp:posOffset>2767330</wp:posOffset>
                      </wp:positionH>
                      <wp:positionV relativeFrom="paragraph">
                        <wp:posOffset>3280410</wp:posOffset>
                      </wp:positionV>
                      <wp:extent cx="161925" cy="28575"/>
                      <wp:effectExtent l="5080" t="27940" r="23495" b="38735"/>
                      <wp:wrapNone/>
                      <wp:docPr id="19" name="直接连接符 19"/>
                      <wp:cNvGraphicFramePr/>
                      <a:graphic xmlns:a="http://schemas.openxmlformats.org/drawingml/2006/main">
                        <a:graphicData uri="http://schemas.microsoft.com/office/word/2010/wordprocessingShape">
                          <wps:wsp>
                            <wps:cNvCnPr/>
                            <wps:spPr>
                              <a:xfrm>
                                <a:off x="0" y="0"/>
                                <a:ext cx="161925" cy="28575"/>
                              </a:xfrm>
                              <a:prstGeom prst="line">
                                <a:avLst/>
                              </a:prstGeom>
                              <a:ln w="571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7.9pt;margin-top:258.3pt;height:2.25pt;width:12.75pt;z-index:251712512;mso-width-relative:page;mso-height-relative:page;" filled="f" stroked="t" coordsize="21600,21600" o:gfxdata="UEsDBAoAAAAAAIdO4kAAAAAAAAAAAAAAAAAEAAAAZHJzL1BLAwQUAAAACACHTuJAfnfKztgAAAAL&#10;AQAADwAAAGRycy9kb3ducmV2LnhtbE2PS0/DMBCE70j8B2uRuFHHfURRiFOpFUjcEAXuTrxNQu11&#10;FG9f/HrMCY47O5r5plpfvBMnnOIQSIOaZSCQ2mAH6jR8vD8/FCAiG7LGBUINV4ywrm9vKlPacKY3&#10;PO24EymEYmk09MxjKWVse/QmzsKIlH77MHnD6Zw6aSdzTuHeyXmW5dKbgVJDb0bc9tgedkevoeXt&#10;4eXJfRf7qy842M/NV/O60fr+TmWPIBgv/GeGX/yEDnViasKRbBROw3KxSuisYaXyHERyLHO1ANEk&#10;Za4UyLqS/zfUP1BLAwQUAAAACACHTuJAf9hrfd8BAACgAwAADgAAAGRycy9lMm9Eb2MueG1srVPN&#10;jtMwEL4j8Q6W7zRppe5P1HQPW5ULgkrAA0wdJ7HkP3m8TfsSvAASNzhx5M7bsDwGYyd0YbnsgRyc&#10;8fx8nu/zeHVzNJodZEDlbM3ns5IzaYVrlO1q/v7d9sUVZxjBNqCdlTU/SeQ36+fPVoOv5ML1Tjcy&#10;MAKxWA2+5n2MvioKFL00gDPnpaVg64KBSNvQFU2AgdCNLhZleVEMLjQ+OCERybsZg3xCDE8BdG2r&#10;hNw4cWekjSNqkBoiUcJeeeTr3G3bShHftC3KyHTNiWnMKx1C9j6txXoFVRfA90pMLcBTWnjEyYCy&#10;dOgZagMR2F1Q/0AZJYJD18aZcKYYiWRFiMW8fKTN2x68zFxIavRn0fH/wYrXh11gqqFJuObMgqEb&#10;v//47ceHzz+/f6L1/usXRhGSafBYUfat3YVph34XEudjG0z6Ext2zNKeztLKY2SCnPOL+fViyZmg&#10;0OJqeblMkMVDrQ8YX0pnWDJqrpVNxKGCwyuMY+rvlOS2bqu0Jj9U2rKh5svL+ZLuVABNZEuTQKbx&#10;xAptxxnojkZdxJAh0WnVpPJUjaHb3+rADkADst2W9E2d/ZWWzt4A9mNeDk1p2hKPpM2oRrL2rjll&#10;kbKfLi4znYYsTcaf+1z98LDW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d8rO2AAAAAsBAAAP&#10;AAAAAAAAAAEAIAAAACIAAABkcnMvZG93bnJldi54bWxQSwECFAAUAAAACACHTuJAf9hrfd8BAACg&#10;AwAADgAAAAAAAAABACAAAAAnAQAAZHJzL2Uyb0RvYy54bWxQSwUGAAAAAAYABgBZAQAAeAUAAAAA&#10;">
                      <v:fill on="f" focussize="0,0"/>
                      <v:stroke weight="4.5pt" color="#FF0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11488" behindDoc="0" locked="0" layoutInCell="1" allowOverlap="1">
                      <wp:simplePos x="0" y="0"/>
                      <wp:positionH relativeFrom="column">
                        <wp:posOffset>2462530</wp:posOffset>
                      </wp:positionH>
                      <wp:positionV relativeFrom="paragraph">
                        <wp:posOffset>2823210</wp:posOffset>
                      </wp:positionV>
                      <wp:extent cx="161925" cy="323850"/>
                      <wp:effectExtent l="25400" t="12700" r="41275" b="25400"/>
                      <wp:wrapNone/>
                      <wp:docPr id="18" name="直接连接符 18"/>
                      <wp:cNvGraphicFramePr/>
                      <a:graphic xmlns:a="http://schemas.openxmlformats.org/drawingml/2006/main">
                        <a:graphicData uri="http://schemas.microsoft.com/office/word/2010/wordprocessingShape">
                          <wps:wsp>
                            <wps:cNvCnPr/>
                            <wps:spPr>
                              <a:xfrm>
                                <a:off x="0" y="0"/>
                                <a:ext cx="161925" cy="323850"/>
                              </a:xfrm>
                              <a:prstGeom prst="line">
                                <a:avLst/>
                              </a:prstGeom>
                              <a:ln w="571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3.9pt;margin-top:222.3pt;height:25.5pt;width:12.75pt;z-index:251711488;mso-width-relative:page;mso-height-relative:page;" filled="f" stroked="t" coordsize="21600,21600" o:gfxdata="UEsDBAoAAAAAAIdO4kAAAAAAAAAAAAAAAAAEAAAAZHJzL1BLAwQUAAAACACHTuJAMy28iNkAAAAL&#10;AQAADwAAAGRycy9kb3ducmV2LnhtbE2PzU7DMBCE70i8g7VI3KgTEkIIcSq1AokbosDdid0k1F5H&#10;8faPp2c5wW1HO5r5pl6evBMHO8cxoIJ0kYCw2AUzYq/g4/35pgQRSaPRLqBVcLYRls3lRa0rE474&#10;Zg8b6gWHYKy0goFoqqSM3WC9joswWeTfNsxeE8u5l2bWRw73Tt4mSSG9HpEbBj3Z9WC73WbvFXS0&#10;3r08ue9ye/YlBfO5+mpfV0pdX6XJIwiyJ/ozwy8+o0PDTG3Yo4nCKcjKe0YnBXmeFyDYkadZBqLl&#10;4+GuANnU8v+G5gdQSwMEFAAAAAgAh07iQIKC8MrhAQAAoQMAAA4AAABkcnMvZTJvRG9jLnhtbK1T&#10;zY7TMBC+I/EOlu80aVddlqjpHrYqFwSVgAdwHSex5D/NeJv2JXgBJG5w4sidt2F5DMZO6MJy2QM5&#10;OOOZ8Tf+vhmvro/WsIMC1N7VfD4rOVNO+ka7rubv322fXXGGUbhGGO9UzU8K+fX66ZPVECq18L03&#10;jQJGIA6rIdS8jzFURYGyV1bgzAflKNh6sCLSFrqiATEQujXFoiwvi8FDE8BLhUjezRjkEyI8BtC3&#10;rZZq4+WtVS6OqKCMiEQJex2Qr/Nt21bJ+KZtUUVmak5MY16pCNn7tBbrlag6EKHXcrqCeMwVHnCy&#10;QjsqeobaiCjYLeh/oKyW4NG3cSa9LUYiWRFiMS8faPO2F0FlLiQ1hrPo+P9g5evDDphuaBKo705Y&#10;6vjdx28/Pnz++f0TrXdfvzCKkExDwIqyb9wOph2GHSTOxxZs+hMbdszSns7SqmNkkpzzy/mLxZIz&#10;SaGLxcXVMktf3B8OgPGl8pYlo+ZGu8RcVOLwCiMVpNTfKcnt/FYbk7tnHBtqvnw+J0wmBY1kS6NA&#10;pg1EC13HmTAdzbqMkCHRG92k4wkIodvfGGAHQROy3Zb0JbZU7q+0VHsjsB/zcmhKM46ykzijHMna&#10;++aUVcp+6lzGm6Ysjcaf+3z6/mWt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zLbyI2QAAAAsB&#10;AAAPAAAAAAAAAAEAIAAAACIAAABkcnMvZG93bnJldi54bWxQSwECFAAUAAAACACHTuJAgoLwyuEB&#10;AAChAwAADgAAAAAAAAABACAAAAAoAQAAZHJzL2Uyb0RvYy54bWxQSwUGAAAAAAYABgBZAQAAewUA&#10;AAAA&#10;">
                      <v:fill on="f" focussize="0,0"/>
                      <v:stroke weight="4.5pt" color="#FF0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10464" behindDoc="0" locked="0" layoutInCell="1" allowOverlap="1">
                      <wp:simplePos x="0" y="0"/>
                      <wp:positionH relativeFrom="column">
                        <wp:posOffset>2424430</wp:posOffset>
                      </wp:positionH>
                      <wp:positionV relativeFrom="paragraph">
                        <wp:posOffset>2566035</wp:posOffset>
                      </wp:positionV>
                      <wp:extent cx="28575" cy="266700"/>
                      <wp:effectExtent l="28575" t="3175" r="38100" b="15875"/>
                      <wp:wrapNone/>
                      <wp:docPr id="16" name="直接连接符 16"/>
                      <wp:cNvGraphicFramePr/>
                      <a:graphic xmlns:a="http://schemas.openxmlformats.org/drawingml/2006/main">
                        <a:graphicData uri="http://schemas.microsoft.com/office/word/2010/wordprocessingShape">
                          <wps:wsp>
                            <wps:cNvCnPr/>
                            <wps:spPr>
                              <a:xfrm>
                                <a:off x="3962400" y="6402070"/>
                                <a:ext cx="28575" cy="266700"/>
                              </a:xfrm>
                              <a:prstGeom prst="line">
                                <a:avLst/>
                              </a:prstGeom>
                              <a:ln w="571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0.9pt;margin-top:202.05pt;height:21pt;width:2.25pt;z-index:251710464;mso-width-relative:page;mso-height-relative:page;" filled="f" stroked="t" coordsize="21600,21600" o:gfxdata="UEsDBAoAAAAAAIdO4kAAAAAAAAAAAAAAAAAEAAAAZHJzL1BLAwQUAAAACACHTuJAD8UypNgAAAAL&#10;AQAADwAAAGRycy9kb3ducmV2LnhtbE2PzU7DMBCE70i8g7WVuFHHJIqsEKdSK5C4IUq5O7GbpLXX&#10;Ubz94+kxJzju7Gjmm3p19Y6d7RzHgArEMgNmsQtmxF7B7vP1UQKLpNFoF9AquNkIq+b+rtaVCRf8&#10;sOct9SyFYKy0goFoqjiP3WC9jsswWUy/fZi9pnTOPTezvqRw7/hTlpXc6xFTw6Anuxlsd9yevIKO&#10;Nse3F/ct9zcvKZiv9aF9Xyv1sBDZMzCyV/ozwy9+QocmMbXhhCYypyCXIqGTgiIrBLDkyGWZA2uT&#10;UpQCeFPz/xuaH1BLAwQUAAAACACHTuJAptaLKuwBAACsAwAADgAAAGRycy9lMm9Eb2MueG1srVPN&#10;jtMwEL4j8Q6W7zRp2KZL1HQPW5ULgkrAA0wdp7HkP3m8TfsSvAASNzhx5M7bsDwG4yTswnLZAzk4&#10;Y8/nb+b7MlldnYxmRxlQOVvz+SznTFrhGmUPNX//bvvskjOMYBvQzsqanyXyq/XTJ6veV7JwndON&#10;DIxILFa9r3kXo6+yDEUnDeDMeWkp2bpgINI2HLImQE/sRmdFnpdZ70LjgxMSkU43Y5JPjOExhK5t&#10;lZAbJ26MtHFkDVJDJEnYKY98PXTbtlLEN22LMjJdc1Iah5WKULxPa7ZeQXUI4DslphbgMS080GRA&#10;WSp6R7WBCOwmqH+ojBLBoWvjTDiTjUIGR0jFPH/gzdsOvBy0kNXo70zH/0crXh93gamGJqHkzIKh&#10;L3778duPD59/fv9E6+3XL4wyZFPvsSL0td2FaYd+F5LmUxtMepMadqr58xdlcZGTweealxd5kS8n&#10;m+UpMkGA4nKxXHAmKF+U5ZKgRJjd8/iA8aV0hqWg5lrZZAJUcHyFcYT+hqRj67ZKazqHSlvW13yx&#10;nC+ovACazpamgkLjSSHaA2egDzT2IoaBEp1WTbqebmM47K91YEegYdluc3qmzv6CpdobwG7EDakJ&#10;pi3pSD6NzqRo75rzYNhwTh9xUDoNXJqSP/fD7fufbP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8UypNgAAAALAQAADwAAAAAAAAABACAAAAAiAAAAZHJzL2Rvd25yZXYueG1sUEsBAhQAFAAAAAgA&#10;h07iQKbWiyrsAQAArAMAAA4AAAAAAAAAAQAgAAAAJwEAAGRycy9lMm9Eb2MueG1sUEsFBgAAAAAG&#10;AAYAWQEAAIUFAAAAAA==&#10;">
                      <v:fill on="f" focussize="0,0"/>
                      <v:stroke weight="4.5pt" color="#FF0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09440" behindDoc="0" locked="0" layoutInCell="1" allowOverlap="1">
                      <wp:simplePos x="0" y="0"/>
                      <wp:positionH relativeFrom="column">
                        <wp:posOffset>643255</wp:posOffset>
                      </wp:positionH>
                      <wp:positionV relativeFrom="paragraph">
                        <wp:posOffset>1927860</wp:posOffset>
                      </wp:positionV>
                      <wp:extent cx="1247775" cy="390525"/>
                      <wp:effectExtent l="12700" t="12700" r="149225" b="396875"/>
                      <wp:wrapNone/>
                      <wp:docPr id="15" name="矩形标注 15"/>
                      <wp:cNvGraphicFramePr/>
                      <a:graphic xmlns:a="http://schemas.openxmlformats.org/drawingml/2006/main">
                        <a:graphicData uri="http://schemas.microsoft.com/office/word/2010/wordprocessingShape">
                          <wps:wsp>
                            <wps:cNvSpPr/>
                            <wps:spPr>
                              <a:xfrm>
                                <a:off x="2390775" y="4963795"/>
                                <a:ext cx="1247775" cy="390525"/>
                              </a:xfrm>
                              <a:prstGeom prst="wedgeRectCallout">
                                <a:avLst>
                                  <a:gd name="adj1" fmla="val 60076"/>
                                  <a:gd name="adj2" fmla="val 147886"/>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141772">
                                  <w:pPr>
                                    <w:jc w:val="center"/>
                                    <w:rPr>
                                      <w:rFonts w:hint="default" w:eastAsia="宋体"/>
                                      <w:b/>
                                      <w:bCs/>
                                      <w:color w:val="0000FF"/>
                                      <w:sz w:val="16"/>
                                      <w:szCs w:val="20"/>
                                      <w:lang w:val="en-US" w:eastAsia="zh-CN"/>
                                    </w:rPr>
                                  </w:pPr>
                                  <w:r>
                                    <w:rPr>
                                      <w:rFonts w:hint="eastAsia"/>
                                      <w:b/>
                                      <w:bCs/>
                                      <w:color w:val="0000FF"/>
                                      <w:sz w:val="16"/>
                                      <w:szCs w:val="20"/>
                                      <w:lang w:val="en-US" w:eastAsia="zh-CN"/>
                                    </w:rPr>
                                    <w:t>黑龙江庆安经济开发区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65pt;margin-top:151.8pt;height:30.75pt;width:98.25pt;z-index:251709440;v-text-anchor:middle;mso-width-relative:page;mso-height-relative:page;" filled="f" stroked="t" coordsize="21600,21600" o:gfxdata="UEsDBAoAAAAAAIdO4kAAAAAAAAAAAAAAAAAEAAAAZHJzL1BLAwQUAAAACACHTuJAlJr7f9kAAAAL&#10;AQAADwAAAGRycy9kb3ducmV2LnhtbE2PvU7EMBCEeyTewVokGsTZTkTuCHGuQAIqhC6AaB17SQKx&#10;HcW+n7w9SwXlzH6anam2JzeyA85xCF6BXAlg6E2wg+8UvL0+XG+AxaS91WPwqGDBCNv6/KzSpQ1H&#10;v8NDkzpGIT6WWkGf0lRyHk2PTsdVmNDT7TPMTieSc8ftrI8U7kaeCVFwpwdPH3o94X2P5rvZOwXd&#10;8vy0kVn7Ubw0j+9L+DLr/MoodXkhxR2whKf0B8NvfaoONXVqw97byEbSQuaEKshFXgAjIrtd05iW&#10;nOJGAq8r/n9D/QNQSwMEFAAAAAgAh07iQOLS8cqqAgAAMQUAAA4AAABkcnMvZTJvRG9jLnhtbK1U&#10;wXLTMBC9M8M/aHSndtIkbjJ1OplkyjDToR0Kw1mR5diMLAlJqVN+gM+A4QRnznwO5Td4kt02FA49&#10;cLF3ree3u293dXyyayS5EtbVWuV0cJBSIhTXRa02OX3z+vTZESXOM1UwqZXI6bVw9GT+9Mlxa2Zi&#10;qCstC2EJSJSbtSanlfdmliSOV6Jh7kAboXBYatswD9duksKyFuyNTIZpOklabQtjNRfO4euqO6Q9&#10;o30MoS7LmouV5ttGKN+xWiGZR0muqo2j85htWQruz8vSCU9kTlGpj08Egb0Oz2R+zGYby0xV8z4F&#10;9pgUHtTUsFoh6B3VinlGtrb+i6qpudVOl/6A6ybpComKoIpB+kCby4oZEWuB1M7cie7+Hy1/eXVh&#10;SV1gEsaUKNag478+ffv548vN5483378SfIZGrXEzQC/Nhe09BzMUvCttE94ohexyOjycplkGquuc&#10;jqaTw2wa/2czsfOEAzAYjrII4EAAPB5GQHLPZKzzz4VuSDBy2opiI16hkUsmpd76KDO7OnM+6l30&#10;SbPi3YCSspFo3xWTZJKm2aRv7x5muI8ZjLKjowhC+J4S1m0CgV/p01rKOCVSkRYFjkcphoczjH6J&#10;kYPZGMjn1IYSJjfYKe5tTNJpWRfh90Dk7Ga9lJYgN8xdmqXLOHwI9wcsxF4xV3W4eBSKAEwqvEIf&#10;OuWD5XfrXd+OtS6u0Uiruwl3hp/WoDpjzl8wC02QM5ben+NRSo1CdG9RUmn74V/fAx6ThlNKWqwI&#10;iny/ZVZQIl8ozOB0MBqFnYrOaJwN4dj9k/X+ido2S43a0SVkF82A9/LWLK1u3uJuWISoOGKKI3Yn&#10;Z+8sfbe6uF24WCwiDHtkmD9Tl4YH8q5pi63XZe2DckGoTp3ewSZFQfutD6u670fU/U03/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Umvt/2QAAAAsBAAAPAAAAAAAAAAEAIAAAACIAAABkcnMvZG93&#10;bnJldi54bWxQSwECFAAUAAAACACHTuJA4tLxyqoCAAAxBQAADgAAAAAAAAABACAAAAAoAQAAZHJz&#10;L2Uyb0RvYy54bWxQSwUGAAAAAAYABgBZAQAARAYAAAAA&#10;" adj="23776,42743">
                      <v:fill on="f" focussize="0,0"/>
                      <v:stroke weight="2pt" color="#0070C0 [2404]" joinstyle="round"/>
                      <v:imagedata o:title=""/>
                      <o:lock v:ext="edit" aspectratio="f"/>
                      <v:textbox>
                        <w:txbxContent>
                          <w:p w14:paraId="7E141772">
                            <w:pPr>
                              <w:jc w:val="center"/>
                              <w:rPr>
                                <w:rFonts w:hint="default" w:eastAsia="宋体"/>
                                <w:b/>
                                <w:bCs/>
                                <w:color w:val="0000FF"/>
                                <w:sz w:val="16"/>
                                <w:szCs w:val="20"/>
                                <w:lang w:val="en-US" w:eastAsia="zh-CN"/>
                              </w:rPr>
                            </w:pPr>
                            <w:r>
                              <w:rPr>
                                <w:rFonts w:hint="eastAsia"/>
                                <w:b/>
                                <w:bCs/>
                                <w:color w:val="0000FF"/>
                                <w:sz w:val="16"/>
                                <w:szCs w:val="20"/>
                                <w:lang w:val="en-US" w:eastAsia="zh-CN"/>
                              </w:rPr>
                              <w:t>黑龙江庆安经济开发区</w:t>
                            </w:r>
                          </w:p>
                        </w:txbxContent>
                      </v:textbox>
                    </v:shape>
                  </w:pict>
                </mc:Fallback>
              </mc:AlternateContent>
            </w:r>
            <w:r>
              <w:rPr>
                <w:highlight w:val="none"/>
              </w:rPr>
              <w:drawing>
                <wp:inline distT="0" distB="0" distL="114300" distR="114300">
                  <wp:extent cx="4762500" cy="369570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1"/>
                          <a:stretch>
                            <a:fillRect/>
                          </a:stretch>
                        </pic:blipFill>
                        <pic:spPr>
                          <a:xfrm>
                            <a:off x="0" y="0"/>
                            <a:ext cx="4762500" cy="3695700"/>
                          </a:xfrm>
                          <a:prstGeom prst="rect">
                            <a:avLst/>
                          </a:prstGeom>
                          <a:noFill/>
                          <a:ln>
                            <a:noFill/>
                          </a:ln>
                        </pic:spPr>
                      </pic:pic>
                    </a:graphicData>
                  </a:graphic>
                </wp:inline>
              </w:drawing>
            </w:r>
          </w:p>
          <w:p w14:paraId="20B574C3">
            <w:pPr>
              <w:keepNext w:val="0"/>
              <w:keepLines w:val="0"/>
              <w:pageBreakBefore w:val="0"/>
              <w:widowControl w:val="0"/>
              <w:kinsoku/>
              <w:wordWrap/>
              <w:overflowPunct/>
              <w:topLinePunct w:val="0"/>
              <w:autoSpaceDE/>
              <w:autoSpaceDN/>
              <w:bidi w:val="0"/>
              <w:adjustRightInd/>
              <w:snapToGrid/>
              <w:spacing w:before="0" w:after="0" w:line="500" w:lineRule="exact"/>
              <w:ind w:right="0" w:firstLine="0" w:firstLineChars="0"/>
              <w:jc w:val="center"/>
              <w:textAlignment w:val="auto"/>
              <w:rPr>
                <w:rFonts w:hint="default" w:ascii="Times New Roman" w:hAnsi="Times New Roman" w:eastAsia="宋体" w:cs="Times New Roman"/>
                <w:b/>
                <w:bCs/>
                <w:color w:val="auto"/>
                <w:kern w:val="0"/>
                <w:sz w:val="21"/>
                <w:szCs w:val="22"/>
                <w:highlight w:val="none"/>
                <w:lang w:val="en-US" w:eastAsia="zh-CN" w:bidi="ar-SA"/>
              </w:rPr>
            </w:pPr>
            <w:r>
              <w:rPr>
                <w:rFonts w:hint="eastAsia" w:ascii="Times New Roman" w:hAnsi="Times New Roman" w:eastAsia="宋体" w:cs="Times New Roman"/>
                <w:b/>
                <w:bCs/>
                <w:color w:val="auto"/>
                <w:kern w:val="0"/>
                <w:sz w:val="21"/>
                <w:szCs w:val="22"/>
                <w:highlight w:val="none"/>
                <w:lang w:val="en-US" w:eastAsia="zh-CN" w:bidi="ar-SA"/>
              </w:rPr>
              <w:t>图1-</w:t>
            </w:r>
            <w:r>
              <w:rPr>
                <w:rFonts w:hint="eastAsia" w:cs="Times New Roman"/>
                <w:b/>
                <w:bCs/>
                <w:color w:val="auto"/>
                <w:kern w:val="0"/>
                <w:sz w:val="21"/>
                <w:szCs w:val="22"/>
                <w:highlight w:val="none"/>
                <w:lang w:val="en-US" w:eastAsia="zh-CN" w:bidi="ar-SA"/>
              </w:rPr>
              <w:t>2</w:t>
            </w:r>
            <w:r>
              <w:rPr>
                <w:rFonts w:hint="eastAsia" w:ascii="Times New Roman" w:hAnsi="Times New Roman" w:eastAsia="宋体" w:cs="Times New Roman"/>
                <w:b/>
                <w:bCs/>
                <w:color w:val="auto"/>
                <w:kern w:val="0"/>
                <w:sz w:val="21"/>
                <w:szCs w:val="22"/>
                <w:highlight w:val="none"/>
                <w:lang w:val="en-US" w:eastAsia="zh-CN" w:bidi="ar-SA"/>
              </w:rPr>
              <w:t xml:space="preserve">  本项目与黑龙江庆安经济开发区的位置关系图</w:t>
            </w:r>
          </w:p>
          <w:p w14:paraId="566F017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经核实，本项目格木克河改道工程用地范围不占用黑龙江庆安经济开发区。</w:t>
            </w:r>
          </w:p>
          <w:p w14:paraId="4310D3F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一说</w:t>
            </w:r>
            <w:r>
              <w:rPr>
                <w:rFonts w:hint="default" w:ascii="Times New Roman" w:hAnsi="Times New Roman" w:eastAsia="宋体" w:cs="Times New Roman"/>
                <w:color w:val="auto"/>
                <w:kern w:val="2"/>
                <w:sz w:val="24"/>
                <w:szCs w:val="24"/>
                <w:highlight w:val="none"/>
                <w:lang w:val="en-US" w:eastAsia="zh-CN" w:bidi="ar-SA"/>
              </w:rPr>
              <w:t>明</w:t>
            </w:r>
            <w:r>
              <w:rPr>
                <w:rFonts w:hint="default" w:ascii="Times New Roman" w:hAnsi="Times New Roman" w:cs="Times New Roman"/>
                <w:color w:val="auto"/>
                <w:kern w:val="2"/>
                <w:sz w:val="24"/>
                <w:szCs w:val="24"/>
                <w:highlight w:val="none"/>
                <w:lang w:val="en-US" w:eastAsia="zh-CN" w:bidi="ar-SA"/>
              </w:rPr>
              <w:t>"</w:t>
            </w:r>
          </w:p>
          <w:p w14:paraId="49632394">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根据黑龙江省生态分区管控数据应用平台出具的《</w:t>
            </w:r>
            <w:r>
              <w:rPr>
                <w:rFonts w:hint="eastAsia" w:cs="Times New Roman"/>
                <w:color w:val="auto"/>
                <w:kern w:val="2"/>
                <w:sz w:val="24"/>
                <w:szCs w:val="24"/>
                <w:highlight w:val="none"/>
                <w:lang w:val="en-US" w:eastAsia="zh-CN" w:bidi="ar-SA"/>
              </w:rPr>
              <w:t>庆安县格木克河改道项目</w:t>
            </w:r>
            <w:r>
              <w:rPr>
                <w:rFonts w:hint="default" w:ascii="Times New Roman" w:hAnsi="Times New Roman" w:eastAsia="宋体" w:cs="Times New Roman"/>
                <w:color w:val="auto"/>
                <w:kern w:val="2"/>
                <w:sz w:val="24"/>
                <w:szCs w:val="24"/>
                <w:highlight w:val="none"/>
                <w:lang w:val="en-US" w:eastAsia="zh-CN" w:bidi="ar-SA"/>
              </w:rPr>
              <w:t>生态环境分区管控分析报告》可知，</w:t>
            </w:r>
            <w:r>
              <w:rPr>
                <w:rFonts w:hint="eastAsia" w:cs="Times New Roman"/>
                <w:color w:val="auto"/>
                <w:kern w:val="2"/>
                <w:sz w:val="24"/>
                <w:szCs w:val="24"/>
                <w:highlight w:val="none"/>
                <w:lang w:val="en-US" w:eastAsia="zh-CN" w:bidi="ar-SA"/>
              </w:rPr>
              <w:t>庆安县格木克河改道项目位置涉及绥化市庆安县；项目占地总面积0.02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小于0.01平方公里，占项目占地面积的35.44%；一般管控单元交集面积为0.02平方公里，占项目占地面积的64.56%。与地下水环境优先保护区交集面积为0.00平方公里，占项目占地面积的0.00%；与地下水环境重点管控区交集面积为0.00平方公里，占项目占地面积的0.00%，与地下水环境一般管控区交集面积为0.02平方公里，占项目占地面积的100.00%</w:t>
            </w:r>
            <w:r>
              <w:rPr>
                <w:rFonts w:hint="default" w:ascii="Times New Roman" w:hAnsi="Times New Roman" w:eastAsia="宋体" w:cs="Times New Roman"/>
                <w:color w:val="auto"/>
                <w:kern w:val="2"/>
                <w:sz w:val="24"/>
                <w:szCs w:val="24"/>
                <w:highlight w:val="none"/>
                <w:lang w:val="en-US" w:eastAsia="zh-CN" w:bidi="ar-SA"/>
              </w:rPr>
              <w:t>。</w:t>
            </w:r>
          </w:p>
          <w:p w14:paraId="3AD10B2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经分析，</w:t>
            </w:r>
            <w:r>
              <w:rPr>
                <w:rFonts w:hint="eastAsia" w:cs="Times New Roman"/>
                <w:color w:val="auto"/>
                <w:kern w:val="2"/>
                <w:sz w:val="24"/>
                <w:szCs w:val="24"/>
                <w:highlight w:val="none"/>
                <w:lang w:val="en-US" w:eastAsia="zh-CN" w:bidi="ar-SA"/>
              </w:rPr>
              <w:t>庆安县格木克河改道项目</w:t>
            </w:r>
            <w:r>
              <w:rPr>
                <w:rFonts w:hint="default" w:ascii="Times New Roman" w:hAnsi="Times New Roman" w:eastAsia="宋体" w:cs="Times New Roman"/>
                <w:color w:val="auto"/>
                <w:kern w:val="2"/>
                <w:sz w:val="24"/>
                <w:szCs w:val="24"/>
                <w:highlight w:val="none"/>
                <w:lang w:val="en-US" w:eastAsia="zh-CN" w:bidi="ar-SA"/>
              </w:rPr>
              <w:t>与黑龙江省生态环境分区管控成果相交情况所示，本项目的建设符合《黑龙江省人民政府关于实施</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三线一单</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生态环境分区管控的意见》（黑政发〔2020〕14号）、《关于发布2023年生态环境分区管控动态更新成果的通知》（黑环发〔2024〕1号）、《绥化市生态环境准入清单》（2023年版）、《</w:t>
            </w:r>
            <w:r>
              <w:rPr>
                <w:rFonts w:hint="eastAsia" w:cs="Times New Roman"/>
                <w:color w:val="auto"/>
                <w:kern w:val="2"/>
                <w:sz w:val="24"/>
                <w:szCs w:val="24"/>
                <w:highlight w:val="none"/>
                <w:lang w:val="en-US" w:eastAsia="zh-CN" w:bidi="ar-SA"/>
              </w:rPr>
              <w:t>庆安县格木克河改道项目</w:t>
            </w:r>
            <w:r>
              <w:rPr>
                <w:rFonts w:hint="default" w:ascii="Times New Roman" w:hAnsi="Times New Roman" w:eastAsia="宋体" w:cs="Times New Roman"/>
                <w:color w:val="auto"/>
                <w:kern w:val="2"/>
                <w:sz w:val="24"/>
                <w:szCs w:val="24"/>
                <w:highlight w:val="none"/>
                <w:lang w:val="en-US" w:eastAsia="zh-CN" w:bidi="ar-SA"/>
              </w:rPr>
              <w:t>生态环境分区管控分析报告》中的要求。</w:t>
            </w:r>
          </w:p>
          <w:p w14:paraId="5E5558C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本项目永久占地</w:t>
            </w:r>
            <w:r>
              <w:rPr>
                <w:rFonts w:hint="eastAsia" w:cs="Times New Roman"/>
                <w:color w:val="auto"/>
                <w:kern w:val="2"/>
                <w:sz w:val="24"/>
                <w:szCs w:val="24"/>
                <w:highlight w:val="none"/>
                <w:lang w:val="en-US" w:eastAsia="zh-CN" w:bidi="ar-SA"/>
              </w:rPr>
              <w:t>和</w:t>
            </w:r>
            <w:r>
              <w:rPr>
                <w:rFonts w:hint="default" w:ascii="Times New Roman" w:hAnsi="Times New Roman" w:eastAsia="宋体" w:cs="Times New Roman"/>
                <w:color w:val="auto"/>
                <w:kern w:val="2"/>
                <w:sz w:val="24"/>
                <w:szCs w:val="24"/>
                <w:highlight w:val="none"/>
                <w:lang w:val="en-US" w:eastAsia="zh-CN" w:bidi="ar-SA"/>
              </w:rPr>
              <w:t>临时占地对生态保护红线无影响。</w:t>
            </w:r>
          </w:p>
          <w:bookmarkEnd w:id="8"/>
          <w:p w14:paraId="219C47D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2、与《水利建设项目（河湖整治与防洪除涝工程）环境影响评价文件审批原则》（环办环评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2号）符合性分析</w:t>
            </w:r>
          </w:p>
          <w:p w14:paraId="2DCA7B13">
            <w:pPr>
              <w:pStyle w:val="84"/>
              <w:widowControl/>
              <w:ind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3</w:t>
            </w:r>
            <w:r>
              <w:rPr>
                <w:rFonts w:hint="default" w:ascii="Times New Roman" w:hAnsi="Times New Roman" w:eastAsia="宋体" w:cs="Times New Roman"/>
                <w:b/>
                <w:bCs/>
                <w:color w:val="auto"/>
                <w:highlight w:val="none"/>
              </w:rPr>
              <w:t>与《水利建设项目（河湖整治与防洪除涝工程）环境影响评价文件审</w:t>
            </w:r>
            <w:r>
              <w:rPr>
                <w:rFonts w:hint="default" w:ascii="Times New Roman" w:hAnsi="Times New Roman" w:eastAsia="宋体" w:cs="Times New Roman"/>
                <w:b/>
                <w:bCs/>
                <w:color w:val="auto"/>
                <w:sz w:val="21"/>
                <w:szCs w:val="21"/>
                <w:highlight w:val="none"/>
              </w:rPr>
              <w:t>批原则》（环办环评</w:t>
            </w:r>
            <w:r>
              <w:rPr>
                <w:rFonts w:hint="eastAsia" w:cs="Times New Roman"/>
                <w:b/>
                <w:bCs/>
                <w:color w:val="auto"/>
                <w:sz w:val="21"/>
                <w:szCs w:val="21"/>
                <w:highlight w:val="none"/>
                <w:lang w:eastAsia="zh-CN"/>
              </w:rPr>
              <w:t>〔2018〕2号</w:t>
            </w:r>
            <w:r>
              <w:rPr>
                <w:rFonts w:hint="default" w:ascii="Times New Roman" w:hAnsi="Times New Roman" w:eastAsia="宋体" w:cs="Times New Roman"/>
                <w:b/>
                <w:bCs/>
                <w:color w:val="auto"/>
                <w:sz w:val="21"/>
                <w:szCs w:val="21"/>
                <w:highlight w:val="none"/>
              </w:rPr>
              <w:t>）符合性分析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07"/>
              <w:gridCol w:w="2985"/>
              <w:gridCol w:w="1198"/>
            </w:tblGrid>
            <w:tr w14:paraId="70D81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12" w:space="0"/>
                    <w:left w:val="nil"/>
                    <w:bottom w:val="single" w:color="auto" w:sz="4" w:space="0"/>
                    <w:right w:val="single" w:color="auto" w:sz="4" w:space="0"/>
                  </w:tcBorders>
                  <w:noWrap w:val="0"/>
                  <w:vAlign w:val="center"/>
                </w:tcPr>
                <w:p w14:paraId="70F14E8D">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相关规定</w:t>
                  </w:r>
                </w:p>
              </w:tc>
              <w:tc>
                <w:tcPr>
                  <w:tcW w:w="3030" w:type="dxa"/>
                  <w:tcBorders>
                    <w:top w:val="single" w:color="auto" w:sz="12" w:space="0"/>
                    <w:left w:val="nil"/>
                    <w:bottom w:val="single" w:color="auto" w:sz="4" w:space="0"/>
                    <w:right w:val="single" w:color="auto" w:sz="4" w:space="0"/>
                  </w:tcBorders>
                  <w:noWrap w:val="0"/>
                  <w:vAlign w:val="center"/>
                </w:tcPr>
                <w:p w14:paraId="14D0EBCE">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符合性分析</w:t>
                  </w:r>
                </w:p>
              </w:tc>
              <w:tc>
                <w:tcPr>
                  <w:tcW w:w="1221" w:type="dxa"/>
                  <w:tcBorders>
                    <w:top w:val="single" w:color="auto" w:sz="12" w:space="0"/>
                    <w:left w:val="nil"/>
                    <w:bottom w:val="single" w:color="auto" w:sz="4" w:space="0"/>
                    <w:right w:val="nil"/>
                  </w:tcBorders>
                  <w:noWrap w:val="0"/>
                  <w:vAlign w:val="center"/>
                </w:tcPr>
                <w:p w14:paraId="0287D1D8">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3130F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17A7D8A8">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第一条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本原则适用于河湖整治与防洪除涝工程环境影响评价文件的审批，工程建设内容包括疏浚、堤防建设、闸坝闸站建设、岸线治理、水系连通、蓄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滞</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洪区建设、排涝治理等</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引调水、防洪水库等水利枢纽工程除外</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。其他类似工程可参照执行。</w:t>
                  </w:r>
                </w:p>
              </w:tc>
              <w:tc>
                <w:tcPr>
                  <w:tcW w:w="3030" w:type="dxa"/>
                  <w:tcBorders>
                    <w:top w:val="single" w:color="auto" w:sz="4" w:space="0"/>
                    <w:left w:val="nil"/>
                    <w:bottom w:val="single" w:color="auto" w:sz="4" w:space="0"/>
                    <w:right w:val="single" w:color="auto" w:sz="4" w:space="0"/>
                  </w:tcBorders>
                  <w:noWrap w:val="0"/>
                  <w:vAlign w:val="center"/>
                </w:tcPr>
                <w:p w14:paraId="49C8A437">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eastAsia" w:cs="Times New Roman"/>
                      <w:color w:val="auto"/>
                      <w:highlight w:val="none"/>
                      <w:lang w:eastAsia="zh-CN"/>
                    </w:rPr>
                    <w:t>庆安县格木克河改道项目</w:t>
                  </w:r>
                  <w:r>
                    <w:rPr>
                      <w:rFonts w:hint="default" w:ascii="Times New Roman" w:hAnsi="Times New Roman" w:eastAsia="宋体" w:cs="Times New Roman"/>
                      <w:color w:val="auto"/>
                      <w:highlight w:val="none"/>
                    </w:rPr>
                    <w:t>。</w:t>
                  </w:r>
                </w:p>
              </w:tc>
              <w:tc>
                <w:tcPr>
                  <w:tcW w:w="1221" w:type="dxa"/>
                  <w:tcBorders>
                    <w:top w:val="single" w:color="auto" w:sz="4" w:space="0"/>
                    <w:left w:val="nil"/>
                    <w:bottom w:val="single" w:color="auto" w:sz="4" w:space="0"/>
                    <w:right w:val="nil"/>
                  </w:tcBorders>
                  <w:noWrap w:val="0"/>
                  <w:vAlign w:val="center"/>
                </w:tcPr>
                <w:p w14:paraId="276E9510">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0A4D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0465D692">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项目符合环境保护相关法律法规和政策要求，与主体功能区规划、生态功能区划、水环境功能区划、水功能区划、生态环境保护规划、流域综合规划、防洪规划等相协调，满足相关规划环评要求。</w:t>
                  </w:r>
                </w:p>
              </w:tc>
              <w:tc>
                <w:tcPr>
                  <w:tcW w:w="3030" w:type="dxa"/>
                  <w:tcBorders>
                    <w:top w:val="single" w:color="auto" w:sz="4" w:space="0"/>
                    <w:left w:val="nil"/>
                    <w:bottom w:val="single" w:color="auto" w:sz="4" w:space="0"/>
                    <w:right w:val="single" w:color="auto" w:sz="4" w:space="0"/>
                  </w:tcBorders>
                  <w:noWrap w:val="0"/>
                  <w:vAlign w:val="center"/>
                </w:tcPr>
                <w:p w14:paraId="2586FC69">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符合环境保护相关法律法规和产业政策要求；符合《自然资源部关于规范临时用地管理的通知》（自然资规〔2021〕2号）；并与《黑龙江省主体功能区规划》、《黑龙江省生态功能区划》、《黑龙江省水土保持规划（2015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w:t>
                  </w:r>
                  <w:r>
                    <w:rPr>
                      <w:rFonts w:hint="default" w:ascii="Times New Roman" w:hAnsi="Times New Roman" w:eastAsia="宋体" w:cs="Times New Roman"/>
                      <w:color w:val="auto"/>
                      <w:highlight w:val="none"/>
                      <w:lang w:eastAsia="zh-CN"/>
                    </w:rPr>
                    <w:t>、《松花江流域综合规划》、《松花江流域防洪规划》</w:t>
                  </w:r>
                  <w:r>
                    <w:rPr>
                      <w:rFonts w:hint="default" w:ascii="Times New Roman" w:hAnsi="Times New Roman" w:eastAsia="宋体" w:cs="Times New Roman"/>
                      <w:color w:val="auto"/>
                      <w:highlight w:val="none"/>
                    </w:rPr>
                    <w:t>等相协调。未制定与</w:t>
                  </w:r>
                  <w:r>
                    <w:rPr>
                      <w:rFonts w:hint="eastAsia" w:cs="Times New Roman"/>
                      <w:color w:val="auto"/>
                      <w:highlight w:val="none"/>
                      <w:lang w:eastAsia="zh-CN"/>
                    </w:rPr>
                    <w:t>格木克河</w:t>
                  </w:r>
                  <w:r>
                    <w:rPr>
                      <w:rFonts w:hint="default" w:ascii="Times New Roman" w:hAnsi="Times New Roman" w:eastAsia="宋体" w:cs="Times New Roman"/>
                      <w:color w:val="auto"/>
                      <w:highlight w:val="none"/>
                    </w:rPr>
                    <w:t>流域生态环境相关的生态环境保护规划、流域综合规划、防洪规划、水体达标规划等相关规划。</w:t>
                  </w:r>
                </w:p>
              </w:tc>
              <w:tc>
                <w:tcPr>
                  <w:tcW w:w="1221" w:type="dxa"/>
                  <w:tcBorders>
                    <w:top w:val="single" w:color="auto" w:sz="4" w:space="0"/>
                    <w:left w:val="nil"/>
                    <w:bottom w:val="single" w:color="auto" w:sz="4" w:space="0"/>
                    <w:right w:val="nil"/>
                  </w:tcBorders>
                  <w:noWrap w:val="0"/>
                  <w:vAlign w:val="center"/>
                </w:tcPr>
                <w:p w14:paraId="5E2E9319">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B32A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539A6AB2">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第三条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3030" w:type="dxa"/>
                  <w:tcBorders>
                    <w:top w:val="single" w:color="auto" w:sz="4" w:space="0"/>
                    <w:left w:val="nil"/>
                    <w:bottom w:val="single" w:color="auto" w:sz="4" w:space="0"/>
                    <w:right w:val="single" w:color="auto" w:sz="4" w:space="0"/>
                  </w:tcBorders>
                  <w:noWrap w:val="0"/>
                  <w:vAlign w:val="center"/>
                </w:tcPr>
                <w:p w14:paraId="1942056F">
                  <w:pPr>
                    <w:keepNext w:val="0"/>
                    <w:keepLines w:val="0"/>
                    <w:pageBreakBefore w:val="0"/>
                    <w:widowControl w:val="0"/>
                    <w:kinsoku/>
                    <w:wordWrap/>
                    <w:overflowPunct/>
                    <w:topLinePunct w:val="0"/>
                    <w:autoSpaceDE/>
                    <w:autoSpaceDN/>
                    <w:bidi w:val="0"/>
                    <w:snapToGrid w:val="0"/>
                    <w:spacing w:line="240" w:lineRule="exact"/>
                    <w:ind w:right="0" w:firstLine="42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主体</w:t>
                  </w:r>
                  <w:r>
                    <w:rPr>
                      <w:rFonts w:hint="default" w:ascii="Times New Roman" w:hAnsi="Times New Roman" w:eastAsia="宋体" w:cs="Times New Roman"/>
                      <w:color w:val="auto"/>
                      <w:highlight w:val="none"/>
                    </w:rPr>
                    <w:t>工程选址选线</w:t>
                  </w:r>
                  <w:r>
                    <w:rPr>
                      <w:rFonts w:hint="eastAsia" w:cs="Times New Roman"/>
                      <w:color w:val="auto"/>
                      <w:highlight w:val="none"/>
                      <w:lang w:val="en-US" w:eastAsia="zh-CN"/>
                    </w:rPr>
                    <w:t>不</w:t>
                  </w:r>
                  <w:r>
                    <w:rPr>
                      <w:rFonts w:hint="default" w:ascii="Times New Roman" w:hAnsi="Times New Roman" w:eastAsia="宋体" w:cs="Times New Roman"/>
                      <w:color w:val="auto"/>
                      <w:highlight w:val="none"/>
                    </w:rPr>
                    <w:t>占用生态保护红线</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临时工程不占用生态保护红线。主体工程和临时工程均不占用</w:t>
                  </w:r>
                  <w:r>
                    <w:rPr>
                      <w:rFonts w:hint="default" w:ascii="Times New Roman" w:hAnsi="Times New Roman" w:eastAsia="宋体" w:cs="Times New Roman"/>
                      <w:color w:val="auto"/>
                      <w:highlight w:val="none"/>
                      <w:lang w:val="en-US" w:eastAsia="zh-CN"/>
                    </w:rPr>
                    <w:t>自然保护区、风景名胜区、世界文化和自然遗产地及</w:t>
                  </w:r>
                  <w:r>
                    <w:rPr>
                      <w:rFonts w:hint="default" w:ascii="Times New Roman" w:hAnsi="Times New Roman" w:eastAsia="宋体" w:cs="Times New Roman"/>
                      <w:color w:val="auto"/>
                      <w:sz w:val="21"/>
                      <w:szCs w:val="21"/>
                      <w:highlight w:val="none"/>
                      <w:lang w:val="en-US" w:eastAsia="zh-CN"/>
                    </w:rPr>
                    <w:t>其他法律法规禁止占用的区域</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本项目严格控制用地范围，不进行</w:t>
                  </w:r>
                  <w:r>
                    <w:rPr>
                      <w:rFonts w:hint="default" w:ascii="Times New Roman" w:hAnsi="Times New Roman" w:eastAsia="宋体" w:cs="Times New Roman"/>
                      <w:snapToGrid w:val="0"/>
                      <w:color w:val="auto"/>
                      <w:sz w:val="21"/>
                      <w:szCs w:val="21"/>
                      <w:highlight w:val="none"/>
                    </w:rPr>
                    <w:t>无序采矿、毁林开荒、湿地和草地开垦、过度放牧、道路建设等</w:t>
                  </w:r>
                  <w:r>
                    <w:rPr>
                      <w:rFonts w:hint="default" w:ascii="Times New Roman" w:hAnsi="Times New Roman" w:cs="Times New Roman"/>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不属于导致水体污染的活动</w:t>
                  </w:r>
                  <w:r>
                    <w:rPr>
                      <w:rFonts w:hint="default" w:ascii="Times New Roman" w:hAnsi="Times New Roman" w:cs="Times New Roman"/>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不属于水源涵养功能极重要区、</w:t>
                  </w:r>
                  <w:r>
                    <w:rPr>
                      <w:rFonts w:hint="default" w:ascii="Times New Roman" w:hAnsi="Times New Roman" w:eastAsia="宋体" w:cs="Times New Roman"/>
                      <w:color w:val="auto"/>
                      <w:sz w:val="21"/>
                      <w:szCs w:val="21"/>
                      <w:highlight w:val="none"/>
                      <w:lang w:val="en-US" w:eastAsia="zh-CN"/>
                    </w:rPr>
                    <w:t>水源涵养功能极重要区</w:t>
                  </w:r>
                  <w:r>
                    <w:rPr>
                      <w:rFonts w:hint="default" w:ascii="Times New Roman" w:hAnsi="Times New Roman" w:cs="Times New Roman"/>
                      <w:snapToGrid w:val="0"/>
                      <w:color w:val="auto"/>
                      <w:sz w:val="21"/>
                      <w:szCs w:val="21"/>
                      <w:highlight w:val="none"/>
                      <w:lang w:val="en-US" w:eastAsia="zh-CN"/>
                    </w:rPr>
                    <w:t>禁止开发建设的活动。</w:t>
                  </w:r>
                </w:p>
              </w:tc>
              <w:tc>
                <w:tcPr>
                  <w:tcW w:w="1221" w:type="dxa"/>
                  <w:tcBorders>
                    <w:top w:val="single" w:color="auto" w:sz="4" w:space="0"/>
                    <w:left w:val="nil"/>
                    <w:bottom w:val="single" w:color="auto" w:sz="4" w:space="0"/>
                    <w:right w:val="nil"/>
                  </w:tcBorders>
                  <w:noWrap w:val="0"/>
                  <w:vAlign w:val="center"/>
                </w:tcPr>
                <w:p w14:paraId="261423F2">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3197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111F39A">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第四条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p w14:paraId="2ED88698">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在采取上述措施后，对水环境的不利影响能够得到缓解和控制，居民用水安全能够得到保障，相关区域不会出现显著的土壤潜育化、沼泽化、盐碱化等次生环境问题。</w:t>
                  </w:r>
                </w:p>
              </w:tc>
              <w:tc>
                <w:tcPr>
                  <w:tcW w:w="3030" w:type="dxa"/>
                  <w:tcBorders>
                    <w:top w:val="single" w:color="auto" w:sz="4" w:space="0"/>
                    <w:left w:val="nil"/>
                    <w:bottom w:val="single" w:color="auto" w:sz="4" w:space="0"/>
                    <w:right w:val="single" w:color="auto" w:sz="4" w:space="0"/>
                  </w:tcBorders>
                  <w:noWrap w:val="0"/>
                  <w:vAlign w:val="center"/>
                </w:tcPr>
                <w:p w14:paraId="69D619AB">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yellow"/>
                    </w:rPr>
                    <w:t>本项目建设内容为</w:t>
                  </w:r>
                  <w:r>
                    <w:rPr>
                      <w:rFonts w:hint="eastAsia" w:cs="Times New Roman"/>
                      <w:color w:val="auto"/>
                      <w:highlight w:val="yellow"/>
                      <w:lang w:val="en-US" w:eastAsia="zh-CN"/>
                    </w:rPr>
                    <w:t>河道改造</w:t>
                  </w:r>
                  <w:r>
                    <w:rPr>
                      <w:rFonts w:hint="default" w:ascii="Times New Roman" w:hAnsi="Times New Roman" w:eastAsia="宋体" w:cs="Times New Roman"/>
                      <w:color w:val="auto"/>
                      <w:highlight w:val="yellow"/>
                    </w:rPr>
                    <w:t>，</w:t>
                  </w:r>
                  <w:r>
                    <w:rPr>
                      <w:rFonts w:hint="eastAsia" w:cs="Times New Roman"/>
                      <w:color w:val="auto"/>
                      <w:highlight w:val="yellow"/>
                      <w:lang w:val="en-US" w:eastAsia="zh-CN"/>
                    </w:rPr>
                    <w:t>采用优化工程设计、导排、防护等针对性防治措施，</w:t>
                  </w:r>
                  <w:r>
                    <w:rPr>
                      <w:rFonts w:hint="default" w:ascii="Times New Roman" w:hAnsi="Times New Roman" w:eastAsia="宋体" w:cs="Times New Roman"/>
                      <w:color w:val="auto"/>
                      <w:highlight w:val="yellow"/>
                    </w:rPr>
                    <w:t>对水环境的不利影响能够得到缓解和控制</w:t>
                  </w:r>
                  <w:r>
                    <w:rPr>
                      <w:rFonts w:hint="eastAsia" w:cs="Times New Roman"/>
                      <w:color w:val="auto"/>
                      <w:highlight w:val="yellow"/>
                      <w:lang w:eastAsia="zh-CN"/>
                    </w:rPr>
                    <w:t>。</w:t>
                  </w:r>
                  <w:r>
                    <w:rPr>
                      <w:rFonts w:hint="default" w:ascii="Times New Roman" w:hAnsi="Times New Roman" w:eastAsia="宋体" w:cs="Times New Roman"/>
                      <w:color w:val="auto"/>
                      <w:highlight w:val="yellow"/>
                    </w:rPr>
                    <w:t>施工期废水全部回用不外排，没有对</w:t>
                  </w:r>
                  <w:r>
                    <w:rPr>
                      <w:rFonts w:hint="default" w:ascii="Times New Roman" w:hAnsi="Times New Roman" w:eastAsia="宋体" w:cs="Times New Roman"/>
                      <w:color w:val="auto"/>
                      <w:highlight w:val="yellow"/>
                      <w:lang w:val="en-US" w:eastAsia="zh-CN"/>
                    </w:rPr>
                    <w:t>地表水</w:t>
                  </w:r>
                  <w:r>
                    <w:rPr>
                      <w:rFonts w:hint="default" w:ascii="Times New Roman" w:hAnsi="Times New Roman" w:eastAsia="宋体" w:cs="Times New Roman"/>
                      <w:color w:val="auto"/>
                      <w:highlight w:val="yellow"/>
                    </w:rPr>
                    <w:t>产生不利影响。区域不会出现显著的土壤潜育化、沼泽化、盐碱化等次生环境问题。</w:t>
                  </w:r>
                </w:p>
              </w:tc>
              <w:tc>
                <w:tcPr>
                  <w:tcW w:w="1221" w:type="dxa"/>
                  <w:tcBorders>
                    <w:top w:val="single" w:color="auto" w:sz="4" w:space="0"/>
                    <w:left w:val="nil"/>
                    <w:bottom w:val="single" w:color="auto" w:sz="4" w:space="0"/>
                    <w:right w:val="nil"/>
                  </w:tcBorders>
                  <w:noWrap w:val="0"/>
                  <w:vAlign w:val="center"/>
                </w:tcPr>
                <w:p w14:paraId="6C56E284">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44CB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4508E55D">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第五条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项目对鱼类等水生生物的洄游通道及</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三场</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等重要生境、物种多样性及资源量等产生不利影响的，提出了下泄生态流量、恢复鱼类洄游通道、采用生态友好型护岸</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坡、底</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、生态修复、增殖放流等措施。</w:t>
                  </w:r>
                </w:p>
                <w:p w14:paraId="13252A2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在采取上述措施后，对水生生物的不利影响能够得到缓解和控制，不会造成原有珍稀濒危保护、区域特有或重要经济水生生物在相关河段消失，不会对相关河段水生生态系统造成重大不利影响。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52399678">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eastAsia" w:cs="Times New Roman"/>
                      <w:color w:val="auto"/>
                      <w:highlight w:val="none"/>
                      <w:lang w:val="en-US" w:eastAsia="zh-CN"/>
                    </w:rPr>
                    <w:t>河道改造</w:t>
                  </w:r>
                  <w:r>
                    <w:rPr>
                      <w:rFonts w:hint="default" w:ascii="Times New Roman" w:hAnsi="Times New Roman" w:eastAsia="宋体" w:cs="Times New Roman"/>
                      <w:color w:val="auto"/>
                      <w:highlight w:val="none"/>
                    </w:rPr>
                    <w:t>，不影响河道的生态流量，不涉及水下施工，不涉及珍稀鱼类三场一通道，不会减少生态流量。施工期禁止捕捞水生生物，加强施工管理，严禁废水外排等措施后，工程的实施不会对其物种多样性和资源量产生不利影响，不会对水生生态系统造成重大不利影响。</w:t>
                  </w:r>
                </w:p>
              </w:tc>
              <w:tc>
                <w:tcPr>
                  <w:tcW w:w="1221" w:type="dxa"/>
                  <w:tcBorders>
                    <w:top w:val="single" w:color="auto" w:sz="4" w:space="0"/>
                    <w:left w:val="nil"/>
                    <w:bottom w:val="single" w:color="auto" w:sz="4" w:space="0"/>
                    <w:right w:val="nil"/>
                  </w:tcBorders>
                  <w:noWrap w:val="0"/>
                  <w:vAlign w:val="center"/>
                </w:tcPr>
                <w:p w14:paraId="085C96FD">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F174A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34DD69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第六条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14:paraId="5B3C08C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在采取上述措施后，对湿地以及陆生动植物的不利影响能够得到缓解和控制，与区域景观相协调，不会造成原有珍稀濒危保护动植物在相关区域消失，不会对陆生生态系统造成重大不利影响。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3BED6335">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本项目不涉及</w:t>
                  </w:r>
                  <w:r>
                    <w:rPr>
                      <w:rFonts w:hint="default" w:ascii="Times New Roman" w:hAnsi="Times New Roman" w:eastAsia="宋体" w:cs="Times New Roman"/>
                      <w:color w:val="auto"/>
                      <w:highlight w:val="none"/>
                      <w:lang w:val="en-US" w:eastAsia="zh-CN"/>
                    </w:rPr>
                    <w:t>占用</w:t>
                  </w:r>
                  <w:r>
                    <w:rPr>
                      <w:rFonts w:hint="default" w:ascii="Times New Roman" w:hAnsi="Times New Roman" w:eastAsia="宋体" w:cs="Times New Roman"/>
                      <w:color w:val="auto"/>
                      <w:highlight w:val="none"/>
                    </w:rPr>
                    <w:t>湿地，已是最优的方案。本项目施工区域无珍稀濒危保护植物，施工结束后恢复植被，可与周边景观相协调，不会对陆生生态系统造成重大不利影响。</w:t>
                  </w:r>
                </w:p>
              </w:tc>
              <w:tc>
                <w:tcPr>
                  <w:tcW w:w="1221" w:type="dxa"/>
                  <w:tcBorders>
                    <w:top w:val="single" w:color="auto" w:sz="4" w:space="0"/>
                    <w:left w:val="nil"/>
                    <w:bottom w:val="single" w:color="auto" w:sz="4" w:space="0"/>
                    <w:right w:val="nil"/>
                  </w:tcBorders>
                  <w:noWrap w:val="0"/>
                  <w:vAlign w:val="center"/>
                </w:tcPr>
                <w:p w14:paraId="727F575A">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890B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42DE60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第七条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涉水施工对鱼类等水生生物及其重要生境造成不利影响的，提出了避让、施工方案优化、控制施工噪声等措施；针对清淤、疏浚等产生的淤泥，提出了符合相关规定的处置或综合利用方案。</w:t>
                  </w:r>
                </w:p>
                <w:p w14:paraId="01E5B527">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在采取上述措施后，施工期的不利环境影响能够得到缓解和控制，不会对周围环境和敏感保护目标造成重大不利影响。</w:t>
                  </w:r>
                </w:p>
              </w:tc>
              <w:tc>
                <w:tcPr>
                  <w:tcW w:w="3030" w:type="dxa"/>
                  <w:tcBorders>
                    <w:top w:val="single" w:color="auto" w:sz="4" w:space="0"/>
                    <w:left w:val="nil"/>
                    <w:bottom w:val="single" w:color="auto" w:sz="4" w:space="0"/>
                    <w:right w:val="single" w:color="auto" w:sz="4" w:space="0"/>
                  </w:tcBorders>
                  <w:noWrap w:val="0"/>
                  <w:vAlign w:val="center"/>
                </w:tcPr>
                <w:p w14:paraId="3DDF8C71">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主体</w:t>
                  </w:r>
                  <w:r>
                    <w:rPr>
                      <w:rFonts w:hint="default" w:ascii="Times New Roman" w:hAnsi="Times New Roman" w:eastAsia="宋体" w:cs="Times New Roman"/>
                      <w:color w:val="auto"/>
                      <w:highlight w:val="none"/>
                    </w:rPr>
                    <w:t>工程选址选线</w:t>
                  </w:r>
                  <w:r>
                    <w:rPr>
                      <w:rFonts w:hint="eastAsia" w:cs="Times New Roman"/>
                      <w:color w:val="auto"/>
                      <w:highlight w:val="none"/>
                      <w:lang w:val="en-US" w:eastAsia="zh-CN"/>
                    </w:rPr>
                    <w:t>不</w:t>
                  </w:r>
                  <w:r>
                    <w:rPr>
                      <w:rFonts w:hint="default" w:ascii="Times New Roman" w:hAnsi="Times New Roman" w:eastAsia="宋体" w:cs="Times New Roman"/>
                      <w:color w:val="auto"/>
                      <w:highlight w:val="none"/>
                    </w:rPr>
                    <w:t>占用生态保护红线</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临时工程不占用生态保护红线。主体工程和临时工程均不占用</w:t>
                  </w:r>
                  <w:r>
                    <w:rPr>
                      <w:rFonts w:hint="default" w:ascii="Times New Roman" w:hAnsi="Times New Roman" w:eastAsia="宋体" w:cs="Times New Roman"/>
                      <w:color w:val="auto"/>
                      <w:highlight w:val="none"/>
                      <w:lang w:val="en-US" w:eastAsia="zh-CN"/>
                    </w:rPr>
                    <w:t>自然保护区、风景名胜区、世界文化和自然遗产地及</w:t>
                  </w:r>
                  <w:r>
                    <w:rPr>
                      <w:rFonts w:hint="default" w:ascii="Times New Roman" w:hAnsi="Times New Roman" w:eastAsia="宋体" w:cs="Times New Roman"/>
                      <w:color w:val="auto"/>
                      <w:sz w:val="21"/>
                      <w:szCs w:val="21"/>
                      <w:highlight w:val="none"/>
                      <w:lang w:val="en-US" w:eastAsia="zh-CN"/>
                    </w:rPr>
                    <w:t>其他法律法规禁止占用的区域</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本项目对</w:t>
                  </w:r>
                  <w:r>
                    <w:rPr>
                      <w:rFonts w:hint="default" w:ascii="Times New Roman" w:hAnsi="Times New Roman" w:eastAsia="宋体" w:cs="Times New Roman"/>
                      <w:b w:val="0"/>
                      <w:bCs w:val="0"/>
                      <w:color w:val="auto"/>
                      <w:highlight w:val="none"/>
                      <w:lang w:val="en-US" w:eastAsia="zh-CN"/>
                    </w:rPr>
                    <w:t>主体工程区</w:t>
                  </w:r>
                  <w:r>
                    <w:rPr>
                      <w:rFonts w:hint="default" w:ascii="Times New Roman" w:hAnsi="Times New Roman" w:eastAsia="宋体" w:cs="Times New Roman"/>
                      <w:b w:val="0"/>
                      <w:bCs w:val="0"/>
                      <w:color w:val="auto"/>
                      <w:highlight w:val="none"/>
                    </w:rPr>
                    <w:t>、施工生产生活区</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临时施工道路、表土暂存场、取土场等临时占地</w:t>
                  </w:r>
                  <w:r>
                    <w:rPr>
                      <w:rFonts w:hint="default" w:ascii="Times New Roman" w:hAnsi="Times New Roman" w:eastAsia="宋体" w:cs="Times New Roman"/>
                      <w:b w:val="0"/>
                      <w:bCs w:val="0"/>
                      <w:color w:val="auto"/>
                      <w:highlight w:val="none"/>
                    </w:rPr>
                    <w:t>提出了施工期表土剥离、编织袋土埂、密目网覆盖，施工结束后表土回填并恢复植被等水土保持措施和生态恢复措施。</w:t>
                  </w:r>
                </w:p>
                <w:p w14:paraId="2131103B">
                  <w:pPr>
                    <w:pStyle w:val="89"/>
                    <w:widowControl/>
                    <w:ind w:firstLine="404"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本项目涉水施工</w:t>
                  </w:r>
                  <w:r>
                    <w:rPr>
                      <w:rFonts w:hint="eastAsia" w:cs="Times New Roman"/>
                      <w:color w:val="auto"/>
                      <w:highlight w:val="none"/>
                      <w:lang w:val="en-US" w:eastAsia="zh-CN"/>
                    </w:rPr>
                    <w:t>不会</w:t>
                  </w:r>
                  <w:r>
                    <w:rPr>
                      <w:rFonts w:hint="default" w:ascii="Times New Roman" w:hAnsi="Times New Roman" w:eastAsia="宋体" w:cs="Times New Roman"/>
                      <w:color w:val="auto"/>
                      <w:highlight w:val="none"/>
                      <w:lang w:val="en-US" w:eastAsia="zh-CN"/>
                    </w:rPr>
                    <w:t>对鱼类等水生生物</w:t>
                  </w:r>
                  <w:r>
                    <w:rPr>
                      <w:rFonts w:hint="default" w:ascii="Times New Roman" w:hAnsi="Times New Roman" w:cs="Times New Roman"/>
                      <w:color w:val="auto"/>
                      <w:highlight w:val="none"/>
                      <w:lang w:val="en-US" w:eastAsia="zh-CN"/>
                    </w:rPr>
                    <w:t>及其</w:t>
                  </w:r>
                  <w:r>
                    <w:rPr>
                      <w:rFonts w:hint="default" w:ascii="Times New Roman" w:hAnsi="Times New Roman" w:eastAsia="宋体" w:cs="Times New Roman"/>
                      <w:color w:val="auto"/>
                      <w:highlight w:val="none"/>
                      <w:lang w:val="en-US" w:eastAsia="zh-CN"/>
                    </w:rPr>
                    <w:t>重要生境</w:t>
                  </w:r>
                  <w:r>
                    <w:rPr>
                      <w:rFonts w:hint="eastAsia" w:cs="Times New Roman"/>
                      <w:color w:val="auto"/>
                      <w:highlight w:val="none"/>
                      <w:lang w:val="en-US" w:eastAsia="zh-CN"/>
                    </w:rPr>
                    <w:t>造成</w:t>
                  </w:r>
                  <w:r>
                    <w:rPr>
                      <w:rFonts w:hint="default" w:ascii="Times New Roman" w:hAnsi="Times New Roman" w:eastAsia="宋体" w:cs="Times New Roman"/>
                      <w:color w:val="auto"/>
                      <w:highlight w:val="none"/>
                      <w:lang w:val="en-US" w:eastAsia="zh-CN"/>
                    </w:rPr>
                    <w:t>不利影响。</w:t>
                  </w:r>
                </w:p>
                <w:p w14:paraId="73EF5A2C">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对施工期废水、扬尘、废气、噪声、固废等均提出了防治措施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本项目不涉及清淤、疏浚工程。</w:t>
                  </w:r>
                  <w:r>
                    <w:rPr>
                      <w:rFonts w:hint="default" w:ascii="Times New Roman" w:hAnsi="Times New Roman" w:eastAsia="宋体" w:cs="Times New Roman"/>
                      <w:color w:val="auto"/>
                      <w:highlight w:val="none"/>
                    </w:rPr>
                    <w:t>工程施工期的不利环境影响能够得到缓解和控制，不会对周围环境和敏感保护目标造成重大不利影响；按照要求制定了相应的环境监测计划。</w:t>
                  </w:r>
                </w:p>
              </w:tc>
              <w:tc>
                <w:tcPr>
                  <w:tcW w:w="1221" w:type="dxa"/>
                  <w:tcBorders>
                    <w:top w:val="single" w:color="auto" w:sz="4" w:space="0"/>
                    <w:left w:val="nil"/>
                    <w:bottom w:val="single" w:color="auto" w:sz="4" w:space="0"/>
                    <w:right w:val="nil"/>
                  </w:tcBorders>
                  <w:noWrap w:val="0"/>
                  <w:vAlign w:val="center"/>
                </w:tcPr>
                <w:p w14:paraId="5FE9CBDF">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AA5B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7FEE88C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第八条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项目移民安置的选址和建设方式具有环境合理性，提出了生态保护、污水处理、固体废物处置等措施。</w:t>
                  </w:r>
                </w:p>
                <w:p w14:paraId="457CC85B">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针对蓄滞洪区的环境污染、新增占地涉及污染场地等，提出了环境管理对策建议。</w:t>
                  </w:r>
                </w:p>
              </w:tc>
              <w:tc>
                <w:tcPr>
                  <w:tcW w:w="3030" w:type="dxa"/>
                  <w:tcBorders>
                    <w:top w:val="single" w:color="auto" w:sz="4" w:space="0"/>
                    <w:left w:val="nil"/>
                    <w:bottom w:val="single" w:color="auto" w:sz="4" w:space="0"/>
                    <w:right w:val="single" w:color="auto" w:sz="4" w:space="0"/>
                  </w:tcBorders>
                  <w:noWrap w:val="0"/>
                  <w:vAlign w:val="center"/>
                </w:tcPr>
                <w:p w14:paraId="3F972490">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本项目不涉及永久征收集体耕地，不涉及房屋搬迁，因此不涉及生产安置及搬迁安置。</w:t>
                  </w:r>
                </w:p>
                <w:p w14:paraId="7F5B3CC4">
                  <w:pPr>
                    <w:pStyle w:val="89"/>
                    <w:widowControl/>
                    <w:ind w:firstLine="404"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本项目不涉及</w:t>
                  </w:r>
                  <w:r>
                    <w:rPr>
                      <w:rFonts w:hint="default" w:ascii="Times New Roman" w:hAnsi="Times New Roman" w:eastAsia="宋体" w:cs="Times New Roman"/>
                      <w:color w:val="auto"/>
                      <w:highlight w:val="none"/>
                    </w:rPr>
                    <w:t>蓄滞洪区</w:t>
                  </w:r>
                  <w:r>
                    <w:rPr>
                      <w:rFonts w:hint="default" w:ascii="Times New Roman" w:hAnsi="Times New Roman" w:eastAsia="宋体" w:cs="Times New Roman"/>
                      <w:color w:val="auto"/>
                      <w:highlight w:val="none"/>
                      <w:lang w:eastAsia="zh-CN"/>
                    </w:rPr>
                    <w:t>。</w:t>
                  </w:r>
                </w:p>
              </w:tc>
              <w:tc>
                <w:tcPr>
                  <w:tcW w:w="1221" w:type="dxa"/>
                  <w:tcBorders>
                    <w:top w:val="single" w:color="auto" w:sz="4" w:space="0"/>
                    <w:left w:val="nil"/>
                    <w:bottom w:val="single" w:color="auto" w:sz="4" w:space="0"/>
                    <w:right w:val="nil"/>
                  </w:tcBorders>
                  <w:noWrap w:val="0"/>
                  <w:vAlign w:val="center"/>
                </w:tcPr>
                <w:p w14:paraId="43E26B92">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3C2822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4D0CBBD3">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第九条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项目存在河湖水质污染、富营养化或外来物种入侵等环境风险的，提出了针对性的风险防范措施以及环境应急预案编制、建立必要的应急联动机制等要求。</w:t>
                  </w:r>
                </w:p>
              </w:tc>
              <w:tc>
                <w:tcPr>
                  <w:tcW w:w="3030" w:type="dxa"/>
                  <w:tcBorders>
                    <w:top w:val="single" w:color="auto" w:sz="4" w:space="0"/>
                    <w:left w:val="nil"/>
                    <w:bottom w:val="single" w:color="auto" w:sz="4" w:space="0"/>
                    <w:right w:val="single" w:color="auto" w:sz="4" w:space="0"/>
                  </w:tcBorders>
                  <w:noWrap w:val="0"/>
                  <w:vAlign w:val="center"/>
                </w:tcPr>
                <w:p w14:paraId="2C0EB3AF">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本项目施工废水回用不外排，不会造成河湖水质污染、富营养化问题。</w:t>
                  </w:r>
                </w:p>
              </w:tc>
              <w:tc>
                <w:tcPr>
                  <w:tcW w:w="1221" w:type="dxa"/>
                  <w:tcBorders>
                    <w:top w:val="single" w:color="auto" w:sz="4" w:space="0"/>
                    <w:left w:val="nil"/>
                    <w:bottom w:val="single" w:color="auto" w:sz="4" w:space="0"/>
                    <w:right w:val="nil"/>
                  </w:tcBorders>
                  <w:noWrap w:val="0"/>
                  <w:vAlign w:val="center"/>
                </w:tcPr>
                <w:p w14:paraId="3A63D0C8">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82B1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5E02D4EE">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改、扩建项目在全面梳理了与项目有关的现有工程环境问题基础上，提出了与项目相适应的</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以新带老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措施。</w:t>
                  </w:r>
                </w:p>
              </w:tc>
              <w:tc>
                <w:tcPr>
                  <w:tcW w:w="3030" w:type="dxa"/>
                  <w:tcBorders>
                    <w:top w:val="single" w:color="auto" w:sz="4" w:space="0"/>
                    <w:left w:val="nil"/>
                    <w:bottom w:val="single" w:color="auto" w:sz="4" w:space="0"/>
                    <w:right w:val="single" w:color="auto" w:sz="4" w:space="0"/>
                  </w:tcBorders>
                  <w:noWrap w:val="0"/>
                  <w:vAlign w:val="center"/>
                </w:tcPr>
                <w:p w14:paraId="53B0D5AB">
                  <w:pPr>
                    <w:pStyle w:val="89"/>
                    <w:widowControl/>
                    <w:ind w:firstLine="404"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本项目为新建</w:t>
                  </w:r>
                  <w:r>
                    <w:rPr>
                      <w:rFonts w:hint="default" w:ascii="Times New Roman" w:hAnsi="Times New Roman" w:eastAsia="宋体" w:cs="Times New Roman"/>
                      <w:color w:val="auto"/>
                      <w:highlight w:val="none"/>
                      <w:lang w:val="en-US" w:eastAsia="zh-CN"/>
                    </w:rPr>
                    <w:t>项目，不涉及</w:t>
                  </w:r>
                  <w:r>
                    <w:rPr>
                      <w:rFonts w:hint="default" w:ascii="Times New Roman" w:hAnsi="Times New Roman" w:eastAsia="宋体" w:cs="Times New Roman"/>
                      <w:color w:val="auto"/>
                      <w:highlight w:val="none"/>
                    </w:rPr>
                    <w:t>现有工程环境问题</w:t>
                  </w:r>
                  <w:r>
                    <w:rPr>
                      <w:rFonts w:hint="default" w:ascii="Times New Roman" w:hAnsi="Times New Roman" w:eastAsia="宋体" w:cs="Times New Roman"/>
                      <w:color w:val="auto"/>
                      <w:highlight w:val="none"/>
                      <w:lang w:val="en-US" w:eastAsia="zh-CN"/>
                    </w:rPr>
                    <w:t>和</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以新带老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措施。</w:t>
                  </w:r>
                </w:p>
              </w:tc>
              <w:tc>
                <w:tcPr>
                  <w:tcW w:w="1221" w:type="dxa"/>
                  <w:tcBorders>
                    <w:top w:val="single" w:color="auto" w:sz="4" w:space="0"/>
                    <w:left w:val="nil"/>
                    <w:bottom w:val="single" w:color="auto" w:sz="4" w:space="0"/>
                    <w:right w:val="nil"/>
                  </w:tcBorders>
                  <w:noWrap w:val="0"/>
                  <w:vAlign w:val="center"/>
                </w:tcPr>
                <w:p w14:paraId="46BCC363">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8EE9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2EC01B1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第十一条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3030" w:type="dxa"/>
                  <w:tcBorders>
                    <w:top w:val="single" w:color="auto" w:sz="4" w:space="0"/>
                    <w:left w:val="nil"/>
                    <w:bottom w:val="single" w:color="auto" w:sz="4" w:space="0"/>
                    <w:right w:val="single" w:color="auto" w:sz="4" w:space="0"/>
                  </w:tcBorders>
                  <w:noWrap w:val="0"/>
                  <w:vAlign w:val="center"/>
                </w:tcPr>
                <w:p w14:paraId="787F72B6">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本环评依据编制指南进行编写，根据导则要求明确了监测要求。</w:t>
                  </w:r>
                </w:p>
              </w:tc>
              <w:tc>
                <w:tcPr>
                  <w:tcW w:w="1221" w:type="dxa"/>
                  <w:tcBorders>
                    <w:top w:val="single" w:color="auto" w:sz="4" w:space="0"/>
                    <w:left w:val="nil"/>
                    <w:bottom w:val="single" w:color="auto" w:sz="4" w:space="0"/>
                    <w:right w:val="nil"/>
                  </w:tcBorders>
                  <w:noWrap w:val="0"/>
                  <w:vAlign w:val="center"/>
                </w:tcPr>
                <w:p w14:paraId="3A197656">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412E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B7D5BA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第十二条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对环境保护措施进行了深入论证，建设单位主体责任、投资估算、时间节点、预期效果明确，确保科学有效、安全可行、绿色协调</w:t>
                  </w:r>
                </w:p>
              </w:tc>
              <w:tc>
                <w:tcPr>
                  <w:tcW w:w="3030" w:type="dxa"/>
                  <w:tcBorders>
                    <w:top w:val="single" w:color="auto" w:sz="4" w:space="0"/>
                    <w:left w:val="nil"/>
                    <w:bottom w:val="single" w:color="auto" w:sz="4" w:space="0"/>
                    <w:right w:val="single" w:color="auto" w:sz="4" w:space="0"/>
                  </w:tcBorders>
                  <w:noWrap w:val="0"/>
                  <w:vAlign w:val="center"/>
                </w:tcPr>
                <w:p w14:paraId="183EA015">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本项目对环保措施进行了论证，并进行了投资估算。</w:t>
                  </w:r>
                </w:p>
              </w:tc>
              <w:tc>
                <w:tcPr>
                  <w:tcW w:w="1221" w:type="dxa"/>
                  <w:tcBorders>
                    <w:top w:val="single" w:color="auto" w:sz="4" w:space="0"/>
                    <w:left w:val="nil"/>
                    <w:bottom w:val="single" w:color="auto" w:sz="4" w:space="0"/>
                    <w:right w:val="nil"/>
                  </w:tcBorders>
                  <w:noWrap w:val="0"/>
                  <w:vAlign w:val="center"/>
                </w:tcPr>
                <w:p w14:paraId="35E7D071">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9AA5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4" w:space="0"/>
                    <w:right w:val="single" w:color="auto" w:sz="4" w:space="0"/>
                  </w:tcBorders>
                  <w:noWrap w:val="0"/>
                  <w:vAlign w:val="center"/>
                </w:tcPr>
                <w:p w14:paraId="3FBA968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第十三条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按相关规定开展了信息公开和公众参与。</w:t>
                  </w:r>
                </w:p>
              </w:tc>
              <w:tc>
                <w:tcPr>
                  <w:tcW w:w="3030" w:type="dxa"/>
                  <w:tcBorders>
                    <w:top w:val="single" w:color="auto" w:sz="4" w:space="0"/>
                    <w:left w:val="nil"/>
                    <w:bottom w:val="single" w:color="auto" w:sz="4" w:space="0"/>
                    <w:right w:val="single" w:color="auto" w:sz="4" w:space="0"/>
                  </w:tcBorders>
                  <w:noWrap w:val="0"/>
                  <w:vAlign w:val="center"/>
                </w:tcPr>
                <w:p w14:paraId="3E74C9A9">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本项目为报告表</w:t>
                  </w:r>
                  <w:r>
                    <w:rPr>
                      <w:rFonts w:hint="default" w:ascii="Times New Roman" w:hAnsi="Times New Roman" w:eastAsia="宋体" w:cs="Times New Roman"/>
                      <w:color w:val="auto"/>
                      <w:highlight w:val="none"/>
                      <w:lang w:val="en-US" w:eastAsia="zh-CN"/>
                    </w:rPr>
                    <w:t>类型</w:t>
                  </w:r>
                  <w:r>
                    <w:rPr>
                      <w:rFonts w:hint="default" w:ascii="Times New Roman" w:hAnsi="Times New Roman" w:eastAsia="宋体" w:cs="Times New Roman"/>
                      <w:color w:val="auto"/>
                      <w:highlight w:val="none"/>
                    </w:rPr>
                    <w:t>，不实行信息公开与公众参与。</w:t>
                  </w:r>
                </w:p>
              </w:tc>
              <w:tc>
                <w:tcPr>
                  <w:tcW w:w="1221" w:type="dxa"/>
                  <w:tcBorders>
                    <w:top w:val="single" w:color="auto" w:sz="4" w:space="0"/>
                    <w:left w:val="nil"/>
                    <w:bottom w:val="single" w:color="auto" w:sz="4" w:space="0"/>
                    <w:right w:val="nil"/>
                  </w:tcBorders>
                  <w:noWrap w:val="0"/>
                  <w:vAlign w:val="center"/>
                </w:tcPr>
                <w:p w14:paraId="269D37B1">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2C10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91" w:type="dxa"/>
                  <w:tcBorders>
                    <w:top w:val="single" w:color="auto" w:sz="4" w:space="0"/>
                    <w:left w:val="nil"/>
                    <w:bottom w:val="single" w:color="auto" w:sz="12" w:space="0"/>
                    <w:right w:val="single" w:color="auto" w:sz="4" w:space="0"/>
                  </w:tcBorders>
                  <w:noWrap w:val="0"/>
                  <w:vAlign w:val="center"/>
                </w:tcPr>
                <w:p w14:paraId="57A10FAF">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第十四条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环境影响评价文件编制规范，符合相关管理规定和环评技术标准要求。</w:t>
                  </w:r>
                </w:p>
              </w:tc>
              <w:tc>
                <w:tcPr>
                  <w:tcW w:w="3030" w:type="dxa"/>
                  <w:tcBorders>
                    <w:top w:val="single" w:color="auto" w:sz="4" w:space="0"/>
                    <w:left w:val="nil"/>
                    <w:bottom w:val="single" w:color="auto" w:sz="12" w:space="0"/>
                    <w:right w:val="single" w:color="auto" w:sz="4" w:space="0"/>
                  </w:tcBorders>
                  <w:noWrap w:val="0"/>
                  <w:vAlign w:val="center"/>
                </w:tcPr>
                <w:p w14:paraId="54EEF76D">
                  <w:pPr>
                    <w:pStyle w:val="89"/>
                    <w:widowControl/>
                    <w:ind w:firstLine="404"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本项目按编制指南要求编写，符合相关技术标准要求。</w:t>
                  </w:r>
                </w:p>
              </w:tc>
              <w:tc>
                <w:tcPr>
                  <w:tcW w:w="1221" w:type="dxa"/>
                  <w:tcBorders>
                    <w:top w:val="single" w:color="auto" w:sz="4" w:space="0"/>
                    <w:left w:val="nil"/>
                    <w:bottom w:val="single" w:color="auto" w:sz="12" w:space="0"/>
                    <w:right w:val="nil"/>
                  </w:tcBorders>
                  <w:noWrap w:val="0"/>
                  <w:vAlign w:val="center"/>
                </w:tcPr>
                <w:p w14:paraId="0EFC1EC9">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4736106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因此，本项目的建设与《水利建设项目（河湖整治与防洪除涝工程）环境影响评价文件审批原则》是相符合。</w:t>
            </w:r>
          </w:p>
          <w:p w14:paraId="57B2D37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yellow"/>
              </w:rPr>
            </w:pPr>
            <w:r>
              <w:rPr>
                <w:rFonts w:hint="eastAsia" w:cs="Times New Roman"/>
                <w:color w:val="auto"/>
                <w:highlight w:val="yellow"/>
                <w:lang w:val="en-US" w:eastAsia="zh-CN"/>
              </w:rPr>
              <w:t>3</w:t>
            </w:r>
            <w:r>
              <w:rPr>
                <w:rFonts w:hint="default" w:ascii="Times New Roman" w:hAnsi="Times New Roman" w:eastAsia="宋体" w:cs="Times New Roman"/>
                <w:color w:val="auto"/>
                <w:highlight w:val="yellow"/>
              </w:rPr>
              <w:t>、与《水利建设项目（河湖整治与防洪除涝工程）环境影响评价文件审批原则》（环办环评</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2018</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2号）符合性分析</w:t>
            </w:r>
          </w:p>
          <w:p w14:paraId="63E5B3AF">
            <w:pPr>
              <w:pStyle w:val="84"/>
              <w:rPr>
                <w:rFonts w:hint="default" w:ascii="Times New Roman" w:hAnsi="Times New Roman" w:eastAsia="宋体" w:cs="Times New Roman"/>
                <w:color w:val="auto"/>
                <w:highlight w:val="yellow"/>
              </w:rPr>
            </w:pPr>
            <w:r>
              <w:rPr>
                <w:rFonts w:hint="default" w:ascii="Times New Roman" w:hAnsi="Times New Roman" w:eastAsia="宋体" w:cs="Times New Roman"/>
                <w:color w:val="auto"/>
                <w:highlight w:val="yellow"/>
              </w:rPr>
              <w:t>《水利建设项目（河湖整治与防洪除涝工程）环境影响评价文件审批原则》（环办环评</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2018</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2号）</w:t>
            </w:r>
            <w:r>
              <w:rPr>
                <w:rFonts w:hint="eastAsia" w:cs="Times New Roman"/>
                <w:color w:val="auto"/>
                <w:highlight w:val="yellow"/>
                <w:lang w:val="en-US" w:eastAsia="zh-CN"/>
              </w:rPr>
              <w:t>中要求：“</w:t>
            </w:r>
            <w:r>
              <w:rPr>
                <w:rFonts w:hint="default" w:ascii="Times New Roman" w:hAnsi="Times New Roman" w:eastAsia="宋体" w:cs="Times New Roman"/>
                <w:color w:val="auto"/>
                <w:highlight w:val="yellow"/>
              </w:rPr>
              <w:t>第二十三条　地方各级人民政府应当结合本地区水资源的实际情况，按照地表水与地下水统一调度开发、开源与节流相结合、节流优先和污水处理再利用的原则，合理组织开发、综合利用水资源。</w:t>
            </w:r>
          </w:p>
          <w:p w14:paraId="2A2BDDA9">
            <w:pPr>
              <w:pStyle w:val="84"/>
              <w:rPr>
                <w:rFonts w:hint="eastAsia" w:cs="Times New Roman"/>
                <w:color w:val="auto"/>
                <w:highlight w:val="yellow"/>
                <w:lang w:eastAsia="zh-CN"/>
              </w:rPr>
            </w:pPr>
            <w:r>
              <w:rPr>
                <w:rFonts w:hint="default" w:ascii="Times New Roman" w:hAnsi="Times New Roman" w:eastAsia="宋体" w:cs="Times New Roman"/>
                <w:color w:val="auto"/>
                <w:highlight w:val="yellow"/>
              </w:rPr>
              <w:t>国民经济和社会发展规划以及城市总体规划的编制、重大建设项目的布局，应当与当地水资源条件和防洪要求相适应，并进行科学论证；在水资源不足的地区，应当对城市规模和建设耗水量大的工业、农业和服务业项目加以限制。</w:t>
            </w:r>
            <w:r>
              <w:rPr>
                <w:rFonts w:hint="eastAsia" w:cs="Times New Roman"/>
                <w:color w:val="auto"/>
                <w:highlight w:val="yellow"/>
                <w:lang w:eastAsia="zh-CN"/>
              </w:rPr>
              <w:t>”</w:t>
            </w:r>
          </w:p>
          <w:p w14:paraId="70C3B78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yellow"/>
                <w:lang w:val="en-US" w:eastAsia="zh-CN"/>
              </w:rPr>
            </w:pPr>
            <w:r>
              <w:rPr>
                <w:rFonts w:hint="default" w:ascii="Times New Roman" w:hAnsi="Times New Roman" w:cs="Times New Roman"/>
                <w:color w:val="auto"/>
                <w:highlight w:val="yellow"/>
                <w:lang w:val="en-US" w:eastAsia="zh-CN"/>
              </w:rPr>
              <w:t>本工程通过格木克河改道工程，增大过流断面面积，增大河道行洪能力，稳固的格宾石笼结构有效防止河岸坍塌，保障行洪通道畅通无阻，显著提升河道行洪能力，降低城市内涝风险，守护居民生命财产安全。</w:t>
            </w:r>
            <w:r>
              <w:rPr>
                <w:rFonts w:hint="eastAsia" w:cs="Times New Roman"/>
                <w:color w:val="auto"/>
                <w:highlight w:val="yellow"/>
                <w:lang w:val="en-US" w:eastAsia="zh-CN"/>
              </w:rPr>
              <w:t>本项目的建设符合</w:t>
            </w:r>
            <w:r>
              <w:rPr>
                <w:rFonts w:hint="default" w:ascii="Times New Roman" w:hAnsi="Times New Roman" w:eastAsia="宋体" w:cs="Times New Roman"/>
                <w:color w:val="auto"/>
                <w:highlight w:val="yellow"/>
              </w:rPr>
              <w:t>《水利建设项目（河湖整治与防洪除涝工程）环境影响评价文件审批原则》（环办环评</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2018</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2号）</w:t>
            </w:r>
            <w:r>
              <w:rPr>
                <w:rFonts w:hint="eastAsia" w:cs="Times New Roman"/>
                <w:color w:val="auto"/>
                <w:highlight w:val="yellow"/>
                <w:lang w:val="en-US" w:eastAsia="zh-CN"/>
              </w:rPr>
              <w:t>的要求。</w:t>
            </w:r>
          </w:p>
          <w:p w14:paraId="47B3D081">
            <w:pPr>
              <w:pStyle w:val="84"/>
              <w:rPr>
                <w:rFonts w:hint="default" w:cs="Times New Roman"/>
                <w:color w:val="auto"/>
                <w:highlight w:val="yellow"/>
                <w:lang w:val="en-US" w:eastAsia="zh-CN"/>
              </w:rPr>
            </w:pPr>
            <w:r>
              <w:rPr>
                <w:rFonts w:hint="eastAsia" w:cs="Times New Roman"/>
                <w:color w:val="auto"/>
                <w:highlight w:val="yellow"/>
                <w:lang w:val="en-US" w:eastAsia="zh-CN"/>
              </w:rPr>
              <w:t>4、与《中华人民共和国河道管理条例（2026修订）》符合性分析</w:t>
            </w:r>
          </w:p>
          <w:p w14:paraId="61F63C6D">
            <w:pPr>
              <w:pStyle w:val="84"/>
              <w:rPr>
                <w:rFonts w:hint="eastAsia" w:ascii="Times New Roman" w:hAnsi="Times New Roman" w:eastAsia="宋体" w:cs="Times New Roman"/>
                <w:color w:val="auto"/>
                <w:highlight w:val="yellow"/>
                <w:lang w:val="en-US" w:eastAsia="zh-CN"/>
              </w:rPr>
            </w:pPr>
            <w:r>
              <w:rPr>
                <w:rFonts w:hint="eastAsia" w:cs="Times New Roman"/>
                <w:color w:val="auto"/>
                <w:highlight w:val="yellow"/>
                <w:lang w:val="en-US" w:eastAsia="zh-CN"/>
              </w:rPr>
              <w:t>根据《中华人民共和国河道管理条例（2026修订）》要求：“第十条 河道的整治与建设，应当服从流域综合规划，符合国家规定的防洪标准、通航标准和其他有关技术要求，维护堤防安全，保持河势稳定和行洪、航运通畅。”</w:t>
            </w:r>
          </w:p>
          <w:p w14:paraId="70EEEB90">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yellow"/>
                <w:lang w:val="en-US" w:eastAsia="zh-CN"/>
              </w:rPr>
            </w:pPr>
            <w:r>
              <w:rPr>
                <w:rFonts w:hint="default" w:ascii="Times New Roman" w:hAnsi="Times New Roman" w:cs="Times New Roman"/>
                <w:color w:val="auto"/>
                <w:highlight w:val="yellow"/>
                <w:lang w:val="en-US" w:eastAsia="zh-CN"/>
              </w:rPr>
              <w:t>本工程通过格木克河改道工程，</w:t>
            </w:r>
            <w:r>
              <w:rPr>
                <w:rFonts w:hint="eastAsia" w:cs="Times New Roman"/>
                <w:color w:val="auto"/>
                <w:highlight w:val="yellow"/>
                <w:lang w:val="en-US" w:eastAsia="zh-CN"/>
              </w:rPr>
              <w:t>设计</w:t>
            </w:r>
            <w:r>
              <w:rPr>
                <w:rFonts w:hint="default" w:ascii="Times New Roman" w:hAnsi="Times New Roman" w:eastAsia="宋体" w:cs="Times New Roman"/>
                <w:color w:val="auto"/>
                <w:highlight w:val="yellow"/>
              </w:rPr>
              <w:t>防洪标准为10年一遇，</w:t>
            </w:r>
            <w:r>
              <w:rPr>
                <w:rFonts w:hint="default" w:ascii="Times New Roman" w:hAnsi="Times New Roman" w:cs="Times New Roman"/>
                <w:color w:val="auto"/>
                <w:highlight w:val="yellow"/>
                <w:lang w:val="en-US" w:eastAsia="zh-CN"/>
              </w:rPr>
              <w:t>增大过流断面面积，增大河道行洪能力，稳固的格宾石笼结构有效防止河岸坍塌，保障行洪通道畅通无阻，显著提升河道行洪能力，降低城市内涝风险，守护居民生命财产安全。</w:t>
            </w:r>
            <w:r>
              <w:rPr>
                <w:rFonts w:hint="default" w:ascii="Times New Roman" w:hAnsi="Times New Roman" w:cs="Times New Roman"/>
                <w:bCs/>
                <w:color w:val="auto"/>
                <w:spacing w:val="10"/>
                <w:szCs w:val="21"/>
                <w:highlight w:val="yellow"/>
              </w:rPr>
              <w:t>加强管理，杜绝污染物进入水体中，禁止向河水中排放废水、废渣，</w:t>
            </w:r>
            <w:r>
              <w:rPr>
                <w:rFonts w:hint="eastAsia" w:cs="Times New Roman"/>
                <w:color w:val="auto"/>
                <w:szCs w:val="21"/>
                <w:highlight w:val="yellow"/>
                <w:lang w:val="en-US" w:eastAsia="zh-CN"/>
              </w:rPr>
              <w:t>防止对水体造成二次污染</w:t>
            </w:r>
            <w:r>
              <w:rPr>
                <w:rFonts w:hint="default" w:ascii="Times New Roman" w:hAnsi="Times New Roman" w:cs="Times New Roman"/>
                <w:color w:val="auto"/>
                <w:szCs w:val="21"/>
                <w:highlight w:val="yellow"/>
              </w:rPr>
              <w:t>。</w:t>
            </w:r>
            <w:r>
              <w:rPr>
                <w:rFonts w:hint="eastAsia" w:cs="Times New Roman"/>
                <w:color w:val="auto"/>
                <w:highlight w:val="yellow"/>
                <w:lang w:val="en-US" w:eastAsia="zh-CN"/>
              </w:rPr>
              <w:t>本项目的建设符合《中华人民共和国河道管理条例（2026修订）》的要求。</w:t>
            </w:r>
          </w:p>
          <w:p w14:paraId="7B839D88">
            <w:pPr>
              <w:pStyle w:val="84"/>
              <w:rPr>
                <w:rFonts w:hint="default" w:ascii="Times New Roman" w:hAnsi="Times New Roman" w:eastAsia="宋体" w:cs="Times New Roman"/>
                <w:color w:val="auto"/>
                <w:highlight w:val="none"/>
              </w:rPr>
            </w:pPr>
            <w:r>
              <w:rPr>
                <w:rFonts w:hint="eastAsia" w:cs="Times New Roman"/>
                <w:color w:val="auto"/>
                <w:highlight w:val="yellow"/>
                <w:lang w:val="en-US" w:eastAsia="zh-CN"/>
              </w:rPr>
              <w:t>5</w:t>
            </w:r>
            <w:r>
              <w:rPr>
                <w:rFonts w:hint="default" w:ascii="Times New Roman" w:hAnsi="Times New Roman" w:eastAsia="宋体" w:cs="Times New Roman"/>
                <w:color w:val="auto"/>
                <w:highlight w:val="none"/>
              </w:rPr>
              <w:t>、与《黑龙江省主体功能区规划》符合性分析</w:t>
            </w:r>
          </w:p>
          <w:p w14:paraId="5A0FA145">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《黑龙江省主体功能区规划》将全省国土空间按开发方式划分为重点开发区域、限制开发区域和禁止开发区域，</w:t>
            </w:r>
            <w:r>
              <w:rPr>
                <w:rFonts w:hint="default" w:ascii="Times New Roman" w:hAnsi="Times New Roman" w:eastAsia="宋体" w:cs="Times New Roman"/>
                <w:color w:val="auto"/>
                <w:highlight w:val="none"/>
                <w:lang w:val="en-US" w:eastAsia="zh-CN"/>
              </w:rPr>
              <w:t>庆安县</w:t>
            </w:r>
            <w:r>
              <w:rPr>
                <w:rFonts w:hint="default" w:ascii="Times New Roman" w:hAnsi="Times New Roman" w:eastAsia="宋体" w:cs="Times New Roman"/>
                <w:color w:val="auto"/>
                <w:highlight w:val="none"/>
              </w:rPr>
              <w:t>位于</w:t>
            </w:r>
            <w:r>
              <w:rPr>
                <w:rFonts w:hint="default" w:ascii="Times New Roman" w:hAnsi="Times New Roman" w:eastAsia="宋体" w:cs="Times New Roman"/>
                <w:color w:val="auto"/>
                <w:highlight w:val="none"/>
                <w:lang w:val="en-US" w:eastAsia="zh-CN"/>
              </w:rPr>
              <w:t>大小兴安岭森林生态功能区</w:t>
            </w:r>
            <w:r>
              <w:rPr>
                <w:rFonts w:hint="default" w:ascii="Times New Roman" w:hAnsi="Times New Roman" w:eastAsia="宋体" w:cs="Times New Roman"/>
                <w:color w:val="auto"/>
                <w:highlight w:val="none"/>
              </w:rPr>
              <w:t>，属于限制开发区域（国家重点生态功能区）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绥化市庆安县位于点状开发城镇。</w:t>
            </w:r>
          </w:p>
          <w:p w14:paraId="73FE88A2">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（1）大小兴安岭森林生态功能区</w:t>
            </w:r>
          </w:p>
          <w:p w14:paraId="14C308BD">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发展方向</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345610AF">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点状开发城镇</w:t>
            </w:r>
          </w:p>
          <w:p w14:paraId="171114EC">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功能定位</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重要的农林产业和产品生产加工基地，县域经济和特色优势产业发展的核心区，承接周边农业人口和林业生态人口转移的集中区。</w:t>
            </w:r>
          </w:p>
          <w:p w14:paraId="68F5DB59">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生态建设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加强生态建设，积极保护耕地、森林、草原、水域和湿地，强化西部地区的防风固沙功能，加强水资源保护治理及林木采伐中的水土流失预防和治理。</w:t>
            </w:r>
          </w:p>
          <w:p w14:paraId="42B04D4F">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产业发展方向与布局</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因地制宜发展优势特色产业，科学有序进行矿产资源的点状开发并做好生态恢复，重点发展特色种植养殖、观光休闲农业、农林牧产品生产和精深加工、绿色食品、北药等产业，积极发展生态旅游等服务业。</w:t>
            </w:r>
          </w:p>
          <w:p w14:paraId="2C8C5178">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公共服务和基础设施建设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改善教育、医疗、文化等设施条件，健全公共服务体系，提高公共服务供给能力和水平。加强城镇道路、供排水、垃圾污水处理基础设施建设，优化生产生活环境。</w:t>
            </w:r>
          </w:p>
          <w:p w14:paraId="1237E9B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本工程的建设任务通过</w:t>
            </w:r>
            <w:r>
              <w:rPr>
                <w:rFonts w:hint="eastAsia" w:cs="Times New Roman"/>
                <w:color w:val="auto"/>
                <w:highlight w:val="none"/>
                <w:lang w:val="en-US" w:eastAsia="zh-CN"/>
              </w:rPr>
              <w:t>格木克河改道工程，增大过流断面面积，增大河道行洪能力，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稳固的格宾石笼结构有效防止河岸坍塌，保障行洪通道畅通无阻，显著提升河道行洪能力，降低城市内涝风险，守护居民生命财产安全。</w:t>
            </w:r>
            <w:r>
              <w:rPr>
                <w:rFonts w:hint="default" w:ascii="Times New Roman" w:hAnsi="Times New Roman" w:eastAsia="宋体" w:cs="Times New Roman"/>
                <w:color w:val="auto"/>
                <w:highlight w:val="none"/>
                <w:lang w:val="en-US" w:eastAsia="zh-CN"/>
              </w:rPr>
              <w:t>在通过本报告提出的一系列生态保护措施和污染防治措施后，对生态环境的影响可降到最低</w:t>
            </w:r>
            <w:r>
              <w:rPr>
                <w:rFonts w:hint="default" w:ascii="Times New Roman" w:hAnsi="Times New Roman" w:eastAsia="宋体" w:cs="Times New Roman"/>
                <w:color w:val="auto"/>
                <w:highlight w:val="none"/>
              </w:rPr>
              <w:t>。因此，本工程的建设与《黑龙江省主体功能区规划》相符合。</w:t>
            </w:r>
          </w:p>
          <w:p w14:paraId="7F67875E">
            <w:pPr>
              <w:pStyle w:val="84"/>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1312" behindDoc="0" locked="0" layoutInCell="1" allowOverlap="1">
                      <wp:simplePos x="0" y="0"/>
                      <wp:positionH relativeFrom="column">
                        <wp:posOffset>1153160</wp:posOffset>
                      </wp:positionH>
                      <wp:positionV relativeFrom="paragraph">
                        <wp:posOffset>1512570</wp:posOffset>
                      </wp:positionV>
                      <wp:extent cx="790575" cy="276225"/>
                      <wp:effectExtent l="4445" t="5080" r="367030" b="480695"/>
                      <wp:wrapNone/>
                      <wp:docPr id="5" name="自选图形 220"/>
                      <wp:cNvGraphicFramePr/>
                      <a:graphic xmlns:a="http://schemas.openxmlformats.org/drawingml/2006/main">
                        <a:graphicData uri="http://schemas.microsoft.com/office/word/2010/wordprocessingShape">
                          <wps:wsp>
                            <wps:cNvSpPr/>
                            <wps:spPr>
                              <a:xfrm>
                                <a:off x="0" y="0"/>
                                <a:ext cx="790575" cy="276225"/>
                              </a:xfrm>
                              <a:prstGeom prst="wedgeRectCallout">
                                <a:avLst>
                                  <a:gd name="adj1" fmla="val 91204"/>
                                  <a:gd name="adj2" fmla="val 214829"/>
                                </a:avLst>
                              </a:prstGeom>
                              <a:solidFill>
                                <a:srgbClr val="FFFFFF"/>
                              </a:solidFill>
                              <a:ln w="9525" cap="flat" cmpd="sng">
                                <a:solidFill>
                                  <a:srgbClr val="000000"/>
                                </a:solidFill>
                                <a:prstDash val="solid"/>
                                <a:miter/>
                                <a:headEnd type="none" w="med" len="med"/>
                                <a:tailEnd type="none" w="med" len="med"/>
                              </a:ln>
                            </wps:spPr>
                            <wps:txbx>
                              <w:txbxContent>
                                <w:p w14:paraId="142F48E7">
                                  <w:pPr>
                                    <w:jc w:val="center"/>
                                    <w:rPr>
                                      <w:rFonts w:hint="default" w:eastAsia="宋体"/>
                                      <w:lang w:val="en-US" w:eastAsia="zh-CN"/>
                                    </w:rPr>
                                  </w:pPr>
                                  <w:r>
                                    <w:rPr>
                                      <w:rFonts w:hint="eastAsia"/>
                                      <w:lang w:val="en-US" w:eastAsia="zh-CN"/>
                                    </w:rPr>
                                    <w:t>项目位置</w:t>
                                  </w:r>
                                </w:p>
                              </w:txbxContent>
                            </wps:txbx>
                            <wps:bodyPr vert="horz" wrap="square" anchor="t" anchorCtr="0" upright="1"/>
                          </wps:wsp>
                        </a:graphicData>
                      </a:graphic>
                    </wp:anchor>
                  </w:drawing>
                </mc:Choice>
                <mc:Fallback>
                  <w:pict>
                    <v:shape id="自选图形 220" o:spid="_x0000_s1026" o:spt="61" type="#_x0000_t61" style="position:absolute;left:0pt;margin-left:90.8pt;margin-top:119.1pt;height:21.75pt;width:62.25pt;z-index:251661312;mso-width-relative:page;mso-height-relative:page;" fillcolor="#FFFFFF" filled="t" stroked="t" coordsize="21600,21600" o:gfxdata="UEsDBAoAAAAAAIdO4kAAAAAAAAAAAAAAAAAEAAAAZHJzL1BLAwQUAAAACACHTuJA/hdLl9kAAAAL&#10;AQAADwAAAGRycy9kb3ducmV2LnhtbE2Py07DMBBF90j8gzVI7KidVApRiFOloIJY9QEqWzcekoh4&#10;HMXug79nWMHyzhzdOVMuLm4QJ5xC70lDMlMgkBpve2o1vL+t7nIQIRqyZvCEGr4xwKK6vipNYf2Z&#10;tnjaxVZwCYXCaOhiHAspQ9OhM2HmRyTeffrJmchxaqWdzJnL3SBTpTLpTE98oTMjPnbYfO2OToN9&#10;Xe+XoVbrl1X6VC+3m339/OG0vr1J1AOIiJf4B8OvPqtDxU4HfyQbxMA5TzJGNaTzPAXBxFxlCYgD&#10;T/LkHmRVyv8/VD9QSwMEFAAAAAgAh07iQErYFqRXAgAAwQQAAA4AAABkcnMvZTJvRG9jLnhtbK1U&#10;zY7TMBC+I/EOlu80abTdbqume2gpFwQrFh7AtZ3EyH/YbtNy4oZ4Bm575B3gbVaCt2DshLa7cOiB&#10;HJKxPf5mvm9mMrveKYm23HlhdImHgxwjrqlhQtclfvd29ewKIx+IZkQazUu85x5fz58+mbV2ygvT&#10;GMm4QwCi/bS1JW5CsNMs87ThiviBsVzDYWWcIgGWrs6YIy2gK5kVeX6ZtcYx6wzl3sPusjvEPaI7&#10;B9BUlaB8aehGcR06VMclCUDJN8J6PE/ZVhWn4XVVeR6QLDEwDekNQcBex3c2n5Fp7YhtBO1TIOek&#10;8IiTIkJD0APUkgSCNk78BaUEdcabKgyoUVlHJCkCLIb5I21uG2J54gJSe3sQ3f8/WPpqe+OQYCUe&#10;YaSJgoL//Pzt16cv919/3H+/Q0WRNGqtn4Lrrb1xoFhceTAj4V3lVPwCFbRLuu4PuvJdQBQ2x5N8&#10;NAZ8CkfF+LIoRlH37HjZOh9ecKNQNErcclbzN1C7BZHSbEJSlmxf+pAkZn2ihL0fYlQpCRXbEokm&#10;wyK/6Ct64lOc+hTDi6ti0ofvISGRPwlEfG+kYCshZVq4er2QDgF+iVfp6S8/cJMatSWejIAZogSm&#10;ooJuBFNZUNbrOjF4cMOfAufp+RdwTGxJfNMlkBA6hkoE7lL3Npyw55qhsLdQPQ1Di2MyijOMJIcZ&#10;j1byDETIczxBEKmhQMc6Ryvs1ru++GvD9tA28BeBajXGfYSIMENA9cOGOIhPNIXtEoMGnbkI3dBt&#10;rBN1A7eGiW3Ehc5OzdBPYRyd03XK4/jnmf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dLl9kA&#10;AAALAQAADwAAAAAAAAABACAAAAAiAAAAZHJzL2Rvd25yZXYueG1sUEsBAhQAFAAAAAgAh07iQErY&#10;FqRXAgAAwQQAAA4AAAAAAAAAAQAgAAAAKAEAAGRycy9lMm9Eb2MueG1sUEsFBgAAAAAGAAYAWQEA&#10;APEFAAAAAA==&#10;" adj="30500,57203">
                      <v:fill on="t" focussize="0,0"/>
                      <v:stroke color="#000000" joinstyle="miter"/>
                      <v:imagedata o:title=""/>
                      <o:lock v:ext="edit" aspectratio="f"/>
                      <v:textbox>
                        <w:txbxContent>
                          <w:p w14:paraId="142F48E7">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highlight w:val="none"/>
              </w:rPr>
              <w:drawing>
                <wp:inline distT="0" distB="0" distL="114300" distR="114300">
                  <wp:extent cx="4631690" cy="3509010"/>
                  <wp:effectExtent l="0" t="0" r="16510" b="15240"/>
                  <wp:docPr id="62" name="图片 412" descr="25限制开发区域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12" descr="25限制开发区域示意图"/>
                          <pic:cNvPicPr>
                            <a:picLocks noChangeAspect="1"/>
                          </pic:cNvPicPr>
                        </pic:nvPicPr>
                        <pic:blipFill>
                          <a:blip r:embed="rId12"/>
                          <a:stretch>
                            <a:fillRect/>
                          </a:stretch>
                        </pic:blipFill>
                        <pic:spPr>
                          <a:xfrm>
                            <a:off x="0" y="0"/>
                            <a:ext cx="4631690" cy="3509010"/>
                          </a:xfrm>
                          <a:prstGeom prst="rect">
                            <a:avLst/>
                          </a:prstGeom>
                          <a:noFill/>
                          <a:ln>
                            <a:noFill/>
                          </a:ln>
                        </pic:spPr>
                      </pic:pic>
                    </a:graphicData>
                  </a:graphic>
                </wp:inline>
              </w:drawing>
            </w:r>
          </w:p>
          <w:p w14:paraId="22A9929C">
            <w:pPr>
              <w:pStyle w:val="110"/>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z w:val="21"/>
                <w:szCs w:val="21"/>
                <w:highlight w:val="none"/>
                <w:lang w:val="en-US" w:eastAsia="zh-CN"/>
              </w:rPr>
              <w:t>图1</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庆安县</w:t>
            </w:r>
            <w:r>
              <w:rPr>
                <w:rFonts w:hint="default" w:ascii="Times New Roman" w:hAnsi="Times New Roman" w:eastAsia="宋体" w:cs="Times New Roman"/>
                <w:color w:val="auto"/>
                <w:sz w:val="21"/>
                <w:szCs w:val="21"/>
                <w:highlight w:val="none"/>
              </w:rPr>
              <w:t>在黑龙江主体功能区位置图</w:t>
            </w:r>
          </w:p>
          <w:p w14:paraId="26DD6597">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6</w:t>
            </w:r>
            <w:r>
              <w:rPr>
                <w:rFonts w:hint="default" w:ascii="Times New Roman" w:hAnsi="Times New Roman" w:eastAsia="宋体" w:cs="Times New Roman"/>
                <w:color w:val="auto"/>
                <w:highlight w:val="none"/>
              </w:rPr>
              <w:t>、与《黑龙江省生态功能区划》的符合性分析</w:t>
            </w:r>
          </w:p>
          <w:p w14:paraId="6CFBD35C">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根据黑龙江省生态功能区划相关内容</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项目位于Ⅰ—5—2—1呼兰河流域上游水源涵养与土壤保持生态功能区。</w:t>
            </w:r>
          </w:p>
          <w:p w14:paraId="3D362028">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Ⅰ—5—2—1呼兰河流域上游水源涵养与土壤保持生态功能区</w:t>
            </w:r>
            <w:r>
              <w:rPr>
                <w:rFonts w:hint="default" w:ascii="Times New Roman" w:hAnsi="Times New Roman" w:cs="Times New Roman"/>
                <w:color w:val="auto"/>
                <w:highlight w:val="none"/>
                <w:lang w:eastAsia="zh-CN"/>
              </w:rPr>
              <w:t>:</w:t>
            </w:r>
          </w:p>
          <w:p w14:paraId="1DBF9B81">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所在区域面积</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庆安县、绥棱县、海伦市和铁力市大部分组成，面积9274平方公里。</w:t>
            </w:r>
          </w:p>
          <w:p w14:paraId="2B925CD3">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主要环境问题</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eastAsia="zh-CN"/>
              </w:rPr>
              <w:t>低洼地雨季易发生涝灾，旱季易形成旱灾；砂质土壤蓄水能力差，水土流失严重。</w:t>
            </w:r>
          </w:p>
          <w:p w14:paraId="3CE1D2FD">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生态环境敏感性</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土壤侵蚀、土地沙漠化和水污染中度敏感地区分布较为广泛。</w:t>
            </w:r>
          </w:p>
          <w:p w14:paraId="42B7D3E1">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主要生态系统服务功能</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水源涵养及土壤保持。</w:t>
            </w:r>
          </w:p>
          <w:p w14:paraId="3A2BD9CD">
            <w:pPr>
              <w:pStyle w:val="8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保护措施与发展方向</w:t>
            </w:r>
            <w:r>
              <w:rPr>
                <w:rFonts w:hint="default" w:ascii="Times New Roman" w:hAnsi="Times New Roman" w:cs="Times New Roman"/>
                <w:color w:val="auto"/>
                <w:highlight w:val="none"/>
                <w:lang w:val="en-US" w:eastAsia="zh-CN"/>
              </w:rPr>
              <w:t>:增加</w:t>
            </w:r>
            <w:r>
              <w:rPr>
                <w:rFonts w:hint="default" w:ascii="Times New Roman" w:hAnsi="Times New Roman" w:eastAsia="宋体" w:cs="Times New Roman"/>
                <w:color w:val="auto"/>
                <w:highlight w:val="none"/>
                <w:lang w:val="en-US" w:eastAsia="zh-CN"/>
              </w:rPr>
              <w:t>森林覆盖率，增强水源涵养能力，调节土壤结构，发展生态农业，防止水土流失。</w:t>
            </w:r>
          </w:p>
          <w:p w14:paraId="6E1628F7">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本项目临时占地将在工程施工结束后恢复，对项目区生态系统和生物多样性基本无影响，且本工程的建设任务通过</w:t>
            </w:r>
            <w:r>
              <w:rPr>
                <w:rFonts w:hint="eastAsia" w:cs="Times New Roman"/>
                <w:color w:val="auto"/>
                <w:highlight w:val="none"/>
                <w:lang w:val="en-US" w:eastAsia="zh-CN"/>
              </w:rPr>
              <w:t>格木克河改道工程，增大过流断面面积，增大河道行洪能力，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稳固的格宾石笼结构有效防止河岸坍塌，保障行洪通道畅通无阻，显著提升河道行洪能力，降低城市内涝风险，守护居民生命财产安全。</w:t>
            </w:r>
            <w:r>
              <w:rPr>
                <w:rFonts w:hint="default" w:ascii="Times New Roman" w:hAnsi="Times New Roman" w:eastAsia="宋体" w:cs="Times New Roman"/>
                <w:color w:val="auto"/>
                <w:highlight w:val="none"/>
                <w:lang w:val="en-US" w:eastAsia="zh-CN"/>
              </w:rPr>
              <w:t>项目采取了一系列的生态保护措施和污染防治措施，施工场地周边设置围挡，洒水车定期洒水降尘，废水处理后回用不外排，固废处置率100%，</w:t>
            </w:r>
            <w:r>
              <w:rPr>
                <w:rFonts w:hint="default" w:ascii="Times New Roman" w:hAnsi="Times New Roman" w:eastAsia="宋体" w:cs="Times New Roman"/>
                <w:color w:val="auto"/>
                <w:highlight w:val="none"/>
              </w:rPr>
              <w:t>因此，本工程的建设</w:t>
            </w:r>
            <w:r>
              <w:rPr>
                <w:rFonts w:hint="default" w:ascii="Times New Roman" w:hAnsi="Times New Roman" w:eastAsia="宋体" w:cs="Times New Roman"/>
                <w:color w:val="auto"/>
                <w:highlight w:val="none"/>
                <w:lang w:val="en-US" w:eastAsia="zh-CN"/>
              </w:rPr>
              <w:t>对周边的环境影响可接受，</w:t>
            </w:r>
            <w:r>
              <w:rPr>
                <w:rFonts w:hint="default" w:ascii="Times New Roman" w:hAnsi="Times New Roman" w:eastAsia="宋体" w:cs="Times New Roman"/>
                <w:color w:val="auto"/>
                <w:highlight w:val="none"/>
              </w:rPr>
              <w:t>与《黑龙江省生态功能区划》保护措施与发展方向相符合。</w:t>
            </w:r>
          </w:p>
          <w:p w14:paraId="01A1F27E">
            <w:pPr>
              <w:pStyle w:val="84"/>
              <w:rPr>
                <w:rFonts w:hint="default" w:ascii="Times New Roman" w:hAnsi="Times New Roman" w:eastAsia="宋体" w:cs="Times New Roman"/>
                <w:color w:val="auto"/>
                <w:highlight w:val="none"/>
              </w:rPr>
            </w:pPr>
          </w:p>
          <w:p w14:paraId="56F5D62A">
            <w:pPr>
              <w:pStyle w:val="84"/>
              <w:rPr>
                <w:rFonts w:hint="default" w:ascii="Times New Roman" w:hAnsi="Times New Roman" w:eastAsia="宋体" w:cs="Times New Roman"/>
                <w:color w:val="auto"/>
                <w:highlight w:val="none"/>
              </w:rPr>
            </w:pPr>
          </w:p>
          <w:p w14:paraId="58A0246E">
            <w:pPr>
              <w:pStyle w:val="84"/>
              <w:rPr>
                <w:rFonts w:hint="default" w:ascii="Times New Roman" w:hAnsi="Times New Roman" w:eastAsia="宋体" w:cs="Times New Roman"/>
                <w:color w:val="auto"/>
                <w:highlight w:val="none"/>
              </w:rPr>
            </w:pPr>
          </w:p>
          <w:p w14:paraId="3EF8A578">
            <w:pPr>
              <w:pStyle w:val="84"/>
              <w:rPr>
                <w:rFonts w:hint="default" w:ascii="Times New Roman" w:hAnsi="Times New Roman" w:eastAsia="宋体" w:cs="Times New Roman"/>
                <w:color w:val="auto"/>
                <w:highlight w:val="none"/>
              </w:rPr>
            </w:pPr>
          </w:p>
          <w:p w14:paraId="0889BDDB">
            <w:pPr>
              <w:pStyle w:val="84"/>
              <w:rPr>
                <w:rFonts w:hint="default" w:ascii="Times New Roman" w:hAnsi="Times New Roman" w:eastAsia="宋体" w:cs="Times New Roman"/>
                <w:color w:val="auto"/>
                <w:highlight w:val="none"/>
              </w:rPr>
            </w:pPr>
          </w:p>
          <w:p w14:paraId="36CCD5A6">
            <w:pPr>
              <w:pStyle w:val="84"/>
              <w:rPr>
                <w:rFonts w:hint="default" w:ascii="Times New Roman" w:hAnsi="Times New Roman" w:eastAsia="宋体" w:cs="Times New Roman"/>
                <w:color w:val="auto"/>
                <w:highlight w:val="none"/>
              </w:rPr>
            </w:pPr>
          </w:p>
          <w:p w14:paraId="6F400242">
            <w:pPr>
              <w:pStyle w:val="84"/>
              <w:rPr>
                <w:rFonts w:hint="eastAsia" w:cs="Times New Roman"/>
                <w:color w:val="auto"/>
                <w:highlight w:val="none"/>
                <w:lang w:val="en-US" w:eastAsia="zh-CN"/>
              </w:rPr>
            </w:pPr>
          </w:p>
          <w:p w14:paraId="52629373">
            <w:pPr>
              <w:pStyle w:val="84"/>
              <w:rPr>
                <w:rFonts w:hint="eastAsia" w:cs="Times New Roman"/>
                <w:color w:val="auto"/>
                <w:highlight w:val="none"/>
                <w:lang w:val="en-US" w:eastAsia="zh-CN"/>
              </w:rPr>
            </w:pPr>
          </w:p>
          <w:p w14:paraId="50B88E3F">
            <w:pPr>
              <w:pStyle w:val="84"/>
              <w:rPr>
                <w:rFonts w:hint="eastAsia" w:cs="Times New Roman"/>
                <w:color w:val="auto"/>
                <w:highlight w:val="none"/>
                <w:lang w:val="en-US" w:eastAsia="zh-CN"/>
              </w:rPr>
            </w:pPr>
          </w:p>
          <w:p w14:paraId="0FC296A4">
            <w:pPr>
              <w:pStyle w:val="84"/>
              <w:rPr>
                <w:rFonts w:hint="default" w:ascii="Times New Roman" w:hAnsi="Times New Roman" w:eastAsia="宋体" w:cs="Times New Roman"/>
                <w:color w:val="auto"/>
                <w:highlight w:val="none"/>
              </w:rPr>
            </w:pPr>
          </w:p>
          <w:p w14:paraId="362E4E6C">
            <w:pPr>
              <w:pStyle w:val="84"/>
              <w:rPr>
                <w:rFonts w:hint="default" w:ascii="Times New Roman" w:hAnsi="Times New Roman" w:eastAsia="宋体" w:cs="Times New Roman"/>
                <w:color w:val="auto"/>
                <w:highlight w:val="none"/>
              </w:rPr>
            </w:pPr>
          </w:p>
          <w:p w14:paraId="45576B74">
            <w:pPr>
              <w:pStyle w:val="84"/>
              <w:rPr>
                <w:rFonts w:hint="default" w:ascii="Times New Roman" w:hAnsi="Times New Roman" w:eastAsia="宋体" w:cs="Times New Roman"/>
                <w:color w:val="auto"/>
                <w:highlight w:val="none"/>
              </w:rPr>
            </w:pPr>
          </w:p>
          <w:p w14:paraId="35FB9B9C">
            <w:pPr>
              <w:pStyle w:val="84"/>
              <w:rPr>
                <w:rFonts w:hint="default" w:ascii="Times New Roman" w:hAnsi="Times New Roman" w:eastAsia="宋体" w:cs="Times New Roman"/>
                <w:color w:val="auto"/>
                <w:highlight w:val="none"/>
              </w:rPr>
            </w:pPr>
          </w:p>
          <w:p w14:paraId="38DDC66B">
            <w:pPr>
              <w:pStyle w:val="84"/>
              <w:rPr>
                <w:rFonts w:hint="default" w:ascii="Times New Roman" w:hAnsi="Times New Roman" w:eastAsia="宋体" w:cs="Times New Roman"/>
                <w:color w:val="auto"/>
                <w:highlight w:val="none"/>
              </w:rPr>
            </w:pPr>
          </w:p>
          <w:p w14:paraId="56259D9C">
            <w:pPr>
              <w:pStyle w:val="84"/>
              <w:rPr>
                <w:rFonts w:hint="default" w:ascii="Times New Roman" w:hAnsi="Times New Roman" w:eastAsia="宋体" w:cs="Times New Roman"/>
                <w:color w:val="auto"/>
                <w:highlight w:val="none"/>
              </w:rPr>
            </w:pPr>
          </w:p>
          <w:p w14:paraId="3D6EA02A">
            <w:pPr>
              <w:pStyle w:val="84"/>
              <w:rPr>
                <w:rFonts w:hint="default" w:ascii="Times New Roman" w:hAnsi="Times New Roman" w:eastAsia="宋体" w:cs="Times New Roman"/>
                <w:color w:val="auto"/>
                <w:highlight w:val="none"/>
              </w:rPr>
            </w:pPr>
          </w:p>
          <w:p w14:paraId="73702BE5">
            <w:pPr>
              <w:pStyle w:val="84"/>
              <w:rPr>
                <w:rFonts w:hint="default" w:ascii="Times New Roman" w:hAnsi="Times New Roman" w:eastAsia="宋体" w:cs="Times New Roman"/>
                <w:color w:val="auto"/>
                <w:highlight w:val="none"/>
              </w:rPr>
            </w:pPr>
          </w:p>
          <w:p w14:paraId="3E7B4BF6">
            <w:pPr>
              <w:pStyle w:val="84"/>
              <w:rPr>
                <w:rFonts w:hint="default" w:ascii="Times New Roman" w:hAnsi="Times New Roman" w:eastAsia="宋体" w:cs="Times New Roman"/>
                <w:color w:val="auto"/>
                <w:highlight w:val="none"/>
              </w:rPr>
            </w:pPr>
          </w:p>
          <w:p w14:paraId="65318FB0">
            <w:pPr>
              <w:pStyle w:val="84"/>
              <w:rPr>
                <w:rFonts w:hint="default" w:ascii="Times New Roman" w:hAnsi="Times New Roman" w:eastAsia="宋体" w:cs="Times New Roman"/>
                <w:color w:val="auto"/>
                <w:highlight w:val="none"/>
              </w:rPr>
            </w:pPr>
          </w:p>
          <w:p w14:paraId="7BAF32E9">
            <w:pPr>
              <w:pStyle w:val="84"/>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2336" behindDoc="0" locked="0" layoutInCell="1" allowOverlap="1">
                      <wp:simplePos x="0" y="0"/>
                      <wp:positionH relativeFrom="column">
                        <wp:posOffset>972185</wp:posOffset>
                      </wp:positionH>
                      <wp:positionV relativeFrom="paragraph">
                        <wp:posOffset>2938145</wp:posOffset>
                      </wp:positionV>
                      <wp:extent cx="790575" cy="276225"/>
                      <wp:effectExtent l="4445" t="5080" r="367030" b="480695"/>
                      <wp:wrapNone/>
                      <wp:docPr id="6" name="自选图形 221"/>
                      <wp:cNvGraphicFramePr/>
                      <a:graphic xmlns:a="http://schemas.openxmlformats.org/drawingml/2006/main">
                        <a:graphicData uri="http://schemas.microsoft.com/office/word/2010/wordprocessingShape">
                          <wps:wsp>
                            <wps:cNvSpPr/>
                            <wps:spPr>
                              <a:xfrm>
                                <a:off x="0" y="0"/>
                                <a:ext cx="790575" cy="276225"/>
                              </a:xfrm>
                              <a:prstGeom prst="wedgeRectCallout">
                                <a:avLst>
                                  <a:gd name="adj1" fmla="val 91204"/>
                                  <a:gd name="adj2" fmla="val 214829"/>
                                </a:avLst>
                              </a:prstGeom>
                              <a:solidFill>
                                <a:srgbClr val="FFFFFF"/>
                              </a:solidFill>
                              <a:ln w="9525" cap="flat" cmpd="sng">
                                <a:solidFill>
                                  <a:srgbClr val="000000"/>
                                </a:solidFill>
                                <a:prstDash val="solid"/>
                                <a:miter/>
                                <a:headEnd type="none" w="med" len="med"/>
                                <a:tailEnd type="none" w="med" len="med"/>
                              </a:ln>
                            </wps:spPr>
                            <wps:txbx>
                              <w:txbxContent>
                                <w:p w14:paraId="1E73C163">
                                  <w:pPr>
                                    <w:jc w:val="center"/>
                                    <w:rPr>
                                      <w:rFonts w:hint="default" w:eastAsia="宋体"/>
                                      <w:lang w:val="en-US" w:eastAsia="zh-CN"/>
                                    </w:rPr>
                                  </w:pPr>
                                  <w:r>
                                    <w:rPr>
                                      <w:rFonts w:hint="eastAsia"/>
                                      <w:lang w:val="en-US" w:eastAsia="zh-CN"/>
                                    </w:rPr>
                                    <w:t>项目位置</w:t>
                                  </w:r>
                                </w:p>
                              </w:txbxContent>
                            </wps:txbx>
                            <wps:bodyPr wrap="square" upright="1"/>
                          </wps:wsp>
                        </a:graphicData>
                      </a:graphic>
                    </wp:anchor>
                  </w:drawing>
                </mc:Choice>
                <mc:Fallback>
                  <w:pict>
                    <v:shape id="自选图形 221" o:spid="_x0000_s1026" o:spt="61" type="#_x0000_t61" style="position:absolute;left:0pt;margin-left:76.55pt;margin-top:231.35pt;height:21.75pt;width:62.25pt;z-index:251662336;mso-width-relative:page;mso-height-relative:page;" fillcolor="#FFFFFF" filled="t" stroked="t" coordsize="21600,21600" o:gfxdata="UEsDBAoAAAAAAIdO4kAAAAAAAAAAAAAAAAAEAAAAZHJzL1BLAwQUAAAACACHTuJA74kVPNsAAAAL&#10;AQAADwAAAGRycy9kb3ducmV2LnhtbE2Py07DMBBF90j8gzVI7KgdQ5MqxKlSUEFdlbaobN3YJBHx&#10;OIrdB3/PsILl1Rzde6aYX1zPTnYMnUcFyUQAs1h702Gj4H23vJsBC1Gj0b1Hq+DbBpiX11eFzo0/&#10;48aetrFhVIIh1wraGIec81C31ukw8YNFun360elIcWy4GfWZyl3PpRApd7pDWmj1YJ9aW39tj06B&#10;Wa33i1CJ9etSPleLzdu+evlwSt3eJOIRWLSX+AfDrz6pQ0lOB39EE1hPeXqfEKrgIZUZMCJklqXA&#10;DgqmIpXAy4L//6H8AVBLAwQUAAAACACHTuJAVx5rjkMCAACcBAAADgAAAGRycy9lMm9Eb2MueG1s&#10;rVRLjhMxEN0jcQfLe9IfTZJJlM4sJoQNghEDB3Bsd7eRf9hOOtmxQ5yBHUvuALcZCW5B2d1kMgOL&#10;LOhFp9wuP9d7ryqLq72SaMedF0ZXuBjlGHFNDRO6qfC7t+tnlxj5QDQj0mhe4QP3+Gr59Mmis3Ne&#10;mtZIxh0CEO3nna1wG4KdZ5mnLVfEj4zlGjZr4xQJsHRNxhzpAF3JrMzzSdYZx6wzlHsPX1f9Jh4Q&#10;3TmApq4F5StDt4rr0KM6LkkASr4V1uNlqrauOQ2v69rzgGSFgWlIb7gE4k18Z8sFmTeO2FbQoQRy&#10;TgmPOCkiNFx6hFqRQNDWib+glKDOeFOHETUq64kkRYBFkT/S5rYllicuILW3R9H9/4Olr3Y3DglW&#10;4QlGmigw/Oenb78+fr778uPu+1dUlkXUqLN+Dqm39sYNKw9hJLyvnYq/QAXtk66Ho658HxCFj9NZ&#10;Pp6OMaKwVU4nZTmOmNn9Yet8eMGNQjGocMdZw9+Ad9dESrMNSVmye+lDkpgNhRL2vsCoVhIc2xGJ&#10;ZkWZXwyOnuSUpzllcXFZzobrB0go5E8BEd8bKdhaSJkWrtlcS4cAv8Lr9AyHH6RJjboKz8bADFEC&#10;U1FDN0KoLCjrdZMYPDjhT4Hz9PwLOBa2Ir7tC0gIPUMlAnepe1tO2HPNUDhYcE/D0OJYjOIMI8lh&#10;xmOUMgMR8pxMEERqMCi63vsco7Df7AfzN4YdoG06mBug92FLHNy5tU40LdiXOiYdhqZNPg8DFqfi&#10;dJ2uuP9TWf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74kVPNsAAAALAQAADwAAAAAAAAABACAA&#10;AAAiAAAAZHJzL2Rvd25yZXYueG1sUEsBAhQAFAAAAAgAh07iQFcea45DAgAAnAQAAA4AAAAAAAAA&#10;AQAgAAAAKgEAAGRycy9lMm9Eb2MueG1sUEsFBgAAAAAGAAYAWQEAAN8FAAAAAA==&#10;" adj="30500,57203">
                      <v:fill on="t" focussize="0,0"/>
                      <v:stroke color="#000000" joinstyle="miter"/>
                      <v:imagedata o:title=""/>
                      <o:lock v:ext="edit" aspectratio="f"/>
                      <v:textbox>
                        <w:txbxContent>
                          <w:p w14:paraId="1E73C163">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highlight w:val="none"/>
              </w:rPr>
              <w:drawing>
                <wp:inline distT="0" distB="0" distL="114300" distR="114300">
                  <wp:extent cx="4695190" cy="5665470"/>
                  <wp:effectExtent l="0" t="0" r="10160" b="11430"/>
                  <wp:docPr id="63"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14"/>
                          <pic:cNvPicPr>
                            <a:picLocks noChangeAspect="1"/>
                          </pic:cNvPicPr>
                        </pic:nvPicPr>
                        <pic:blipFill>
                          <a:blip r:embed="rId13"/>
                          <a:stretch>
                            <a:fillRect/>
                          </a:stretch>
                        </pic:blipFill>
                        <pic:spPr>
                          <a:xfrm>
                            <a:off x="0" y="0"/>
                            <a:ext cx="4695190" cy="5665470"/>
                          </a:xfrm>
                          <a:prstGeom prst="rect">
                            <a:avLst/>
                          </a:prstGeom>
                          <a:noFill/>
                          <a:ln>
                            <a:noFill/>
                          </a:ln>
                        </pic:spPr>
                      </pic:pic>
                    </a:graphicData>
                  </a:graphic>
                </wp:inline>
              </w:drawing>
            </w:r>
          </w:p>
          <w:p w14:paraId="67FF2C81">
            <w:pPr>
              <w:pStyle w:val="110"/>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z w:val="21"/>
                <w:szCs w:val="21"/>
                <w:highlight w:val="none"/>
              </w:rPr>
              <w:t>图1</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val="en-US" w:eastAsia="zh-CN"/>
              </w:rPr>
              <w:t>庆安县</w:t>
            </w:r>
            <w:r>
              <w:rPr>
                <w:rFonts w:hint="default" w:ascii="Times New Roman" w:hAnsi="Times New Roman" w:eastAsia="宋体" w:cs="Times New Roman"/>
                <w:color w:val="auto"/>
                <w:sz w:val="21"/>
                <w:szCs w:val="21"/>
                <w:highlight w:val="none"/>
              </w:rPr>
              <w:t>在黑龙江</w:t>
            </w:r>
            <w:r>
              <w:rPr>
                <w:rFonts w:hint="default" w:ascii="Times New Roman" w:hAnsi="Times New Roman" w:eastAsia="宋体" w:cs="Times New Roman"/>
                <w:color w:val="auto"/>
                <w:sz w:val="21"/>
                <w:szCs w:val="21"/>
                <w:highlight w:val="none"/>
                <w:lang w:val="en-US" w:eastAsia="zh-CN"/>
              </w:rPr>
              <w:t>生态</w:t>
            </w:r>
            <w:r>
              <w:rPr>
                <w:rFonts w:hint="default" w:ascii="Times New Roman" w:hAnsi="Times New Roman" w:eastAsia="宋体" w:cs="Times New Roman"/>
                <w:color w:val="auto"/>
                <w:sz w:val="21"/>
                <w:szCs w:val="21"/>
                <w:highlight w:val="none"/>
              </w:rPr>
              <w:t>功能区位置图</w:t>
            </w:r>
          </w:p>
          <w:p w14:paraId="55D9BF6F">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、与《黑龙江省水</w:t>
            </w:r>
            <w:bookmarkStart w:id="9" w:name="_Hlk104901269"/>
            <w:r>
              <w:rPr>
                <w:rFonts w:hint="default" w:ascii="Times New Roman" w:hAnsi="Times New Roman" w:eastAsia="宋体" w:cs="Times New Roman"/>
                <w:color w:val="auto"/>
                <w:highlight w:val="none"/>
              </w:rPr>
              <w:t>土保持规划</w:t>
            </w:r>
            <w:bookmarkEnd w:id="9"/>
            <w:r>
              <w:rPr>
                <w:rFonts w:hint="default" w:ascii="Times New Roman" w:hAnsi="Times New Roman" w:eastAsia="宋体" w:cs="Times New Roman"/>
                <w:color w:val="auto"/>
                <w:highlight w:val="none"/>
              </w:rPr>
              <w:t>（2015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2030年）》的符合性分析</w:t>
            </w:r>
          </w:p>
          <w:p w14:paraId="4E1FB98D">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根据黑龙江省水土保持规划（2015</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2030年），水土保持区划为</w:t>
            </w:r>
            <w:r>
              <w:rPr>
                <w:rFonts w:hint="default" w:ascii="Times New Roman" w:hAnsi="Times New Roman" w:eastAsia="宋体" w:cs="Times New Roman"/>
                <w:color w:val="auto"/>
                <w:kern w:val="0"/>
                <w:highlight w:val="none"/>
                <w:lang w:val="en-US" w:eastAsia="zh-CN"/>
              </w:rPr>
              <w:t>东北漫川土壤保持区</w:t>
            </w:r>
            <w:r>
              <w:rPr>
                <w:rFonts w:hint="default" w:ascii="Times New Roman" w:hAnsi="Times New Roman" w:eastAsia="宋体" w:cs="Times New Roman"/>
                <w:color w:val="auto"/>
                <w:kern w:val="0"/>
                <w:highlight w:val="none"/>
              </w:rPr>
              <w:t>（I</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lang w:val="en-US" w:eastAsia="zh-CN"/>
              </w:rPr>
              <w:t>3</w:t>
            </w:r>
            <w:r>
              <w:rPr>
                <w:rFonts w:hint="default" w:ascii="Times New Roman" w:hAnsi="Times New Roman"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1t</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黑龙江省区划名称为中部漫川漫岗土壤保持区，</w:t>
            </w:r>
            <w:r>
              <w:rPr>
                <w:rFonts w:hint="default" w:ascii="Times New Roman" w:hAnsi="Times New Roman" w:eastAsia="宋体" w:cs="Times New Roman"/>
                <w:color w:val="auto"/>
                <w:kern w:val="0"/>
                <w:highlight w:val="none"/>
              </w:rPr>
              <w:t>水土保持两区划分为东北漫川漫岗水土流失重点治理区（国家级）。</w:t>
            </w:r>
          </w:p>
          <w:p w14:paraId="4A0288FB">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水土流失治理方向</w:t>
            </w:r>
            <w:r>
              <w:rPr>
                <w:rFonts w:hint="default" w:ascii="Times New Roman" w:hAnsi="Times New Roman" w:cs="Times New Roman"/>
                <w:color w:val="auto"/>
                <w:highlight w:val="none"/>
                <w:lang w:eastAsia="zh-CN"/>
              </w:rPr>
              <w:t>:</w:t>
            </w:r>
          </w:p>
          <w:p w14:paraId="36D94A60">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是黑龙江省黑土主要分布区，农地为主，植被稀疏，耕地坡缓坡长，侵蚀沟普遍发育，水土流失严重。水土流失主要发生在坡耕地中。本区宜开展以小流域为单元的水土流失综合治理、坡耕地治理专项工程、侵蚀沟治理专项工程等。</w:t>
            </w:r>
          </w:p>
          <w:p w14:paraId="79EF4913">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主导基础功能及社会经济功能</w:t>
            </w:r>
            <w:r>
              <w:rPr>
                <w:rFonts w:hint="default" w:ascii="Times New Roman" w:hAnsi="Times New Roman" w:cs="Times New Roman"/>
                <w:color w:val="auto"/>
                <w:highlight w:val="none"/>
                <w:lang w:eastAsia="zh-CN"/>
              </w:rPr>
              <w:t>:</w:t>
            </w:r>
          </w:p>
          <w:p w14:paraId="102139E1">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本区水土保持主导基础功能为土壤保持、农田防护、拦沙减沙；社会经济功能为粮食生产、土地生产力保护、减少河湖库淤积。</w:t>
            </w:r>
          </w:p>
          <w:p w14:paraId="0D1B5A16">
            <w:pPr>
              <w:pStyle w:val="84"/>
              <w:keepNext w:val="0"/>
              <w:keepLines w:val="0"/>
              <w:pageBreakBefore w:val="0"/>
              <w:kinsoku/>
              <w:wordWrap/>
              <w:topLinePunct w:val="0"/>
              <w:autoSpaceDE/>
              <w:autoSpaceDN/>
              <w:bidi w:val="0"/>
              <w:spacing w:line="500" w:lineRule="exact"/>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highlight w:val="none"/>
              </w:rPr>
              <w:t>本工程的建设</w:t>
            </w:r>
            <w:r>
              <w:rPr>
                <w:rFonts w:hint="eastAsia" w:cs="Times New Roman"/>
                <w:color w:val="auto"/>
                <w:highlight w:val="none"/>
                <w:lang w:val="en-US" w:eastAsia="zh-CN"/>
              </w:rPr>
              <w:t>任务</w:t>
            </w:r>
            <w:r>
              <w:rPr>
                <w:rFonts w:hint="default" w:ascii="Times New Roman" w:hAnsi="Times New Roman" w:eastAsia="宋体" w:cs="Times New Roman"/>
                <w:color w:val="auto"/>
                <w:highlight w:val="none"/>
              </w:rPr>
              <w:t>通过</w:t>
            </w:r>
            <w:r>
              <w:rPr>
                <w:rFonts w:hint="eastAsia" w:cs="Times New Roman"/>
                <w:color w:val="auto"/>
                <w:highlight w:val="none"/>
                <w:lang w:val="en-US" w:eastAsia="zh-CN"/>
              </w:rPr>
              <w:t>格木克河改道工程，增大过流断面面积，增大河道行洪能力，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稳固的格宾石笼结构有效防止河岸坍塌，保障行洪通道畅通无阻，显著提升河道行洪能力，降低城市内涝风险，守护居民生命财产安全。</w:t>
            </w:r>
            <w:r>
              <w:rPr>
                <w:rFonts w:hint="default" w:ascii="Times New Roman" w:hAnsi="Times New Roman" w:eastAsia="宋体" w:cs="Times New Roman"/>
                <w:color w:val="auto"/>
                <w:highlight w:val="none"/>
                <w:lang w:val="en-US" w:eastAsia="zh-CN"/>
              </w:rPr>
              <w:t>在通过本报告提出的一系列生态保护措施和污染防治措施后，对生态环境的影响可降到最低</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本项目提出了相应的水土保持措施，可减少水土流失，保护生态环境。</w:t>
            </w:r>
            <w:r>
              <w:rPr>
                <w:rFonts w:hint="default" w:ascii="Times New Roman" w:hAnsi="Times New Roman" w:eastAsia="宋体" w:cs="Times New Roman"/>
                <w:color w:val="auto"/>
                <w:spacing w:val="-4"/>
                <w:highlight w:val="none"/>
              </w:rPr>
              <w:t>因此，本工程的建设与《黑龙江省水土保持规划（2015</w:t>
            </w:r>
            <w:r>
              <w:rPr>
                <w:rFonts w:hint="default" w:ascii="Times New Roman" w:hAnsi="Times New Roman" w:cs="Times New Roman"/>
                <w:color w:val="auto"/>
                <w:spacing w:val="-4"/>
                <w:highlight w:val="none"/>
                <w:lang w:eastAsia="zh-CN"/>
              </w:rPr>
              <w:t>—</w:t>
            </w:r>
            <w:r>
              <w:rPr>
                <w:rFonts w:hint="default" w:ascii="Times New Roman" w:hAnsi="Times New Roman" w:eastAsia="宋体" w:cs="Times New Roman"/>
                <w:color w:val="auto"/>
                <w:spacing w:val="-4"/>
                <w:highlight w:val="none"/>
              </w:rPr>
              <w:t>2030年）》相符合。</w:t>
            </w:r>
          </w:p>
          <w:p w14:paraId="492FB34B">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rPr>
            </w:pPr>
            <w:r>
              <w:rPr>
                <w:rFonts w:hint="eastAsia" w:cs="Times New Roman"/>
                <w:color w:val="auto"/>
                <w:spacing w:val="-4"/>
                <w:sz w:val="24"/>
                <w:szCs w:val="24"/>
                <w:highlight w:val="none"/>
                <w:lang w:val="en-US" w:eastAsia="zh-CN"/>
              </w:rPr>
              <w:t>8</w:t>
            </w:r>
            <w:r>
              <w:rPr>
                <w:rFonts w:hint="default" w:ascii="Times New Roman" w:hAnsi="Times New Roman" w:eastAsia="宋体" w:cs="Times New Roman"/>
                <w:color w:val="auto"/>
                <w:spacing w:val="-4"/>
                <w:sz w:val="24"/>
                <w:szCs w:val="24"/>
                <w:highlight w:val="none"/>
              </w:rPr>
              <w:t>、与《</w:t>
            </w:r>
            <w:r>
              <w:rPr>
                <w:rFonts w:hint="default" w:ascii="Times New Roman" w:hAnsi="Times New Roman" w:eastAsia="宋体" w:cs="Times New Roman"/>
                <w:color w:val="auto"/>
                <w:spacing w:val="-4"/>
                <w:sz w:val="24"/>
                <w:szCs w:val="24"/>
                <w:highlight w:val="none"/>
                <w:lang w:val="en-US" w:eastAsia="zh-CN"/>
              </w:rPr>
              <w:t>绥化</w:t>
            </w:r>
            <w:r>
              <w:rPr>
                <w:rFonts w:hint="default" w:ascii="Times New Roman" w:hAnsi="Times New Roman" w:eastAsia="宋体" w:cs="Times New Roman"/>
                <w:color w:val="auto"/>
                <w:spacing w:val="-4"/>
                <w:sz w:val="24"/>
                <w:szCs w:val="24"/>
                <w:highlight w:val="none"/>
              </w:rPr>
              <w:t>市水土保持规划（2019</w:t>
            </w:r>
            <w:r>
              <w:rPr>
                <w:rFonts w:hint="default" w:ascii="Times New Roman" w:hAnsi="Times New Roman"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2030年）》符合性分析</w:t>
            </w:r>
          </w:p>
          <w:p w14:paraId="4836E828">
            <w:pPr>
              <w:keepNext w:val="0"/>
              <w:keepLines w:val="0"/>
              <w:pageBreakBefore w:val="0"/>
              <w:widowControl/>
              <w:suppressLineNumbers w:val="0"/>
              <w:kinsoku/>
              <w:wordWrap/>
              <w:topLinePunct w:val="0"/>
              <w:autoSpaceDE/>
              <w:autoSpaceDN/>
              <w:bidi w:val="0"/>
              <w:spacing w:line="500" w:lineRule="exact"/>
              <w:ind w:firstLine="464"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auto"/>
                <w:spacing w:val="-4"/>
                <w:sz w:val="24"/>
                <w:szCs w:val="24"/>
                <w:highlight w:val="none"/>
              </w:rPr>
              <w:t>根据《</w:t>
            </w:r>
            <w:r>
              <w:rPr>
                <w:rFonts w:hint="default" w:ascii="Times New Roman" w:hAnsi="Times New Roman" w:eastAsia="宋体" w:cs="Times New Roman"/>
                <w:color w:val="auto"/>
                <w:spacing w:val="-4"/>
                <w:sz w:val="24"/>
                <w:szCs w:val="24"/>
                <w:highlight w:val="none"/>
                <w:lang w:val="en-US" w:eastAsia="zh-CN"/>
              </w:rPr>
              <w:t>绥化</w:t>
            </w:r>
            <w:r>
              <w:rPr>
                <w:rFonts w:hint="default" w:ascii="Times New Roman" w:hAnsi="Times New Roman" w:eastAsia="宋体" w:cs="Times New Roman"/>
                <w:color w:val="auto"/>
                <w:spacing w:val="-4"/>
                <w:sz w:val="24"/>
                <w:szCs w:val="24"/>
                <w:highlight w:val="none"/>
              </w:rPr>
              <w:t>市水土保持规划（2019</w:t>
            </w:r>
            <w:r>
              <w:rPr>
                <w:rFonts w:hint="default" w:ascii="Times New Roman" w:hAnsi="Times New Roman"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2030年）》，</w:t>
            </w:r>
            <w:r>
              <w:rPr>
                <w:rFonts w:hint="default" w:ascii="Times New Roman" w:hAnsi="Times New Roman" w:eastAsia="宋体" w:cs="Times New Roman"/>
                <w:color w:val="auto"/>
                <w:spacing w:val="-4"/>
                <w:sz w:val="24"/>
                <w:szCs w:val="24"/>
                <w:highlight w:val="none"/>
                <w:lang w:val="en-US" w:eastAsia="zh-CN"/>
              </w:rPr>
              <w:t>本工程所在区域</w:t>
            </w:r>
            <w:r>
              <w:rPr>
                <w:rFonts w:hint="default" w:ascii="Times New Roman" w:hAnsi="Times New Roman" w:eastAsia="宋体" w:cs="Times New Roman"/>
                <w:color w:val="auto"/>
                <w:spacing w:val="-4"/>
                <w:sz w:val="24"/>
                <w:szCs w:val="24"/>
                <w:highlight w:val="none"/>
              </w:rPr>
              <w:t>属于</w:t>
            </w:r>
            <w:r>
              <w:rPr>
                <w:rFonts w:hint="default" w:ascii="Times New Roman" w:hAnsi="Times New Roman" w:eastAsia="宋体" w:cs="Times New Roman"/>
                <w:color w:val="auto"/>
                <w:spacing w:val="-4"/>
                <w:sz w:val="24"/>
                <w:szCs w:val="24"/>
                <w:highlight w:val="none"/>
                <w:lang w:val="en-US" w:eastAsia="zh-CN"/>
              </w:rPr>
              <w:t>东部低山丘陵中度水蚀土壤保持区</w:t>
            </w:r>
            <w:r>
              <w:rPr>
                <w:rFonts w:hint="default" w:ascii="Times New Roman" w:hAnsi="Times New Roman" w:eastAsia="宋体" w:cs="Times New Roman"/>
                <w:color w:val="auto"/>
                <w:spacing w:val="-4"/>
                <w:sz w:val="24"/>
                <w:szCs w:val="24"/>
                <w:highlight w:val="none"/>
              </w:rPr>
              <w:t>（I区）</w:t>
            </w:r>
            <w:r>
              <w:rPr>
                <w:rFonts w:hint="default" w:ascii="Times New Roman" w:hAnsi="Times New Roman" w:eastAsia="宋体" w:cs="Times New Roman"/>
                <w:color w:val="auto"/>
                <w:spacing w:val="-4"/>
                <w:sz w:val="24"/>
                <w:szCs w:val="24"/>
                <w:highlight w:val="none"/>
                <w:lang w:val="en-US" w:eastAsia="zh-CN"/>
              </w:rPr>
              <w:t>。</w:t>
            </w:r>
            <w:r>
              <w:rPr>
                <w:rFonts w:hint="default" w:ascii="Times New Roman" w:hAnsi="Times New Roman" w:eastAsia="宋体" w:cs="Times New Roman"/>
                <w:color w:val="000000"/>
                <w:kern w:val="0"/>
                <w:sz w:val="24"/>
                <w:szCs w:val="24"/>
                <w:highlight w:val="none"/>
                <w:lang w:val="en-US" w:eastAsia="zh-CN" w:bidi="ar"/>
              </w:rPr>
              <w:t>本区地貌特征是低山丘陵，海拔在300～600</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lang w:val="en-US" w:eastAsia="zh-CN" w:bidi="ar"/>
              </w:rPr>
              <w:t>之间，最高的官五爷大山高820.3</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lang w:val="en-US" w:eastAsia="zh-CN" w:bidi="ar"/>
              </w:rPr>
              <w:t>，耕地大部分</w:t>
            </w:r>
            <w:r>
              <w:rPr>
                <w:rFonts w:hint="default" w:ascii="Times New Roman" w:hAnsi="Times New Roman" w:cs="Times New Roman"/>
                <w:color w:val="000000"/>
                <w:kern w:val="0"/>
                <w:sz w:val="24"/>
                <w:szCs w:val="24"/>
                <w:highlight w:val="none"/>
                <w:lang w:val="en-US" w:eastAsia="zh-CN" w:bidi="ar"/>
              </w:rPr>
              <w:t>分布</w:t>
            </w:r>
            <w:r>
              <w:rPr>
                <w:rFonts w:hint="default" w:ascii="Times New Roman" w:hAnsi="Times New Roman" w:eastAsia="宋体" w:cs="Times New Roman"/>
                <w:color w:val="000000"/>
                <w:kern w:val="0"/>
                <w:sz w:val="24"/>
                <w:szCs w:val="24"/>
                <w:highlight w:val="none"/>
                <w:lang w:val="en-US" w:eastAsia="zh-CN" w:bidi="ar"/>
              </w:rPr>
              <w:t>在坡地上，土壤多为黑土和暗棕壤，肥力较高，土质属重壤土。本区水土流失主要是水蚀，水土流失总面积1421.02h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，其中轻度侵蚀 91.87h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、中度侵蚀 37.86h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、强烈侵蚀204.58h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、极强烈侵蚀3.79h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、剧烈12.92h</w:t>
            </w:r>
            <w:r>
              <w:rPr>
                <w:rFonts w:hint="default" w:ascii="Times New Roman" w:hAnsi="Times New Roman" w:cs="Times New Roman"/>
                <w:color w:val="000000"/>
                <w:kern w:val="0"/>
                <w:sz w:val="24"/>
                <w:szCs w:val="24"/>
                <w:highlight w:val="none"/>
                <w:lang w:val="en-US" w:eastAsia="zh-CN" w:bidi="ar"/>
              </w:rPr>
              <w:t>m</w:t>
            </w:r>
            <w:r>
              <w:rPr>
                <w:rFonts w:hint="default" w:ascii="Times New Roman" w:hAnsi="Times New Roman" w:eastAsia="宋体" w:cs="Times New Roman"/>
                <w:color w:val="000000"/>
                <w:kern w:val="0"/>
                <w:sz w:val="24"/>
                <w:szCs w:val="24"/>
                <w:highlight w:val="none"/>
                <w:vertAlign w:val="superscript"/>
                <w:lang w:val="en-US" w:eastAsia="zh-CN" w:bidi="ar"/>
              </w:rPr>
              <w:t>2</w:t>
            </w:r>
            <w:r>
              <w:rPr>
                <w:rFonts w:hint="default" w:ascii="Times New Roman" w:hAnsi="Times New Roman" w:eastAsia="宋体" w:cs="Times New Roman"/>
                <w:color w:val="000000"/>
                <w:kern w:val="0"/>
                <w:sz w:val="24"/>
                <w:szCs w:val="24"/>
                <w:highlight w:val="none"/>
                <w:lang w:val="en-US" w:eastAsia="zh-CN" w:bidi="ar"/>
              </w:rPr>
              <w:t>，分别占该区水土流失总面积的55.73%、23.78%、14.40%、5.19%、0.91%。</w:t>
            </w:r>
          </w:p>
          <w:p w14:paraId="35A92F65">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lang w:eastAsia="zh-CN"/>
              </w:rPr>
            </w:pPr>
            <w:r>
              <w:rPr>
                <w:rFonts w:hint="default" w:ascii="Times New Roman" w:hAnsi="Times New Roman" w:eastAsia="宋体" w:cs="Times New Roman"/>
                <w:color w:val="auto"/>
                <w:spacing w:val="-4"/>
                <w:sz w:val="24"/>
                <w:szCs w:val="24"/>
                <w:highlight w:val="none"/>
              </w:rPr>
              <w:t>I区水土流失治理模式</w:t>
            </w:r>
            <w:r>
              <w:rPr>
                <w:rFonts w:hint="default" w:ascii="Times New Roman" w:hAnsi="Times New Roman" w:cs="Times New Roman"/>
                <w:color w:val="auto"/>
                <w:spacing w:val="-4"/>
                <w:sz w:val="24"/>
                <w:szCs w:val="24"/>
                <w:highlight w:val="none"/>
                <w:lang w:eastAsia="zh-CN"/>
              </w:rPr>
              <w:t>:</w:t>
            </w:r>
          </w:p>
          <w:p w14:paraId="4A0D6D83">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sz w:val="24"/>
                <w:szCs w:val="24"/>
                <w:highlight w:val="none"/>
              </w:rPr>
            </w:pPr>
            <w:r>
              <w:rPr>
                <w:rFonts w:hint="default" w:ascii="Times New Roman" w:hAnsi="Times New Roman" w:eastAsia="宋体" w:cs="Times New Roman"/>
                <w:color w:val="auto"/>
                <w:spacing w:val="-4"/>
                <w:sz w:val="24"/>
                <w:szCs w:val="24"/>
                <w:highlight w:val="none"/>
              </w:rPr>
              <w:t>①注重植被保护，加强植被系统的修复和维护，开展水土</w:t>
            </w:r>
            <w:r>
              <w:rPr>
                <w:rFonts w:hint="eastAsia" w:cs="Times New Roman"/>
                <w:color w:val="auto"/>
                <w:spacing w:val="-4"/>
                <w:sz w:val="24"/>
                <w:szCs w:val="24"/>
                <w:highlight w:val="none"/>
                <w:lang w:val="en-US" w:eastAsia="zh-CN"/>
              </w:rPr>
              <w:t>保持</w:t>
            </w:r>
            <w:r>
              <w:rPr>
                <w:rFonts w:hint="default" w:ascii="Times New Roman" w:hAnsi="Times New Roman" w:eastAsia="宋体" w:cs="Times New Roman"/>
                <w:color w:val="auto"/>
                <w:spacing w:val="-4"/>
                <w:sz w:val="24"/>
                <w:szCs w:val="24"/>
                <w:highlight w:val="none"/>
              </w:rPr>
              <w:t>生态修复工程；</w:t>
            </w:r>
          </w:p>
          <w:p w14:paraId="4FD15AED">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②人口集中区实施清洁小流域建设等，提高水源涵养能力；</w:t>
            </w:r>
          </w:p>
          <w:p w14:paraId="6D2A8E99">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③严格林业生产、资源开发和基础设施建设管理，维护水源地水质；</w:t>
            </w:r>
          </w:p>
          <w:p w14:paraId="170B6346">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④强化监督执法，控制开发建设活动造成的水土流失；</w:t>
            </w:r>
          </w:p>
          <w:p w14:paraId="4444951D">
            <w:pPr>
              <w:pStyle w:val="84"/>
              <w:keepNext w:val="0"/>
              <w:keepLines w:val="0"/>
              <w:pageBreakBefore w:val="0"/>
              <w:kinsoku/>
              <w:wordWrap/>
              <w:topLinePunct w:val="0"/>
              <w:autoSpaceDE/>
              <w:autoSpaceDN/>
              <w:bidi w:val="0"/>
              <w:spacing w:line="500" w:lineRule="exact"/>
              <w:ind w:firstLine="464"/>
              <w:textAlignment w:val="auto"/>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spacing w:val="-4"/>
                <w:highlight w:val="none"/>
              </w:rPr>
              <w:t>⑤水土流失严重区可开展小流域水土流失综合治理和侵蚀沟专项治理。</w:t>
            </w:r>
          </w:p>
          <w:p w14:paraId="16083CAB">
            <w:pPr>
              <w:pStyle w:val="8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sz w:val="24"/>
                <w:highlight w:val="none"/>
              </w:rPr>
              <mc:AlternateContent>
                <mc:Choice Requires="wps">
                  <w:drawing>
                    <wp:anchor distT="0" distB="0" distL="114300" distR="114300" simplePos="0" relativeHeight="251664384" behindDoc="0" locked="0" layoutInCell="1" allowOverlap="1">
                      <wp:simplePos x="0" y="0"/>
                      <wp:positionH relativeFrom="column">
                        <wp:posOffset>3622040</wp:posOffset>
                      </wp:positionH>
                      <wp:positionV relativeFrom="paragraph">
                        <wp:posOffset>2680970</wp:posOffset>
                      </wp:positionV>
                      <wp:extent cx="34925" cy="1130300"/>
                      <wp:effectExtent l="4445" t="0" r="17780" b="12700"/>
                      <wp:wrapNone/>
                      <wp:docPr id="10" name="直线 225"/>
                      <wp:cNvGraphicFramePr/>
                      <a:graphic xmlns:a="http://schemas.openxmlformats.org/drawingml/2006/main">
                        <a:graphicData uri="http://schemas.microsoft.com/office/word/2010/wordprocessingShape">
                          <wps:wsp>
                            <wps:cNvCnPr/>
                            <wps:spPr>
                              <a:xfrm flipH="1" flipV="1">
                                <a:off x="0" y="0"/>
                                <a:ext cx="34925" cy="11303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5" o:spid="_x0000_s1026" o:spt="20" style="position:absolute;left:0pt;flip:x y;margin-left:285.2pt;margin-top:211.1pt;height:89pt;width:2.75pt;z-index:251664384;mso-width-relative:page;mso-height-relative:page;" filled="f" stroked="t" coordsize="21600,21600" o:gfxdata="UEsDBAoAAAAAAIdO4kAAAAAAAAAAAAAAAAAEAAAAZHJzL1BLAwQUAAAACACHTuJAyu+2n9YAAAAL&#10;AQAADwAAAGRycy9kb3ducmV2LnhtbE2PQU7DMBBF90jcwRokdtSO1TQhxOmiUg/QgiqWbjzEEfY4&#10;xG5Tbo9ZwXL0n/5/025v3rErznEMpKBYCWBIfTAjDQreXvdPNbCYNBntAqGCb4yw7e7vWt2YsNAB&#10;r8c0sFxCsdEKbEpTw3nsLXodV2FCytlHmL1O+ZwHbma95HLvuBRiw70eKS9YPeHOYv95vHgFrhb1&#10;12lXLe8Hk1f2J2epKpR6fCjEC7CEt/QHw69+VocuO53DhUxkTkFZiXVGFayllMAyUVblM7Czgo0Q&#10;EnjX8v8/dD9QSwMEFAAAAAgAh07iQA0hG0D5AQAA9gMAAA4AAABkcnMvZTJvRG9jLnhtbK1TzY7T&#10;MBC+I/EOlu80acsiNmq6hy0LBwQrLXCf2k5iyX/yuE37LLwGJy48zr4GY6cUWC49kEM09oy/me/z&#10;59XNwRq2VxG1dy2fz2rOlBNeate3/POnuxevOcMEToLxTrX8qJDfrJ8/W42hUQs/eCNVZATisBlD&#10;y4eUQlNVKAZlAWc+KEfJzkcLiZaxr2SEkdCtqRZ1/aoafZQheqEQaXczJfkJMV4C6LtOC7XxYmeV&#10;SxNqVAYSUcJBB+TrMm3XKZE+dh2qxEzLiWkqf2pC8Tb/q/UKmj5CGLQ4jQCXjPCEkwXtqOkZagMJ&#10;2C7qf6CsFtGj79JMeFtNRIoixGJeP9HmYYCgCheSGsNZdPx/sOLD/j4yLckJJIkDSzf++PXb4/cf&#10;bLG4yvKMARuqunX38bTCcB8z10MXLeuMDu/oNC/RlxzlHDFjhyLz8SyzOiQmaHP58pqgmaDMfL6s&#10;l3W5hmoCzIdDxPRWecty0HKjXVYBGti/x0RDUOmvkrxtHBtbfn1VQIEs2ZEVCN8GooWuL2fRGy3v&#10;tDH5BMZ+e2si20O2RfkyVcL9qyw32QAOU11JTYYZFMg3TrJ0DKSXo3fC8whWSc6MomeVIwKEJoE2&#10;l1RSa+Nogqz2pG+Otl4e6Xp2Iep+ICXmZcqcITuUeU/WzX77c12Qfj/X9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K77af1gAAAAsBAAAPAAAAAAAAAAEAIAAAACIAAABkcnMvZG93bnJldi54bWxQ&#10;SwECFAAUAAAACACHTuJADSEbQPkBAAD2AwAADgAAAAAAAAABACAAAAAlAQAAZHJzL2Uyb0RvYy54&#10;bWxQSwUGAAAAAAYABgBZAQAAkAUAAAAA&#10;">
                      <v:fill on="f" focussize="0,0"/>
                      <v:stroke color="#000000" joinstyle="round"/>
                      <v:imagedata o:title=""/>
                      <o:lock v:ext="edit" aspectratio="f"/>
                    </v:lin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63360" behindDoc="0" locked="0" layoutInCell="1" allowOverlap="1">
                      <wp:simplePos x="0" y="0"/>
                      <wp:positionH relativeFrom="column">
                        <wp:posOffset>1475740</wp:posOffset>
                      </wp:positionH>
                      <wp:positionV relativeFrom="paragraph">
                        <wp:posOffset>839470</wp:posOffset>
                      </wp:positionV>
                      <wp:extent cx="635" cy="228600"/>
                      <wp:effectExtent l="4445" t="0" r="13970" b="0"/>
                      <wp:wrapNone/>
                      <wp:docPr id="7" name="直线 222"/>
                      <wp:cNvGraphicFramePr/>
                      <a:graphic xmlns:a="http://schemas.openxmlformats.org/drawingml/2006/main">
                        <a:graphicData uri="http://schemas.microsoft.com/office/word/2010/wordprocessingShape">
                          <wps:wsp>
                            <wps:cNvCnPr/>
                            <wps:spPr>
                              <a:xfrm>
                                <a:off x="0" y="0"/>
                                <a:ext cx="635" cy="2286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2" o:spid="_x0000_s1026" o:spt="20" style="position:absolute;left:0pt;margin-left:116.2pt;margin-top:66.1pt;height:18pt;width:0.05pt;z-index:251663360;mso-width-relative:page;mso-height-relative:page;" filled="f" stroked="t" coordsize="21600,21600" o:gfxdata="UEsDBAoAAAAAAIdO4kAAAAAAAAAAAAAAAAAEAAAAZHJzL1BLAwQUAAAACACHTuJAWYBgwNcAAAAL&#10;AQAADwAAAGRycy9kb3ducmV2LnhtbE2PzU7DMBCE70i8g7VIXCrq1IGqCnF6AHLjQgviuo2XJCJe&#10;p7H7A0/PcoLjznyanSnXZz+oI02xD2xhMc9AETfB9dxaeN3WNytQMSE7HAKThS+KsK4uL0osXDjx&#10;Cx03qVUSwrFAC11KY6F1bDryGOdhJBbvI0wek5xTq92EJwn3gzZZttQee5YPHY700FHzuTl4C7F+&#10;o339PWtm2XveBjL7x+cntPb6apHdg0p0Tn8w/NaX6lBJp104sItqsGBycyuoGLkxoIQQ5Q7UTpTl&#10;yoCuSv1/Q/UDUEsDBBQAAAAIAIdO4kDHMDDT6wEAAN4DAAAOAAAAZHJzL2Uyb0RvYy54bWytU82O&#10;0zAQviPxDpbvNG3QliVquoctywVBJeABpraTWPKfPG7TPguvwYkLj7OvwdgpXVguPZCDMx6Pv5nv&#10;m/Hq7mgNO6iI2ruWL2ZzzpQTXmrXt/zrl4dXt5xhAifBeKdaflLI79YvX6zG0KjaD95IFRmBOGzG&#10;0PIhpdBUFYpBWcCZD8rRYeejhUTb2Fcywkjo1lT1fL6sRh9liF4oRPJupkN+RozXAPqu00JtvNhb&#10;5dKEGpWBRJRw0AH5ulTbdUqkT12HKjHTcmKaykpJyN7ltVqvoOkjhEGLcwlwTQnPOFnQjpJeoDaQ&#10;gO2j/gfKahE9+i7NhLfVRKQoQiwW82fafB4gqMKFpMZwER3/H6z4eNhGpmXL33DmwFLDH799f/zx&#10;k9V1ndUZAzYUdO+28bzDsI2Z6rGLNv+JBDsWRU8XRdUxMUHO5esbzgT56/p2OS9yV083Q8T0XnnL&#10;stFyo11mCw0cPmCibBT6OyS7jWNjy9/e1BkTaPQ6ajmZNlD56PpyF73R8kEbk29g7Hf3JrID5PaX&#10;L3Mi3L/CcpIN4DDFlaNpMAYF8p2TLJ0CCePoPfBcglWSM6Po+WSLAKFJoM01kZTaOKogyzoJma2d&#10;lydqwz5E3Q+kxKJUmU+o7aXe84jmufpzX5Cenu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mA&#10;YMDXAAAACwEAAA8AAAAAAAAAAQAgAAAAIgAAAGRycy9kb3ducmV2LnhtbFBLAQIUABQAAAAIAIdO&#10;4kDHMDDT6wEAAN4DAAAOAAAAAAAAAAEAIAAAACYBAABkcnMvZTJvRG9jLnhtbFBLBQYAAAAABgAG&#10;AFkBAACDBQAAAAA=&#10;">
                      <v:fill on="f" focussize="0,0"/>
                      <v:stroke color="#000000" joinstyle="round"/>
                      <v:imagedata o:title=""/>
                      <o:lock v:ext="edit" aspectratio="f"/>
                    </v:line>
                  </w:pict>
                </mc:Fallback>
              </mc:AlternateContent>
            </w:r>
            <w:r>
              <w:rPr>
                <w:rFonts w:hint="default" w:ascii="Times New Roman" w:hAnsi="Times New Roman" w:eastAsia="宋体" w:cs="Times New Roman"/>
                <w:b/>
                <w:color w:val="auto"/>
                <w:highlight w:val="none"/>
              </w:rPr>
              <w:drawing>
                <wp:inline distT="0" distB="0" distL="114300" distR="114300">
                  <wp:extent cx="4702175" cy="6445250"/>
                  <wp:effectExtent l="0" t="0" r="3175" b="12700"/>
                  <wp:docPr id="64" name="图片 416" descr="ScreenShot_2026-06-01_112735_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16" descr="ScreenShot_2026-06-01_112735_928"/>
                          <pic:cNvPicPr>
                            <a:picLocks noChangeAspect="1"/>
                          </pic:cNvPicPr>
                        </pic:nvPicPr>
                        <pic:blipFill>
                          <a:blip r:embed="rId14"/>
                          <a:stretch>
                            <a:fillRect/>
                          </a:stretch>
                        </pic:blipFill>
                        <pic:spPr>
                          <a:xfrm>
                            <a:off x="0" y="0"/>
                            <a:ext cx="4702175" cy="6445250"/>
                          </a:xfrm>
                          <a:prstGeom prst="rect">
                            <a:avLst/>
                          </a:prstGeom>
                          <a:noFill/>
                          <a:ln>
                            <a:noFill/>
                          </a:ln>
                        </pic:spPr>
                      </pic:pic>
                    </a:graphicData>
                  </a:graphic>
                </wp:inline>
              </w:drawing>
            </w:r>
          </w:p>
          <w:p w14:paraId="00305A6F">
            <w:pPr>
              <w:pStyle w:val="84"/>
              <w:ind w:firstLine="48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图1</w:t>
            </w:r>
            <w:r>
              <w:rPr>
                <w:rFonts w:hint="default" w:ascii="Times New Roman" w:hAnsi="Times New Roman" w:cs="Times New Roman"/>
                <w:b/>
                <w:color w:val="auto"/>
                <w:sz w:val="21"/>
                <w:szCs w:val="21"/>
                <w:highlight w:val="none"/>
                <w:lang w:eastAsia="zh-CN"/>
              </w:rPr>
              <w:t>—</w:t>
            </w:r>
            <w:r>
              <w:rPr>
                <w:rFonts w:hint="eastAsia" w:cs="Times New Roman"/>
                <w:b/>
                <w:color w:val="auto"/>
                <w:sz w:val="21"/>
                <w:szCs w:val="21"/>
                <w:highlight w:val="none"/>
                <w:lang w:val="en-US" w:eastAsia="zh-CN"/>
              </w:rPr>
              <w:t>5</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绥化</w:t>
            </w:r>
            <w:r>
              <w:rPr>
                <w:rFonts w:hint="default" w:ascii="Times New Roman" w:hAnsi="Times New Roman" w:eastAsia="宋体" w:cs="Times New Roman"/>
                <w:b/>
                <w:color w:val="auto"/>
                <w:sz w:val="21"/>
                <w:szCs w:val="21"/>
                <w:highlight w:val="none"/>
              </w:rPr>
              <w:t>市</w:t>
            </w:r>
            <w:r>
              <w:rPr>
                <w:rFonts w:hint="default" w:ascii="Times New Roman" w:hAnsi="Times New Roman" w:eastAsia="宋体" w:cs="Times New Roman"/>
                <w:b/>
                <w:color w:val="auto"/>
                <w:sz w:val="21"/>
                <w:szCs w:val="21"/>
                <w:highlight w:val="none"/>
                <w:lang w:val="en-US" w:eastAsia="zh-CN"/>
              </w:rPr>
              <w:t>土壤侵蚀强度分布</w:t>
            </w:r>
            <w:r>
              <w:rPr>
                <w:rFonts w:hint="default" w:ascii="Times New Roman" w:hAnsi="Times New Roman" w:eastAsia="宋体" w:cs="Times New Roman"/>
                <w:b/>
                <w:color w:val="auto"/>
                <w:sz w:val="21"/>
                <w:szCs w:val="21"/>
                <w:highlight w:val="none"/>
              </w:rPr>
              <w:t>图</w:t>
            </w:r>
          </w:p>
          <w:p w14:paraId="2E24127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本工程的建设任务是提升河道行洪能力，降低城市内涝风险，施工期通过采取相应的水土保持措施，</w:t>
            </w:r>
            <w:r>
              <w:rPr>
                <w:rFonts w:hint="eastAsia" w:cs="Times New Roman"/>
                <w:color w:val="auto"/>
                <w:highlight w:val="none"/>
                <w:lang w:val="en-US" w:eastAsia="zh-CN"/>
              </w:rPr>
              <w:t>防止</w:t>
            </w:r>
            <w:r>
              <w:rPr>
                <w:rFonts w:hint="default" w:ascii="Times New Roman" w:hAnsi="Times New Roman" w:eastAsia="宋体" w:cs="Times New Roman"/>
                <w:color w:val="auto"/>
                <w:highlight w:val="none"/>
              </w:rPr>
              <w:t>水土流失，施工结束后恢复原地类。因此，本工程的建设与《</w:t>
            </w:r>
            <w:r>
              <w:rPr>
                <w:rFonts w:hint="default" w:ascii="Times New Roman" w:hAnsi="Times New Roman" w:eastAsia="宋体" w:cs="Times New Roman"/>
                <w:color w:val="auto"/>
                <w:highlight w:val="none"/>
                <w:lang w:val="en-US" w:eastAsia="zh-CN"/>
              </w:rPr>
              <w:t>绥化</w:t>
            </w:r>
            <w:r>
              <w:rPr>
                <w:rFonts w:hint="default" w:ascii="Times New Roman" w:hAnsi="Times New Roman" w:eastAsia="宋体" w:cs="Times New Roman"/>
                <w:color w:val="auto"/>
                <w:highlight w:val="none"/>
              </w:rPr>
              <w:t>市水土保持规划（2019</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2030年）》相符合。</w:t>
            </w:r>
          </w:p>
          <w:p w14:paraId="358B75A4">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9</w:t>
            </w:r>
            <w:r>
              <w:rPr>
                <w:rFonts w:hint="default" w:ascii="Times New Roman" w:hAnsi="Times New Roman" w:eastAsia="宋体" w:cs="Times New Roman"/>
                <w:color w:val="auto"/>
                <w:highlight w:val="none"/>
              </w:rPr>
              <w:t>、与产业政策符合性分析</w:t>
            </w:r>
          </w:p>
          <w:p w14:paraId="0C14638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根据《产业结构调整指导目录</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2024年本</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二、水利3、防洪提升工程</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江河湖海堤防建设及河道治理工程，江河湖库清淤疏浚工程</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，为鼓励类项目，符合国家产业政策要求。</w:t>
            </w:r>
          </w:p>
          <w:p w14:paraId="4ED6E25D">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10</w:t>
            </w:r>
            <w:r>
              <w:rPr>
                <w:rFonts w:hint="default" w:ascii="Times New Roman" w:hAnsi="Times New Roman" w:eastAsia="宋体" w:cs="Times New Roman"/>
                <w:color w:val="auto"/>
                <w:highlight w:val="none"/>
              </w:rPr>
              <w:t>、与《自然资源部关于规范临时用地管理的通知》（自然资规〔2021〕2号）符合性分析</w:t>
            </w:r>
          </w:p>
          <w:p w14:paraId="40A91A35">
            <w:pPr>
              <w:pStyle w:val="84"/>
              <w:widowControl/>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4  </w:t>
            </w:r>
            <w:r>
              <w:rPr>
                <w:rFonts w:hint="default" w:ascii="Times New Roman" w:hAnsi="Times New Roman" w:eastAsia="宋体" w:cs="Times New Roman"/>
                <w:b/>
                <w:bCs/>
                <w:color w:val="auto"/>
                <w:sz w:val="21"/>
                <w:szCs w:val="21"/>
                <w:highlight w:val="none"/>
              </w:rPr>
              <w:t>与自然资规〔2021〕2号）符合性分析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90"/>
              <w:gridCol w:w="3900"/>
            </w:tblGrid>
            <w:tr w14:paraId="4E1870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8" w:type="pct"/>
                  <w:tcBorders>
                    <w:top w:val="single" w:color="auto" w:sz="12" w:space="0"/>
                    <w:left w:val="nil"/>
                    <w:bottom w:val="single" w:color="auto" w:sz="4" w:space="0"/>
                    <w:right w:val="single" w:color="auto" w:sz="4" w:space="0"/>
                  </w:tcBorders>
                  <w:noWrap w:val="0"/>
                  <w:vAlign w:val="center"/>
                </w:tcPr>
                <w:p w14:paraId="709E7760">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相关内容</w:t>
                  </w:r>
                </w:p>
              </w:tc>
              <w:tc>
                <w:tcPr>
                  <w:tcW w:w="2471" w:type="pct"/>
                  <w:tcBorders>
                    <w:top w:val="single" w:color="auto" w:sz="12" w:space="0"/>
                    <w:left w:val="nil"/>
                    <w:bottom w:val="single" w:color="auto" w:sz="4" w:space="0"/>
                    <w:right w:val="nil"/>
                  </w:tcBorders>
                  <w:noWrap w:val="0"/>
                  <w:vAlign w:val="center"/>
                </w:tcPr>
                <w:p w14:paraId="1BA92677">
                  <w:pPr>
                    <w:pStyle w:val="89"/>
                    <w:widowControl/>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符合性分析</w:t>
                  </w:r>
                </w:p>
              </w:tc>
            </w:tr>
            <w:tr w14:paraId="06959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8" w:type="pct"/>
                  <w:tcBorders>
                    <w:top w:val="single" w:color="auto" w:sz="4" w:space="0"/>
                    <w:left w:val="nil"/>
                    <w:bottom w:val="single" w:color="auto" w:sz="4" w:space="0"/>
                    <w:right w:val="single" w:color="auto" w:sz="4" w:space="0"/>
                  </w:tcBorders>
                  <w:noWrap w:val="0"/>
                  <w:vAlign w:val="top"/>
                </w:tcPr>
                <w:p w14:paraId="7652FED5">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建设项目施工、地质勘查使用临时用地时应坚持</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用多少、批多少、占多少、恢复多少</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，尽量不占或者少占耕地。使用后土地复垦难度较大的临时用地，要严格控制占用耕地。</w:t>
                  </w:r>
                </w:p>
              </w:tc>
              <w:tc>
                <w:tcPr>
                  <w:tcW w:w="2471" w:type="pct"/>
                  <w:tcBorders>
                    <w:top w:val="single" w:color="auto" w:sz="4" w:space="0"/>
                    <w:left w:val="nil"/>
                    <w:bottom w:val="single" w:color="auto" w:sz="4" w:space="0"/>
                    <w:right w:val="nil"/>
                  </w:tcBorders>
                  <w:noWrap w:val="0"/>
                  <w:vAlign w:val="top"/>
                </w:tcPr>
                <w:p w14:paraId="14195620">
                  <w:pPr>
                    <w:keepNext w:val="0"/>
                    <w:keepLines w:val="0"/>
                    <w:pageBreakBefore w:val="0"/>
                    <w:widowControl w:val="0"/>
                    <w:kinsoku/>
                    <w:wordWrap/>
                    <w:overflowPunct/>
                    <w:topLinePunct w:val="0"/>
                    <w:autoSpaceDE/>
                    <w:autoSpaceDN/>
                    <w:bidi w:val="0"/>
                    <w:adjustRightInd w:val="0"/>
                    <w:snapToGrid w:val="0"/>
                    <w:spacing w:line="240" w:lineRule="exact"/>
                    <w:ind w:right="0" w:rightChars="0" w:firstLine="420" w:firstLineChars="20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本项目本着不占或少占耕地的原则，</w:t>
                  </w:r>
                  <w:r>
                    <w:rPr>
                      <w:rFonts w:hint="default" w:ascii="Times New Roman" w:hAnsi="Times New Roman" w:eastAsia="宋体" w:cs="Times New Roman"/>
                      <w:color w:val="auto"/>
                      <w:sz w:val="21"/>
                      <w:szCs w:val="21"/>
                      <w:highlight w:val="none"/>
                      <w:lang w:val="en-US" w:eastAsia="zh-CN"/>
                    </w:rPr>
                    <w:t>本项目永久占用耕地</w:t>
                  </w:r>
                  <w:r>
                    <w:rPr>
                      <w:rFonts w:hint="eastAsia" w:cs="Times New Roman"/>
                      <w:color w:val="auto"/>
                      <w:sz w:val="21"/>
                      <w:szCs w:val="21"/>
                      <w:highlight w:val="none"/>
                      <w:lang w:val="en-US" w:eastAsia="zh-CN"/>
                    </w:rPr>
                    <w:t>22.79</w:t>
                  </w:r>
                  <w:r>
                    <w:rPr>
                      <w:rFonts w:hint="default" w:ascii="Times New Roman" w:hAnsi="Times New Roman" w:eastAsia="宋体" w:cs="Times New Roman"/>
                      <w:color w:val="auto"/>
                      <w:sz w:val="21"/>
                      <w:szCs w:val="21"/>
                      <w:highlight w:val="none"/>
                      <w:lang w:val="en-US" w:eastAsia="zh-CN"/>
                    </w:rPr>
                    <w:t>亩；临时占用耕地</w:t>
                  </w:r>
                  <w:r>
                    <w:rPr>
                      <w:rFonts w:hint="eastAsia" w:cs="Times New Roman"/>
                      <w:color w:val="auto"/>
                      <w:sz w:val="21"/>
                      <w:szCs w:val="21"/>
                      <w:highlight w:val="none"/>
                      <w:lang w:val="en-US" w:eastAsia="zh-CN"/>
                    </w:rPr>
                    <w:t>6.60</w:t>
                  </w:r>
                  <w:r>
                    <w:rPr>
                      <w:rFonts w:hint="default" w:ascii="Times New Roman" w:hAnsi="Times New Roman" w:eastAsia="宋体" w:cs="Times New Roman"/>
                      <w:color w:val="auto"/>
                      <w:sz w:val="21"/>
                      <w:szCs w:val="21"/>
                      <w:highlight w:val="none"/>
                      <w:lang w:val="en-US" w:eastAsia="zh-CN"/>
                    </w:rPr>
                    <w:t>亩，在施工前进行表土剥离，在施工结束后进行表土回填并进行土地复垦，恢复耕地</w:t>
                  </w:r>
                  <w:r>
                    <w:rPr>
                      <w:rFonts w:hint="default" w:ascii="Times New Roman" w:hAnsi="Times New Roman" w:cs="Times New Roman"/>
                      <w:color w:val="auto"/>
                      <w:sz w:val="21"/>
                      <w:szCs w:val="21"/>
                      <w:highlight w:val="none"/>
                      <w:lang w:val="en-US" w:eastAsia="zh-CN"/>
                    </w:rPr>
                    <w:t>。</w:t>
                  </w:r>
                </w:p>
                <w:p w14:paraId="6C41CECB">
                  <w:pPr>
                    <w:pStyle w:val="89"/>
                    <w:widowControl/>
                    <w:rPr>
                      <w:rFonts w:hint="default" w:ascii="Times New Roman" w:hAnsi="Times New Roman" w:eastAsia="宋体" w:cs="Times New Roman"/>
                      <w:color w:val="auto"/>
                      <w:highlight w:val="none"/>
                    </w:rPr>
                  </w:pPr>
                </w:p>
              </w:tc>
            </w:tr>
            <w:tr w14:paraId="2714D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8" w:type="pct"/>
                  <w:tcBorders>
                    <w:top w:val="single" w:color="auto" w:sz="4" w:space="0"/>
                    <w:left w:val="nil"/>
                    <w:bottom w:val="single" w:color="auto" w:sz="4" w:space="0"/>
                    <w:right w:val="single" w:color="auto" w:sz="4" w:space="0"/>
                  </w:tcBorders>
                  <w:noWrap w:val="0"/>
                  <w:vAlign w:val="top"/>
                </w:tcPr>
                <w:p w14:paraId="7905804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制梁场、</w:t>
                  </w:r>
                  <w:r>
                    <w:rPr>
                      <w:rFonts w:hint="default" w:ascii="Times New Roman" w:hAnsi="Times New Roman" w:cs="Times New Roman"/>
                      <w:color w:val="auto"/>
                      <w:highlight w:val="none"/>
                      <w:lang w:eastAsia="zh-CN"/>
                    </w:rPr>
                    <w:t>拌和站</w:t>
                  </w:r>
                  <w:r>
                    <w:rPr>
                      <w:rFonts w:hint="default" w:ascii="Times New Roman" w:hAnsi="Times New Roman" w:eastAsia="宋体" w:cs="Times New Roman"/>
                      <w:color w:val="auto"/>
                      <w:highlight w:val="none"/>
                    </w:rPr>
                    <w:t>等难以恢复原种植条件的不得以临时用地方式占用耕地和永久基本农田，可以建设用地方式或者临时占用未利用地方式使用土地。</w:t>
                  </w:r>
                </w:p>
              </w:tc>
              <w:tc>
                <w:tcPr>
                  <w:tcW w:w="2471" w:type="pct"/>
                  <w:tcBorders>
                    <w:top w:val="single" w:color="auto" w:sz="4" w:space="0"/>
                    <w:left w:val="nil"/>
                    <w:bottom w:val="single" w:color="auto" w:sz="4" w:space="0"/>
                    <w:right w:val="nil"/>
                  </w:tcBorders>
                  <w:noWrap w:val="0"/>
                  <w:vAlign w:val="top"/>
                </w:tcPr>
                <w:p w14:paraId="3D17AB70">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本项目无制梁场</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混凝土拌和站位于施工生产生活区，占地类型为草地；施工道路占用耕地3.6亩，施工材料堆放场占用耕地3亩</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本项目</w:t>
                  </w:r>
                  <w:r>
                    <w:rPr>
                      <w:rFonts w:hint="default" w:ascii="Times New Roman" w:hAnsi="Times New Roman" w:eastAsia="宋体" w:cs="Times New Roman"/>
                      <w:color w:val="auto"/>
                      <w:highlight w:val="none"/>
                      <w:lang w:val="en-US" w:eastAsia="zh-CN"/>
                    </w:rPr>
                    <w:t>不占用基本农田，施工结束后通过土地复垦恢复原地类（耕地），不存在难以恢复种植条件的情况，因此临时占用耕地建设</w:t>
                  </w:r>
                  <w:r>
                    <w:rPr>
                      <w:rFonts w:hint="eastAsia" w:cs="Times New Roman"/>
                      <w:color w:val="auto"/>
                      <w:highlight w:val="none"/>
                      <w:lang w:val="en-US" w:eastAsia="zh-CN"/>
                    </w:rPr>
                    <w:t>临时施工道路和施工材料堆放场</w:t>
                  </w:r>
                  <w:r>
                    <w:rPr>
                      <w:rFonts w:hint="default" w:ascii="Times New Roman" w:hAnsi="Times New Roman" w:eastAsia="宋体" w:cs="Times New Roman"/>
                      <w:color w:val="auto"/>
                      <w:highlight w:val="none"/>
                      <w:lang w:val="en-US" w:eastAsia="zh-CN"/>
                    </w:rPr>
                    <w:t>是可行的</w:t>
                  </w:r>
                  <w:r>
                    <w:rPr>
                      <w:rFonts w:hint="default" w:ascii="Times New Roman" w:hAnsi="Times New Roman" w:eastAsia="宋体" w:cs="Times New Roman"/>
                      <w:color w:val="auto"/>
                      <w:highlight w:val="none"/>
                    </w:rPr>
                    <w:t>。</w:t>
                  </w:r>
                </w:p>
              </w:tc>
            </w:tr>
            <w:tr w14:paraId="49802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8" w:type="pct"/>
                  <w:tcBorders>
                    <w:top w:val="single" w:color="auto" w:sz="4" w:space="0"/>
                    <w:left w:val="nil"/>
                    <w:bottom w:val="single" w:color="auto" w:sz="4" w:space="0"/>
                    <w:right w:val="single" w:color="auto" w:sz="4" w:space="0"/>
                  </w:tcBorders>
                  <w:noWrap w:val="0"/>
                  <w:vAlign w:val="top"/>
                </w:tcPr>
                <w:p w14:paraId="6FEC670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临时用地使用期限一般不超过两年。建设周期较长的能源、交通、水利等基础设施建设项目施工使用的临时用地，期限不超过四年。</w:t>
                  </w:r>
                </w:p>
              </w:tc>
              <w:tc>
                <w:tcPr>
                  <w:tcW w:w="2471" w:type="pct"/>
                  <w:tcBorders>
                    <w:top w:val="single" w:color="auto" w:sz="4" w:space="0"/>
                    <w:left w:val="nil"/>
                    <w:bottom w:val="single" w:color="auto" w:sz="4" w:space="0"/>
                    <w:right w:val="nil"/>
                  </w:tcBorders>
                  <w:noWrap w:val="0"/>
                  <w:vAlign w:val="top"/>
                </w:tcPr>
                <w:p w14:paraId="0438102A">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本项目建设期为</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个月，未超过两年。</w:t>
                  </w:r>
                </w:p>
              </w:tc>
            </w:tr>
            <w:tr w14:paraId="3FE4B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8" w:type="pct"/>
                  <w:tcBorders>
                    <w:top w:val="single" w:color="auto" w:sz="4" w:space="0"/>
                    <w:left w:val="nil"/>
                    <w:bottom w:val="single" w:color="auto" w:sz="4" w:space="0"/>
                    <w:right w:val="single" w:color="auto" w:sz="4" w:space="0"/>
                  </w:tcBorders>
                  <w:noWrap w:val="0"/>
                  <w:vAlign w:val="top"/>
                </w:tcPr>
                <w:p w14:paraId="310431E1">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临时用地使用人应当自临时用地期满之日起一年内完成土地复垦，因气候、灾害等不可抗力因素影响复垦的，经批准可以适当延长复垦期限。</w:t>
                  </w:r>
                </w:p>
              </w:tc>
              <w:tc>
                <w:tcPr>
                  <w:tcW w:w="2471" w:type="pct"/>
                  <w:tcBorders>
                    <w:top w:val="single" w:color="auto" w:sz="4" w:space="0"/>
                    <w:left w:val="nil"/>
                    <w:bottom w:val="single" w:color="auto" w:sz="4" w:space="0"/>
                    <w:right w:val="nil"/>
                  </w:tcBorders>
                  <w:noWrap w:val="0"/>
                  <w:vAlign w:val="top"/>
                </w:tcPr>
                <w:p w14:paraId="1E8E8C39">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本次环评提出建设单位需在施工结束后一年内完成土地复垦。</w:t>
                  </w:r>
                </w:p>
              </w:tc>
            </w:tr>
            <w:tr w14:paraId="12661B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28" w:type="pct"/>
                  <w:tcBorders>
                    <w:top w:val="single" w:color="auto" w:sz="4" w:space="0"/>
                    <w:left w:val="nil"/>
                    <w:bottom w:val="single" w:color="auto" w:sz="12" w:space="0"/>
                    <w:right w:val="single" w:color="auto" w:sz="4" w:space="0"/>
                  </w:tcBorders>
                  <w:noWrap w:val="0"/>
                  <w:vAlign w:val="top"/>
                </w:tcPr>
                <w:p w14:paraId="6B926196">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tc>
              <w:tc>
                <w:tcPr>
                  <w:tcW w:w="2471" w:type="pct"/>
                  <w:tcBorders>
                    <w:top w:val="single" w:color="auto" w:sz="4" w:space="0"/>
                    <w:left w:val="nil"/>
                    <w:bottom w:val="single" w:color="auto" w:sz="12" w:space="0"/>
                    <w:right w:val="nil"/>
                  </w:tcBorders>
                  <w:noWrap w:val="0"/>
                  <w:vAlign w:val="top"/>
                </w:tcPr>
                <w:p w14:paraId="55BDBE3C">
                  <w:pPr>
                    <w:pStyle w:val="89"/>
                    <w:widowControl/>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本次环评提出施工结束后拆除临时建（构）筑物，进行土地复垦。</w:t>
                  </w:r>
                </w:p>
              </w:tc>
            </w:tr>
          </w:tbl>
          <w:p w14:paraId="122A9A52">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11</w:t>
            </w:r>
            <w:r>
              <w:rPr>
                <w:rFonts w:hint="default" w:ascii="Times New Roman" w:hAnsi="Times New Roman" w:eastAsia="宋体" w:cs="Times New Roman"/>
                <w:color w:val="auto"/>
                <w:highlight w:val="none"/>
              </w:rPr>
              <w:t>、与水环境功能区划、水功能区划符合性分析</w:t>
            </w:r>
          </w:p>
          <w:p w14:paraId="54B004F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本项目涉及的地表水体为</w:t>
            </w:r>
            <w:r>
              <w:rPr>
                <w:rFonts w:hint="eastAsia" w:cs="Times New Roman"/>
                <w:color w:val="auto"/>
                <w:highlight w:val="none"/>
                <w:lang w:val="en-US" w:eastAsia="zh-CN"/>
              </w:rPr>
              <w:t>格木克河</w:t>
            </w:r>
            <w:r>
              <w:rPr>
                <w:rFonts w:hint="default" w:ascii="Times New Roman" w:hAnsi="Times New Roman" w:eastAsia="宋体" w:cs="Times New Roman"/>
                <w:color w:val="auto"/>
                <w:highlight w:val="none"/>
              </w:rPr>
              <w:t>，属于</w:t>
            </w:r>
            <w:r>
              <w:rPr>
                <w:rFonts w:hint="default" w:ascii="Times New Roman" w:hAnsi="Times New Roman" w:eastAsia="宋体" w:cs="Times New Roman"/>
                <w:color w:val="auto"/>
                <w:highlight w:val="none"/>
                <w:lang w:val="en-US" w:eastAsia="zh-CN"/>
              </w:rPr>
              <w:t>呼兰河</w:t>
            </w:r>
            <w:r>
              <w:rPr>
                <w:rFonts w:hint="eastAsia" w:cs="Times New Roman"/>
                <w:color w:val="auto"/>
                <w:highlight w:val="none"/>
                <w:lang w:val="en-US" w:eastAsia="zh-CN"/>
              </w:rPr>
              <w:t>左岸</w:t>
            </w:r>
            <w:r>
              <w:rPr>
                <w:rFonts w:hint="default" w:ascii="Times New Roman" w:hAnsi="Times New Roman" w:eastAsia="宋体" w:cs="Times New Roman"/>
                <w:color w:val="auto"/>
                <w:highlight w:val="none"/>
                <w:lang w:val="en-US" w:eastAsia="zh-CN"/>
              </w:rPr>
              <w:t>一级支流</w:t>
            </w:r>
            <w:r>
              <w:rPr>
                <w:rFonts w:hint="default" w:ascii="Times New Roman" w:hAnsi="Times New Roman" w:eastAsia="宋体" w:cs="Times New Roman"/>
                <w:color w:val="auto"/>
                <w:highlight w:val="none"/>
              </w:rPr>
              <w:t>，无水功能区划，</w:t>
            </w:r>
            <w:r>
              <w:rPr>
                <w:rFonts w:hint="default" w:ascii="Times New Roman" w:hAnsi="Times New Roman" w:eastAsia="宋体" w:cs="Times New Roman"/>
                <w:color w:val="auto"/>
                <w:highlight w:val="none"/>
                <w:lang w:val="en-US" w:eastAsia="zh-CN"/>
              </w:rPr>
              <w:t>根据《黑龙江省水环境生态补偿办法》（黑环发</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22号），距离最近的国考断面为呼兰河绥望桥断面，水质目标</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ROMAN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故执行</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ROMAN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val="en-US" w:eastAsia="zh-CN"/>
              </w:rPr>
              <w:t>标准。</w:t>
            </w:r>
            <w:r>
              <w:rPr>
                <w:rFonts w:hint="default" w:ascii="Times New Roman" w:hAnsi="Times New Roman" w:eastAsia="宋体" w:cs="Times New Roman"/>
                <w:color w:val="auto"/>
                <w:highlight w:val="none"/>
              </w:rPr>
              <w:t>本项目施工期生活污水设置临时防渗厕所，定期清掏堆肥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废水不外排，</w:t>
            </w:r>
            <w:r>
              <w:rPr>
                <w:rFonts w:hint="default" w:ascii="Times New Roman" w:hAnsi="Times New Roman" w:eastAsia="宋体" w:cs="Times New Roman"/>
                <w:color w:val="auto"/>
                <w:highlight w:val="none"/>
                <w:lang w:eastAsia="zh-CN"/>
              </w:rPr>
              <w:t>运行期</w:t>
            </w:r>
            <w:r>
              <w:rPr>
                <w:rFonts w:hint="default" w:ascii="Times New Roman" w:hAnsi="Times New Roman" w:eastAsia="宋体" w:cs="Times New Roman"/>
                <w:color w:val="auto"/>
                <w:highlight w:val="none"/>
              </w:rPr>
              <w:t>无废水排放。因此，不会对水功能区的水质类别造成不利影响。</w:t>
            </w:r>
          </w:p>
          <w:p w14:paraId="1F17E73A">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、与《松花江流域综合规划》符合性分析</w:t>
            </w:r>
          </w:p>
          <w:p w14:paraId="28E37D93">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5880EDF8">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4、防洪减灾</w:t>
            </w:r>
          </w:p>
          <w:p w14:paraId="5A92388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规划遵循</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蓄泄兼筹，综合治理，突出重点</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防洪方针，按照左右岸兼顾、上下游协调的原则，妥善安排防洪工程措施和非工程措施，既重视重点河段、重点城市防洪，也重视一般河段防洪及中小河流治理和山洪灾害防治，明确了松花江流域防洪减灾体系总体布局。</w:t>
            </w:r>
          </w:p>
          <w:p w14:paraId="6D784C42">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以保障防洪安全为目标，加强干流、支流和重点城市堤防的达标建设；新建一些具有防洪任务的水库，进行滞洪区安全建设，治理河道险工险段、扩孔改建阻水桥梁及河道清淤清障；完成病险水库除险加固、加大中小河流治理和山洪灾害防治力度；加强防洪非工程措施建设，进一步完善以堤防为基础，以控制性水利枢纽和流域蓄滞洪区为重点的防洪减灾体系。</w:t>
            </w:r>
          </w:p>
          <w:p w14:paraId="132FF954">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069AAD1">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本次格木克河改道段河道位于庆安县内，吉庆路附近位置。河道早年在该段形成南北两处分叉，近年来，当地居民逐年将南侧河道填堵，用以耕种，北侧河道受冲严重，河道过流能力不足，本次设计沿原南侧河道方向对河道进行恢复，形成新的过流通道，河道改道长783m。本项目的建设可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w:t>
            </w:r>
            <w:r>
              <w:rPr>
                <w:rFonts w:hint="eastAsia" w:cs="Times New Roman"/>
                <w:color w:val="auto"/>
                <w:highlight w:val="none"/>
                <w:lang w:eastAsia="zh-CN"/>
              </w:rPr>
              <w:t>，</w:t>
            </w:r>
            <w:r>
              <w:rPr>
                <w:rFonts w:hint="default" w:ascii="Times New Roman" w:hAnsi="Times New Roman" w:eastAsia="宋体" w:cs="Times New Roman"/>
                <w:color w:val="auto"/>
                <w:highlight w:val="none"/>
              </w:rPr>
              <w:t>符合《松花江流域综合规划》中加大中小河流治理和山洪灾害防治力度的要求。</w:t>
            </w:r>
          </w:p>
          <w:p w14:paraId="22D970C4">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、与《松花江流域防洪规划》符合性分析</w:t>
            </w:r>
          </w:p>
          <w:p w14:paraId="29EAAF32">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31D5CDD6">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规划目标</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使松花江流域形成比较完整的防洪减灾体系，干流各主要防洪保护区基本达到国家规定的防洪标准，干流其他防洪保护区和支流防洪保护区具有一定的防洪能力，一般城市防洪体系初步形成，水文基础设施条件得到进一步改善，洪水预警预报系统、防汛指挥系统基本建成，洪水预报调度更加科学可靠，防洪区管理更加规范，洪水风险意识显著增强，防洪区洪水保险制度实行，洪水风险社会化保障体系基本形成，生态环境逐步改善。在发生规划标准洪水时，该体系可以保障流域社会经济活动和人民生活的正常进行</w:t>
            </w:r>
            <w:r>
              <w:rPr>
                <w:rFonts w:hint="eastAsia" w:cs="Times New Roman"/>
                <w:color w:val="auto"/>
                <w:highlight w:val="none"/>
                <w:lang w:eastAsia="zh-CN"/>
              </w:rPr>
              <w:t>。</w:t>
            </w:r>
            <w:r>
              <w:rPr>
                <w:rFonts w:hint="default" w:ascii="Times New Roman" w:hAnsi="Times New Roman" w:eastAsia="宋体" w:cs="Times New Roman"/>
                <w:color w:val="auto"/>
                <w:highlight w:val="none"/>
              </w:rPr>
              <w:t>发生大洪水时，通过工程和非工程防洪措施的联合运用，保障流域重要城市、重点防洪保护区的防洪安全；当发生特大洪水时，有预定的方案和切实的措施，保证经济社会活动不至于发生大的动荡及造成严重的灾难。</w:t>
            </w:r>
          </w:p>
          <w:p w14:paraId="70731AB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31FE4B9">
            <w:pPr>
              <w:pStyle w:val="84"/>
              <w:rPr>
                <w:rFonts w:hint="default" w:ascii="Times New Roman" w:hAnsi="Times New Roman" w:eastAsia="宋体" w:cs="Times New Roman"/>
                <w:color w:val="auto"/>
                <w:highlight w:val="none"/>
              </w:rPr>
            </w:pPr>
            <w:r>
              <w:rPr>
                <w:rFonts w:hint="eastAsia" w:cs="Times New Roman"/>
                <w:color w:val="auto"/>
                <w:highlight w:val="none"/>
                <w:lang w:val="en-US" w:eastAsia="zh-CN"/>
              </w:rPr>
              <w:t>本项目的建设可增大过流断面面积，增大河道行洪能力，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w:t>
            </w:r>
            <w:r>
              <w:rPr>
                <w:rFonts w:hint="eastAsia" w:cs="Times New Roman"/>
                <w:color w:val="auto"/>
                <w:highlight w:val="none"/>
                <w:lang w:val="en-US" w:eastAsia="zh-CN"/>
              </w:rPr>
              <w:t>设计</w:t>
            </w:r>
            <w:r>
              <w:rPr>
                <w:rFonts w:hint="default" w:ascii="Times New Roman" w:hAnsi="Times New Roman" w:eastAsia="宋体" w:cs="Times New Roman"/>
                <w:color w:val="auto"/>
                <w:highlight w:val="none"/>
              </w:rPr>
              <w:t>防洪标准为10年一遇，符合《松花江流域防洪规划》中</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使松花江流域形成比较完整的防洪减灾体系</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的规划目标要求。</w:t>
            </w:r>
          </w:p>
          <w:p w14:paraId="59DA690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、与黑龙江省人民政府办公厅《关于建设占用耕地耕作层土壤剥离利用工作的指导意见（试行）》符合性分析</w:t>
            </w:r>
          </w:p>
          <w:p w14:paraId="22C204F3">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《关于建设占用耕地耕作层土壤剥离利用工作的指导意见（试行）》提出</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单独选址项目及其他需要剥离的项目，应在开工建设前按照剥离利用方案要求实施耕作层土壤剥离，并将剥离土壤存储在指定地点或直接输送到再利用场所。耕作层土壤剥离及运输过程中，应采取水土保持和扬尘防治措施，防止土壤和环境污染。土壤存储点的选取应遵循就近存储、易于存放、专人管理的原则，尽量利用废弃土地、闲置建设用地和未利用地，避让永久基本农田和生态保护红线、水源地等敏感区域。土壤存储要采取必要的工程防护和保育措施，防止出现水土流失、土壤质量退化和安全隐患。</w:t>
            </w:r>
            <w:r>
              <w:rPr>
                <w:rFonts w:hint="default" w:ascii="Times New Roman" w:hAnsi="Times New Roman" w:cs="Times New Roman"/>
                <w:color w:val="auto"/>
                <w:highlight w:val="none"/>
                <w:lang w:eastAsia="zh-CN"/>
              </w:rPr>
              <w:t>"</w:t>
            </w:r>
          </w:p>
          <w:p w14:paraId="2FF5DC53">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本次新增永久征收土地面积为</w:t>
            </w:r>
            <w:r>
              <w:rPr>
                <w:rFonts w:hint="eastAsia" w:cs="Times New Roman"/>
                <w:color w:val="auto"/>
                <w:highlight w:val="none"/>
                <w:lang w:val="en-US" w:eastAsia="zh-CN"/>
              </w:rPr>
              <w:t>41.38</w:t>
            </w:r>
            <w:r>
              <w:rPr>
                <w:rFonts w:hint="default" w:ascii="Times New Roman" w:hAnsi="Times New Roman" w:eastAsia="宋体" w:cs="Times New Roman"/>
                <w:color w:val="auto"/>
                <w:highlight w:val="none"/>
              </w:rPr>
              <w:t>亩，其中耕地</w:t>
            </w:r>
            <w:r>
              <w:rPr>
                <w:rFonts w:hint="eastAsia" w:cs="Times New Roman"/>
                <w:color w:val="auto"/>
                <w:highlight w:val="none"/>
                <w:lang w:eastAsia="zh-CN"/>
              </w:rPr>
              <w:t>22.79</w:t>
            </w:r>
            <w:r>
              <w:rPr>
                <w:rFonts w:hint="default" w:ascii="Times New Roman" w:hAnsi="Times New Roman" w:eastAsia="宋体" w:cs="Times New Roman"/>
                <w:color w:val="auto"/>
                <w:highlight w:val="none"/>
              </w:rPr>
              <w:t>亩（其中旱地2.85亩，水田19.94亩）、林地13.49亩（全部为其他林地）、草地1.65亩（全部为其他草地）、水域及水利设施用地3.45亩（坑塘水面1.80亩、沟渠1.65亩、）。本工程不涉及占用永久基本农田。工程建设新增临时征用土地面积</w:t>
            </w:r>
            <w:r>
              <w:rPr>
                <w:rFonts w:hint="eastAsia" w:cs="Times New Roman"/>
                <w:color w:val="auto"/>
                <w:highlight w:val="none"/>
                <w:lang w:eastAsia="zh-CN"/>
              </w:rPr>
              <w:t>35.54</w:t>
            </w:r>
            <w:r>
              <w:rPr>
                <w:rFonts w:hint="default" w:ascii="Times New Roman" w:hAnsi="Times New Roman" w:eastAsia="宋体" w:cs="Times New Roman"/>
                <w:color w:val="auto"/>
                <w:highlight w:val="none"/>
              </w:rPr>
              <w:t>亩，其中临时占用耕地6.60亩（全部为水田），林地0.90亩，草地1.05亩，水域及水利设施用地26.99亩。未占用基本农田。</w:t>
            </w:r>
          </w:p>
          <w:p w14:paraId="1C85171B">
            <w:pPr>
              <w:pStyle w:val="84"/>
              <w:rPr>
                <w:rFonts w:hint="default" w:ascii="Times New Roman" w:hAnsi="Times New Roman" w:eastAsia="宋体" w:cs="Times New Roman"/>
                <w:color w:val="auto"/>
                <w:highlight w:val="none"/>
              </w:rPr>
            </w:pPr>
            <w:r>
              <w:rPr>
                <w:rFonts w:hint="default" w:ascii="Times New Roman" w:hAnsi="Times New Roman" w:cs="Times New Roman"/>
                <w:highlight w:val="none"/>
                <w:lang w:val="en-US" w:eastAsia="zh-CN"/>
              </w:rPr>
              <w:t>根据</w:t>
            </w:r>
            <w:r>
              <w:rPr>
                <w:rFonts w:hint="eastAsia" w:cs="Times New Roman"/>
                <w:highlight w:val="none"/>
                <w:lang w:val="en-US" w:eastAsia="zh-CN"/>
              </w:rPr>
              <w:t>庆安县格木克河改道项目</w:t>
            </w:r>
            <w:r>
              <w:rPr>
                <w:rFonts w:hint="default" w:ascii="Times New Roman" w:hAnsi="Times New Roman" w:cs="Times New Roman"/>
                <w:highlight w:val="none"/>
                <w:lang w:val="en-US" w:eastAsia="zh-CN"/>
              </w:rPr>
              <w:t>初步设计报告中提出的</w:t>
            </w:r>
            <w:r>
              <w:rPr>
                <w:rFonts w:hint="default" w:ascii="Times New Roman" w:hAnsi="Times New Roman" w:eastAsia="宋体" w:cs="Times New Roman"/>
                <w:color w:val="auto"/>
                <w:highlight w:val="none"/>
              </w:rPr>
              <w:t>在施工前对占用耕地进行表土剥离，剥离厚度为</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0c</w:t>
            </w: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剥离表土就近堆置在各防治分区内，为防止表土堆置期间产生水土流失，对坡面外表面采取密目网覆盖，坡脚压盖编织袋土埂。因此，本项目符合《关于建设占用耕地耕作层土壤剥离利用工作的指导意见（试行）》。</w:t>
            </w:r>
          </w:p>
          <w:p w14:paraId="0B891141">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与《中华人民共和国黑土地保护法》（2022年8月实施）、《中共中央、国务院关于加强耕地保护和改进占补平衡的意见》（2017年1月）、《黑龙江省黑土地保护利用条例》、黑龙江省地方标准《建设占用耕地耕作层土壤剥离利用技术规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DB23/T2913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》、自然资源部办公厅关于进一步加强黑土耕地保护的通知》的符合性分析</w:t>
            </w:r>
          </w:p>
          <w:p w14:paraId="34AEC66B">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《中华人民共和国黑土地保护法》及《黑龙江省黑土地保护利用条例》要求</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建设项目不得占用黑土地；确需占用的，应当依法严格审批，并补充数量和质量相当的耕地。</w:t>
            </w:r>
          </w:p>
          <w:p w14:paraId="072DDD1F">
            <w:pPr>
              <w:pStyle w:val="84"/>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具体办法由四省区人民政府分别制定。</w:t>
            </w:r>
          </w:p>
          <w:p w14:paraId="77DB01E0">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本项目为防洪除涝工程，临时占用耕地，是为了保护黑土地不再为河道冲蚀而变成水毁面积；本项目已经过水利部门批复，项目完工均进行土地复垦，与上述法律要求相符。</w:t>
            </w:r>
          </w:p>
          <w:p w14:paraId="3D41422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本项目永久占用耕地</w:t>
            </w:r>
            <w:r>
              <w:rPr>
                <w:rFonts w:hint="eastAsia" w:cs="Times New Roman"/>
                <w:color w:val="auto"/>
                <w:highlight w:val="none"/>
                <w:lang w:val="en-US" w:eastAsia="zh-CN"/>
              </w:rPr>
              <w:t>22.79</w:t>
            </w:r>
            <w:r>
              <w:rPr>
                <w:rFonts w:hint="default" w:ascii="Times New Roman" w:hAnsi="Times New Roman" w:eastAsia="宋体" w:cs="Times New Roman"/>
                <w:color w:val="auto"/>
                <w:highlight w:val="none"/>
                <w:lang w:val="en-US" w:eastAsia="zh-CN"/>
              </w:rPr>
              <w:t>亩；临时占用耕地</w:t>
            </w:r>
            <w:r>
              <w:rPr>
                <w:rFonts w:hint="eastAsia" w:cs="Times New Roman"/>
                <w:color w:val="auto"/>
                <w:highlight w:val="none"/>
                <w:lang w:val="en-US" w:eastAsia="zh-CN"/>
              </w:rPr>
              <w:t>6.60</w:t>
            </w:r>
            <w:r>
              <w:rPr>
                <w:rFonts w:hint="default" w:ascii="Times New Roman" w:hAnsi="Times New Roman" w:eastAsia="宋体" w:cs="Times New Roman"/>
                <w:color w:val="auto"/>
                <w:highlight w:val="none"/>
                <w:lang w:val="en-US" w:eastAsia="zh-CN"/>
              </w:rPr>
              <w:t>亩，</w:t>
            </w:r>
            <w:r>
              <w:rPr>
                <w:rFonts w:hint="default" w:ascii="Times New Roman" w:hAnsi="Times New Roman" w:eastAsia="宋体" w:cs="Times New Roman"/>
                <w:color w:val="auto"/>
                <w:highlight w:val="none"/>
              </w:rPr>
              <w:t>根据黑土地保护相关法律、法规、规范及政府职能部门下发相关规章、文件精神，本次工程建设占用</w:t>
            </w:r>
            <w:r>
              <w:rPr>
                <w:rFonts w:hint="default" w:ascii="Times New Roman" w:hAnsi="Times New Roman" w:eastAsia="宋体" w:cs="Times New Roman"/>
                <w:color w:val="auto"/>
                <w:highlight w:val="none"/>
                <w:lang w:val="en-US" w:eastAsia="zh-CN"/>
              </w:rPr>
              <w:t>正</w:t>
            </w:r>
            <w:r>
              <w:rPr>
                <w:rFonts w:hint="default" w:ascii="Times New Roman" w:hAnsi="Times New Roman" w:eastAsia="宋体" w:cs="Times New Roman"/>
                <w:color w:val="auto"/>
                <w:highlight w:val="none"/>
              </w:rPr>
              <w:t>由建设单位编制耕地表土剥离实施方案，建设占用耕地表土剥离利用实施方案的编制应严格依据中华人民共和国土地管理行业标准《耕作层土壤剥离利用技术规范》（TD/T1048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2016）、黑龙江省地方标准《建设占用耕地耕作层土壤剥离利用技术规范》</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DB23/T2913</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2021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的要求进行编制。应包括项目概况、编制依据、表土剥离技术方法、表土存储地点、表土运输、剥离表土验收、投资估算、实施计划、保障措施、相关影像资料等。</w:t>
            </w:r>
          </w:p>
          <w:p w14:paraId="4E5C5816">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表土剥离实施方案由</w:t>
            </w:r>
            <w:r>
              <w:rPr>
                <w:rFonts w:hint="default" w:ascii="Times New Roman" w:hAnsi="Times New Roman" w:eastAsia="宋体" w:cs="Times New Roman"/>
                <w:color w:val="auto"/>
                <w:highlight w:val="none"/>
                <w:lang w:val="en-US" w:eastAsia="zh-CN"/>
              </w:rPr>
              <w:t>绥化</w:t>
            </w:r>
            <w:r>
              <w:rPr>
                <w:rFonts w:hint="default" w:ascii="Times New Roman" w:hAnsi="Times New Roman" w:eastAsia="宋体" w:cs="Times New Roman"/>
                <w:color w:val="auto"/>
                <w:highlight w:val="none"/>
              </w:rPr>
              <w:t>市自然资源部门会同农业农村部门组织相关专家进行审查论证。实施方案通过专家审查论证后，市自然资源部门会同农业农村部门予以备案并发放备案凭证，本项目实施主体即</w:t>
            </w:r>
            <w:r>
              <w:rPr>
                <w:rFonts w:hint="eastAsia"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持备案凭证方可实施表土剥离、运输、存储和利用。</w:t>
            </w:r>
          </w:p>
          <w:p w14:paraId="42CE5B18">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剥离土壤存储地点的选取应遵循就近存储、易于存放、专人管理的原则，应综合考虑运距、利用成本及对周边环境的影响等因素，尽量利用闲置建设用地和未利用地，避让永久基本农田和生态保护红线、水源地等重点区域。</w:t>
            </w:r>
          </w:p>
          <w:p w14:paraId="2EDC322E">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土壤存储地点经所在乡（镇）村选取，经</w:t>
            </w:r>
            <w:r>
              <w:rPr>
                <w:rFonts w:hint="default" w:ascii="Times New Roman" w:hAnsi="Times New Roman" w:eastAsia="宋体" w:cs="Times New Roman"/>
                <w:color w:val="auto"/>
                <w:highlight w:val="none"/>
                <w:lang w:eastAsia="zh-CN"/>
              </w:rPr>
              <w:t>绥化市</w:t>
            </w:r>
            <w:r>
              <w:rPr>
                <w:rFonts w:hint="default" w:ascii="Times New Roman" w:hAnsi="Times New Roman" w:eastAsia="宋体" w:cs="Times New Roman"/>
                <w:color w:val="auto"/>
                <w:highlight w:val="none"/>
              </w:rPr>
              <w:t>自然资源、农业农村部门审核，在取得同意后方可使用。因工程原因确需自行存放的，存放场地内容一并纳入耕地耕作层土壤剥离利用方案。</w:t>
            </w:r>
          </w:p>
          <w:p w14:paraId="058D282D">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土壤存储应按照相关技术规范采取必要的工程防护和土壤养护措施，防止出现水土流失、土壤质量退化和安全隐患。实施主体即</w:t>
            </w:r>
            <w:r>
              <w:rPr>
                <w:rFonts w:hint="eastAsia"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对存储土壤承担管护责任。</w:t>
            </w:r>
          </w:p>
          <w:p w14:paraId="77ED8A75">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表土剥离实施完毕后，实施主体即</w:t>
            </w:r>
            <w:r>
              <w:rPr>
                <w:rFonts w:hint="eastAsia" w:cs="Times New Roman"/>
                <w:color w:val="auto"/>
                <w:highlight w:val="none"/>
                <w:lang w:eastAsia="zh-CN"/>
              </w:rPr>
              <w:t>庆安县中小型水利工程建设管理中心</w:t>
            </w:r>
            <w:r>
              <w:rPr>
                <w:rFonts w:hint="default" w:ascii="Times New Roman" w:hAnsi="Times New Roman" w:eastAsia="宋体" w:cs="Times New Roman"/>
                <w:color w:val="auto"/>
                <w:highlight w:val="none"/>
              </w:rPr>
              <w:t>应及时提出验收申请，分段实施的项目，可以分段申请验收。由市自然资源部门会同农业农村部门组织验收。对验收不合格的，要求实施单位立即进行整改，待验收合格后，方可实施土地供应和开工建设。</w:t>
            </w:r>
          </w:p>
          <w:p w14:paraId="0BA345F9">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剥离土壤的利用应综合考虑存储、管护、运输等因素，做到剥离和利用紧密衔接。尽量做到</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即剥即用</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就近利用</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主体工程区剥离的表土堆置在主体工程范围内，</w:t>
            </w:r>
            <w:r>
              <w:rPr>
                <w:rFonts w:hint="default" w:ascii="Times New Roman" w:hAnsi="Times New Roman" w:eastAsia="宋体" w:cs="Times New Roman"/>
                <w:color w:val="auto"/>
                <w:highlight w:val="none"/>
              </w:rPr>
              <w:t>施工生产生活区剥离的表土堆置在施工生产生活区内一侧，表土堆置不新增临时占地</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堆置期间加强防护，坡脚用编织袋填筑土埂压盖并拦挡，表面密目网覆盖，避免施工期间水土流失。</w:t>
            </w:r>
            <w:r>
              <w:rPr>
                <w:rFonts w:hint="default" w:ascii="Times New Roman" w:hAnsi="Times New Roman" w:eastAsia="宋体" w:cs="Times New Roman"/>
                <w:color w:val="auto"/>
                <w:highlight w:val="none"/>
              </w:rPr>
              <w:t>按照表土剥离实施方案用于土地整治、高标准农田建设、土地复垦、生态修复等项目，以及新开垦耕地、劣质地或者受污染耕地的风险管控和修复、苗床苗圃用土、其他耕地土壤改良等农业生产生活。</w:t>
            </w:r>
          </w:p>
          <w:p w14:paraId="2EA650DB">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cs="Times New Roman"/>
                <w:color w:val="auto"/>
                <w:highlight w:val="none"/>
                <w:lang w:val="en-US" w:eastAsia="zh-CN"/>
              </w:rPr>
              <w:t>6</w:t>
            </w:r>
            <w:r>
              <w:rPr>
                <w:rFonts w:hint="default" w:ascii="Times New Roman" w:hAnsi="Times New Roman" w:eastAsia="宋体" w:cs="Times New Roman"/>
                <w:color w:val="auto"/>
                <w:highlight w:val="none"/>
              </w:rPr>
              <w:t>、与《黑龙江省耕地保护条例》符合性分析</w:t>
            </w:r>
          </w:p>
          <w:p w14:paraId="2900BD9C">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（1）相关内容</w:t>
            </w:r>
          </w:p>
          <w:p w14:paraId="3D55124A">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十三条非农业建设可以利用非耕地的，不得占用耕地。经依法批准占用耕地的，用地单位应当负责开垦与所占用耕地数量、质量相当的耕地；没有条件开垦或者开垦的耕地不符合要求的，应当向县以上国土资源行政主管部门缴纳耕地开垦费，专款用于开垦新的耕地；耕地储备资源不足的，依法实行易地占补。</w:t>
            </w:r>
          </w:p>
          <w:p w14:paraId="16837F2F">
            <w:pPr>
              <w:pStyle w:val="8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（2）符合性分析</w:t>
            </w:r>
          </w:p>
          <w:p w14:paraId="48F01990">
            <w:pPr>
              <w:pStyle w:val="84"/>
              <w:rPr>
                <w:rFonts w:hint="default" w:ascii="Times New Roman" w:hAnsi="Times New Roman" w:eastAsia="宋体" w:cs="Times New Roman"/>
                <w:color w:val="auto"/>
                <w:highlight w:val="yellow"/>
              </w:rPr>
            </w:pPr>
            <w:r>
              <w:rPr>
                <w:rFonts w:hint="default" w:ascii="Times New Roman" w:hAnsi="Times New Roman" w:eastAsia="宋体" w:cs="Times New Roman"/>
                <w:color w:val="auto"/>
                <w:highlight w:val="yellow"/>
              </w:rPr>
              <w:t>本次环评提出建设单位对于项目所占的耕地应采取</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先补后占</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方式，落实</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谁占谁补</w:t>
            </w:r>
            <w:r>
              <w:rPr>
                <w:rFonts w:hint="default" w:ascii="Times New Roman" w:hAnsi="Times New Roman" w:cs="Times New Roman"/>
                <w:color w:val="auto"/>
                <w:highlight w:val="yellow"/>
                <w:lang w:eastAsia="zh-CN"/>
              </w:rPr>
              <w:t>"</w:t>
            </w:r>
            <w:r>
              <w:rPr>
                <w:rFonts w:hint="default" w:ascii="Times New Roman" w:hAnsi="Times New Roman" w:eastAsia="宋体" w:cs="Times New Roman"/>
                <w:color w:val="auto"/>
                <w:highlight w:val="yellow"/>
              </w:rPr>
              <w:t>原则，缴纳耕地开垦费，实现占补平衡。因此，本项目的建设符合《黑龙江省耕地保护条例》。</w:t>
            </w:r>
          </w:p>
          <w:p w14:paraId="1AD048B8">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、与《建设项目临时使用草原地表土剥离利用技术规范》（DB23/T3746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2024）、《建设项目临时使用林地表土剥离利用技术规范》（DB23/T3744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2024）符合性分析</w:t>
            </w:r>
          </w:p>
          <w:p w14:paraId="4EBBA2F3">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本项目永久占用草地</w:t>
            </w:r>
            <w:r>
              <w:rPr>
                <w:rFonts w:hint="eastAsia" w:cs="Times New Roman"/>
                <w:color w:val="auto"/>
                <w:highlight w:val="none"/>
                <w:lang w:val="en-US" w:eastAsia="zh-CN"/>
              </w:rPr>
              <w:t>1.65</w:t>
            </w:r>
            <w:r>
              <w:rPr>
                <w:rFonts w:hint="default" w:ascii="Times New Roman" w:hAnsi="Times New Roman" w:eastAsia="宋体" w:cs="Times New Roman"/>
                <w:color w:val="auto"/>
                <w:highlight w:val="none"/>
                <w:lang w:val="en-US" w:eastAsia="zh-CN"/>
              </w:rPr>
              <w:t>亩、林地1</w:t>
            </w:r>
            <w:r>
              <w:rPr>
                <w:rFonts w:hint="eastAsia" w:cs="Times New Roman"/>
                <w:color w:val="auto"/>
                <w:highlight w:val="none"/>
                <w:lang w:val="en-US" w:eastAsia="zh-CN"/>
              </w:rPr>
              <w:t>3.49</w:t>
            </w:r>
            <w:r>
              <w:rPr>
                <w:rFonts w:hint="default" w:ascii="Times New Roman" w:hAnsi="Times New Roman" w:eastAsia="宋体" w:cs="Times New Roman"/>
                <w:color w:val="auto"/>
                <w:highlight w:val="none"/>
                <w:lang w:val="en-US" w:eastAsia="zh-CN"/>
              </w:rPr>
              <w:t>亩。临时占用草地</w:t>
            </w:r>
            <w:r>
              <w:rPr>
                <w:rFonts w:hint="eastAsia" w:cs="Times New Roman"/>
                <w:color w:val="auto"/>
                <w:highlight w:val="none"/>
                <w:lang w:val="en-US" w:eastAsia="zh-CN"/>
              </w:rPr>
              <w:t>1.05</w:t>
            </w:r>
            <w:r>
              <w:rPr>
                <w:rFonts w:hint="default" w:ascii="Times New Roman" w:hAnsi="Times New Roman" w:eastAsia="宋体" w:cs="Times New Roman"/>
                <w:color w:val="auto"/>
                <w:highlight w:val="none"/>
                <w:lang w:val="en-US" w:eastAsia="zh-CN"/>
              </w:rPr>
              <w:t>亩、林地</w:t>
            </w:r>
            <w:r>
              <w:rPr>
                <w:rFonts w:hint="eastAsia" w:cs="Times New Roman"/>
                <w:color w:val="auto"/>
                <w:highlight w:val="none"/>
                <w:lang w:val="en-US" w:eastAsia="zh-CN"/>
              </w:rPr>
              <w:t>0.90</w:t>
            </w:r>
            <w:r>
              <w:rPr>
                <w:rFonts w:hint="default" w:ascii="Times New Roman" w:hAnsi="Times New Roman" w:eastAsia="宋体" w:cs="Times New Roman"/>
                <w:color w:val="auto"/>
                <w:highlight w:val="none"/>
                <w:lang w:val="en-US" w:eastAsia="zh-CN"/>
              </w:rPr>
              <w:t>亩，表土剥离方案同步编制中，DB23/T3746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2024和DB23/T3744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2024中均规定</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根据方案和现场实际的表土层厚度，划分表土剥离单元，分别确定每个单元的表土剥离厚度。在应剥尽剥的前提下，剥离厚度应&gt;15c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本次根据项目区实际情况，草地剥离厚度为</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0</w:t>
            </w:r>
            <w:r>
              <w:rPr>
                <w:rFonts w:hint="default" w:ascii="Times New Roman" w:hAnsi="Times New Roman" w:eastAsia="宋体" w:cs="Times New Roman"/>
                <w:color w:val="auto"/>
                <w:highlight w:val="none"/>
                <w:lang w:val="en-US" w:eastAsia="zh-CN"/>
              </w:rPr>
              <w:t>c</w:t>
            </w:r>
            <w:r>
              <w:rPr>
                <w:rFonts w:hint="default" w:ascii="Times New Roman" w:hAnsi="Times New Roman"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将剥离表土堆置于施工生产生活区内，采用密目网覆盖，坡脚用编织袋填筑土埂拦挡，并设置排水沟。项目施工结束后对临时占地全部恢复原地类，剥离表土回用至原区域，施工结束后进行植被恢复。施工中要求避开暴雨期，减少冲刷，运输车辆采取密闭措施。计划在施工结束后1年内进行生态监测，评估植被恢复情况。因此，符合《建设项目临时使用草原地表土剥离利用技术规范》（DB23/T3746</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2024）、《建设项目临时使用林地表土剥离利用技术规范》（DB23/T3744</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2024）中相关要求。</w:t>
            </w:r>
          </w:p>
          <w:p w14:paraId="7F8FF79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、与《绥化市国土空间总体规划（2021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2035年）》符合性分析</w:t>
            </w:r>
          </w:p>
          <w:p w14:paraId="78284C48">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绥化市国土空间总体规划明确加强主要河段禁建区岸带修复管理。加强重点河段景观林和防护林工程建设，完善生态隔离带、加强水土流失治理，保障饮用水安全。松花江、呼兰河岸线的禁止建设地区必须满足绥化对于松花江、呼兰河堤防的相关要求，其他河道两岸的禁止建设带的划定范围为防洪堤内上侧起向外扩展30</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100米。开展水环境系统与陆地生态系统过渡带建设，采用自然原型、半改造型和人工护岸相结合的方式，将岸带生态服务功能供给、生态安全、渗滤过滤等功能相结合，构建生态堤坝。市域输水干渠两侧20米范围内为禁止建设区，构建以当地适生物种为主的河岸生态廊道，在满足景观和河道生态安全的前提下科学配置。</w:t>
            </w:r>
          </w:p>
          <w:p w14:paraId="7D6C9C99">
            <w:pPr>
              <w:pStyle w:val="8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本项目的建设可增大过流断面面积，增大河道行洪能力，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w:t>
            </w:r>
            <w:r>
              <w:rPr>
                <w:rFonts w:hint="default" w:ascii="Times New Roman" w:hAnsi="Times New Roman" w:eastAsia="宋体" w:cs="Times New Roman"/>
                <w:color w:val="auto"/>
                <w:highlight w:val="none"/>
                <w:lang w:val="en-US" w:eastAsia="zh-CN"/>
              </w:rPr>
              <w:t>，与规划《绥化市国土空间总体规划（2021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2035年）》的目标一致。</w:t>
            </w:r>
          </w:p>
          <w:p w14:paraId="73B5C79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综上所述，本项目符合《绥化市国土空间总体规划（2021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w:t>
            </w:r>
          </w:p>
          <w:p w14:paraId="041FBEA4">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、与《庆安县国土空间总体规划（2021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2035年）》符合性分析</w:t>
            </w:r>
          </w:p>
          <w:p w14:paraId="44AB6E6C">
            <w:pPr>
              <w:pStyle w:val="8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庆安县国土空间总体规划中明确提出</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采取综合手段，如整治堤线、堤防加高培厚、清障、江道及滩岛整治等常规措施，并辅以河底清淤、上游沿岸植树造林、水土保持等必要辅助措施及修建上游调节水库等，提高综合防洪能力。</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的要求。</w:t>
            </w:r>
          </w:p>
          <w:p w14:paraId="6B96BA9E">
            <w:pPr>
              <w:pStyle w:val="84"/>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本项目的建设可增大过流断面面积，增大河道行洪能力，</w:t>
            </w:r>
            <w:r>
              <w:rPr>
                <w:rFonts w:hint="default" w:ascii="Times New Roman" w:hAnsi="Times New Roman" w:eastAsia="宋体" w:cs="Times New Roman"/>
                <w:color w:val="auto"/>
                <w:highlight w:val="none"/>
              </w:rPr>
              <w:t>稳固的格宾石笼结构有效防止河岸坍塌，保障行洪通道畅通无阻，显著提升河道行洪能力，降低城市内涝风险</w:t>
            </w:r>
            <w:r>
              <w:rPr>
                <w:rFonts w:hint="default" w:ascii="Times New Roman" w:hAnsi="Times New Roman" w:eastAsia="宋体" w:cs="Times New Roman"/>
                <w:color w:val="auto"/>
                <w:highlight w:val="none"/>
                <w:lang w:val="en-US" w:eastAsia="zh-CN"/>
              </w:rPr>
              <w:t>，本项目符合《庆安县国土空间总体规划（2021</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2035年）》。</w:t>
            </w:r>
          </w:p>
          <w:p w14:paraId="1135E683">
            <w:pPr>
              <w:pStyle w:val="84"/>
              <w:bidi w:val="0"/>
              <w:rPr>
                <w:rFonts w:hint="default" w:ascii="Times New Roman" w:hAnsi="Times New Roman" w:eastAsia="宋体" w:cs="Times New Roman"/>
                <w:color w:val="auto"/>
                <w:highlight w:val="none"/>
                <w:lang w:val="en-US" w:eastAsia="zh-CN"/>
              </w:rPr>
            </w:pPr>
          </w:p>
          <w:p w14:paraId="24D9B0D5">
            <w:pPr>
              <w:pStyle w:val="84"/>
              <w:bidi w:val="0"/>
              <w:rPr>
                <w:rFonts w:hint="default" w:ascii="Times New Roman" w:hAnsi="Times New Roman" w:eastAsia="宋体" w:cs="Times New Roman"/>
                <w:color w:val="auto"/>
                <w:highlight w:val="none"/>
                <w:lang w:val="en-US" w:eastAsia="zh-CN"/>
              </w:rPr>
            </w:pPr>
          </w:p>
          <w:p w14:paraId="32243BA2">
            <w:pPr>
              <w:pStyle w:val="84"/>
              <w:bidi w:val="0"/>
              <w:rPr>
                <w:rFonts w:hint="default" w:ascii="Times New Roman" w:hAnsi="Times New Roman" w:eastAsia="宋体" w:cs="Times New Roman"/>
                <w:color w:val="auto"/>
                <w:highlight w:val="none"/>
                <w:lang w:val="en-US" w:eastAsia="zh-CN"/>
              </w:rPr>
            </w:pPr>
          </w:p>
          <w:p w14:paraId="46A5DA32">
            <w:pPr>
              <w:pStyle w:val="84"/>
              <w:bidi w:val="0"/>
              <w:rPr>
                <w:rFonts w:hint="default" w:ascii="Times New Roman" w:hAnsi="Times New Roman" w:eastAsia="宋体" w:cs="Times New Roman"/>
                <w:color w:val="auto"/>
                <w:highlight w:val="none"/>
                <w:lang w:val="en-US" w:eastAsia="zh-CN"/>
              </w:rPr>
            </w:pPr>
          </w:p>
          <w:p w14:paraId="706E0235">
            <w:pPr>
              <w:pStyle w:val="84"/>
              <w:bidi w:val="0"/>
              <w:rPr>
                <w:rFonts w:hint="default" w:ascii="Times New Roman" w:hAnsi="Times New Roman" w:eastAsia="宋体" w:cs="Times New Roman"/>
                <w:color w:val="auto"/>
                <w:highlight w:val="none"/>
                <w:lang w:val="en-US" w:eastAsia="zh-CN"/>
              </w:rPr>
            </w:pPr>
          </w:p>
          <w:p w14:paraId="4F0598A3">
            <w:pPr>
              <w:pStyle w:val="84"/>
              <w:bidi w:val="0"/>
              <w:rPr>
                <w:rFonts w:hint="default" w:ascii="Times New Roman" w:hAnsi="Times New Roman" w:eastAsia="宋体" w:cs="Times New Roman"/>
                <w:color w:val="auto"/>
                <w:highlight w:val="none"/>
                <w:lang w:val="en-US" w:eastAsia="zh-CN"/>
              </w:rPr>
            </w:pPr>
          </w:p>
          <w:p w14:paraId="6C9708C1">
            <w:pPr>
              <w:pStyle w:val="84"/>
              <w:bidi w:val="0"/>
              <w:rPr>
                <w:rFonts w:hint="default" w:ascii="Times New Roman" w:hAnsi="Times New Roman" w:eastAsia="宋体" w:cs="Times New Roman"/>
                <w:color w:val="auto"/>
                <w:highlight w:val="none"/>
                <w:lang w:val="en-US" w:eastAsia="zh-CN"/>
              </w:rPr>
            </w:pPr>
          </w:p>
          <w:p w14:paraId="043C0416">
            <w:pPr>
              <w:pStyle w:val="84"/>
              <w:bidi w:val="0"/>
              <w:rPr>
                <w:rFonts w:hint="default" w:ascii="Times New Roman" w:hAnsi="Times New Roman" w:eastAsia="宋体" w:cs="Times New Roman"/>
                <w:color w:val="auto"/>
                <w:highlight w:val="none"/>
                <w:lang w:val="en-US" w:eastAsia="zh-CN"/>
              </w:rPr>
            </w:pPr>
          </w:p>
          <w:p w14:paraId="0630C574">
            <w:pPr>
              <w:pStyle w:val="84"/>
              <w:bidi w:val="0"/>
              <w:rPr>
                <w:rFonts w:hint="default" w:ascii="Times New Roman" w:hAnsi="Times New Roman" w:eastAsia="宋体" w:cs="Times New Roman"/>
                <w:color w:val="auto"/>
                <w:highlight w:val="none"/>
                <w:lang w:val="en-US" w:eastAsia="zh-CN"/>
              </w:rPr>
            </w:pPr>
          </w:p>
          <w:p w14:paraId="4414CC86">
            <w:pPr>
              <w:pStyle w:val="84"/>
              <w:bidi w:val="0"/>
              <w:rPr>
                <w:rFonts w:hint="default" w:ascii="Times New Roman" w:hAnsi="Times New Roman" w:eastAsia="宋体" w:cs="Times New Roman"/>
                <w:color w:val="auto"/>
                <w:highlight w:val="none"/>
                <w:lang w:val="en-US" w:eastAsia="zh-CN"/>
              </w:rPr>
            </w:pPr>
          </w:p>
          <w:p w14:paraId="4E455242">
            <w:pPr>
              <w:pStyle w:val="84"/>
              <w:bidi w:val="0"/>
              <w:rPr>
                <w:rFonts w:hint="default" w:ascii="Times New Roman" w:hAnsi="Times New Roman" w:eastAsia="宋体" w:cs="Times New Roman"/>
                <w:color w:val="auto"/>
                <w:highlight w:val="none"/>
                <w:lang w:val="en-US" w:eastAsia="zh-CN"/>
              </w:rPr>
            </w:pPr>
          </w:p>
          <w:p w14:paraId="3981006F">
            <w:pPr>
              <w:pStyle w:val="84"/>
              <w:bidi w:val="0"/>
              <w:rPr>
                <w:rFonts w:hint="default" w:ascii="Times New Roman" w:hAnsi="Times New Roman" w:eastAsia="宋体" w:cs="Times New Roman"/>
                <w:color w:val="auto"/>
                <w:highlight w:val="none"/>
                <w:lang w:val="en-US" w:eastAsia="zh-CN"/>
              </w:rPr>
            </w:pPr>
          </w:p>
          <w:p w14:paraId="22256CF4">
            <w:pPr>
              <w:pStyle w:val="84"/>
              <w:bidi w:val="0"/>
              <w:rPr>
                <w:rFonts w:hint="default" w:ascii="Times New Roman" w:hAnsi="Times New Roman" w:eastAsia="宋体" w:cs="Times New Roman"/>
                <w:color w:val="auto"/>
                <w:highlight w:val="none"/>
                <w:lang w:val="en-US" w:eastAsia="zh-CN"/>
              </w:rPr>
            </w:pPr>
          </w:p>
          <w:p w14:paraId="17606971">
            <w:pPr>
              <w:pStyle w:val="84"/>
              <w:bidi w:val="0"/>
              <w:rPr>
                <w:rFonts w:hint="default" w:ascii="Times New Roman" w:hAnsi="Times New Roman" w:eastAsia="宋体" w:cs="Times New Roman"/>
                <w:color w:val="auto"/>
                <w:highlight w:val="none"/>
                <w:lang w:val="en-US" w:eastAsia="zh-CN"/>
              </w:rPr>
            </w:pPr>
          </w:p>
          <w:p w14:paraId="40680213">
            <w:pPr>
              <w:pStyle w:val="84"/>
              <w:bidi w:val="0"/>
              <w:rPr>
                <w:rFonts w:hint="default" w:ascii="Times New Roman" w:hAnsi="Times New Roman" w:eastAsia="宋体" w:cs="Times New Roman"/>
                <w:color w:val="auto"/>
                <w:highlight w:val="none"/>
                <w:lang w:val="en-US" w:eastAsia="zh-CN"/>
              </w:rPr>
            </w:pPr>
          </w:p>
          <w:p w14:paraId="3C72C9F9">
            <w:pPr>
              <w:pStyle w:val="84"/>
              <w:bidi w:val="0"/>
              <w:rPr>
                <w:rFonts w:hint="default" w:ascii="Times New Roman" w:hAnsi="Times New Roman" w:eastAsia="宋体" w:cs="Times New Roman"/>
                <w:color w:val="auto"/>
                <w:highlight w:val="none"/>
                <w:lang w:val="en-US" w:eastAsia="zh-CN"/>
              </w:rPr>
            </w:pPr>
          </w:p>
          <w:p w14:paraId="646A0FCE">
            <w:pPr>
              <w:pStyle w:val="84"/>
              <w:bidi w:val="0"/>
              <w:rPr>
                <w:rFonts w:hint="default" w:ascii="Times New Roman" w:hAnsi="Times New Roman" w:eastAsia="宋体" w:cs="Times New Roman"/>
                <w:color w:val="auto"/>
                <w:highlight w:val="none"/>
                <w:lang w:val="en-US" w:eastAsia="zh-CN"/>
              </w:rPr>
            </w:pPr>
          </w:p>
          <w:p w14:paraId="29134B7B">
            <w:pPr>
              <w:pStyle w:val="84"/>
              <w:bidi w:val="0"/>
              <w:rPr>
                <w:rFonts w:hint="default" w:ascii="Times New Roman" w:hAnsi="Times New Roman" w:eastAsia="宋体" w:cs="Times New Roman"/>
                <w:color w:val="auto"/>
                <w:highlight w:val="none"/>
                <w:lang w:val="en-US" w:eastAsia="zh-CN"/>
              </w:rPr>
            </w:pPr>
          </w:p>
          <w:p w14:paraId="7AE13BDF">
            <w:pPr>
              <w:pStyle w:val="84"/>
              <w:bidi w:val="0"/>
              <w:rPr>
                <w:rFonts w:hint="default" w:ascii="Times New Roman" w:hAnsi="Times New Roman" w:eastAsia="宋体" w:cs="Times New Roman"/>
                <w:color w:val="auto"/>
                <w:highlight w:val="none"/>
                <w:lang w:val="en-US" w:eastAsia="zh-CN"/>
              </w:rPr>
            </w:pPr>
          </w:p>
          <w:p w14:paraId="662C94CA">
            <w:pPr>
              <w:pStyle w:val="84"/>
              <w:bidi w:val="0"/>
              <w:rPr>
                <w:rFonts w:hint="default" w:ascii="Times New Roman" w:hAnsi="Times New Roman" w:eastAsia="宋体" w:cs="Times New Roman"/>
                <w:color w:val="auto"/>
                <w:highlight w:val="none"/>
                <w:lang w:val="en-US" w:eastAsia="zh-CN"/>
              </w:rPr>
            </w:pPr>
          </w:p>
          <w:p w14:paraId="109CA4FF">
            <w:pPr>
              <w:pStyle w:val="84"/>
              <w:bidi w:val="0"/>
              <w:rPr>
                <w:rFonts w:hint="default" w:ascii="Times New Roman" w:hAnsi="Times New Roman" w:eastAsia="宋体" w:cs="Times New Roman"/>
                <w:color w:val="auto"/>
                <w:highlight w:val="none"/>
                <w:lang w:val="en-US" w:eastAsia="zh-CN"/>
              </w:rPr>
            </w:pPr>
          </w:p>
          <w:p w14:paraId="56DE12E2">
            <w:pPr>
              <w:pStyle w:val="84"/>
              <w:bidi w:val="0"/>
              <w:rPr>
                <w:rFonts w:hint="default" w:ascii="Times New Roman" w:hAnsi="Times New Roman" w:eastAsia="宋体" w:cs="Times New Roman"/>
                <w:color w:val="auto"/>
                <w:highlight w:val="none"/>
                <w:lang w:val="en-US" w:eastAsia="zh-CN"/>
              </w:rPr>
            </w:pPr>
          </w:p>
          <w:p w14:paraId="50EBF7C2">
            <w:pPr>
              <w:pStyle w:val="84"/>
              <w:bidi w:val="0"/>
              <w:rPr>
                <w:rFonts w:hint="default" w:ascii="Times New Roman" w:hAnsi="Times New Roman" w:eastAsia="宋体" w:cs="Times New Roman"/>
                <w:color w:val="auto"/>
                <w:highlight w:val="none"/>
                <w:lang w:val="en-US" w:eastAsia="zh-CN"/>
              </w:rPr>
            </w:pPr>
          </w:p>
          <w:p w14:paraId="627AA99A">
            <w:pPr>
              <w:pStyle w:val="84"/>
              <w:bidi w:val="0"/>
              <w:rPr>
                <w:rFonts w:hint="default" w:ascii="Times New Roman" w:hAnsi="Times New Roman" w:eastAsia="宋体" w:cs="Times New Roman"/>
                <w:color w:val="auto"/>
                <w:highlight w:val="none"/>
                <w:lang w:val="en-US" w:eastAsia="zh-CN"/>
              </w:rPr>
            </w:pPr>
          </w:p>
        </w:tc>
      </w:tr>
    </w:tbl>
    <w:p w14:paraId="168522DB">
      <w:pPr>
        <w:spacing w:line="360" w:lineRule="auto"/>
        <w:ind w:firstLine="600"/>
        <w:outlineLvl w:val="0"/>
        <w:rPr>
          <w:rFonts w:hint="default" w:ascii="Times New Roman" w:hAnsi="Times New Roman" w:cs="Times New Roman"/>
          <w:color w:val="auto"/>
          <w:sz w:val="30"/>
          <w:highlight w:val="none"/>
        </w:rPr>
        <w:sectPr>
          <w:footerReference r:id="rId5" w:type="default"/>
          <w:pgSz w:w="11906" w:h="16838"/>
          <w:pgMar w:top="1701" w:right="1531" w:bottom="1701" w:left="1531" w:header="851" w:footer="1077" w:gutter="0"/>
          <w:pgNumType w:start="1"/>
          <w:cols w:space="720" w:num="1"/>
          <w:docGrid w:linePitch="312" w:charSpace="0"/>
        </w:sectPr>
      </w:pPr>
    </w:p>
    <w:p w14:paraId="799ECAA1">
      <w:pPr>
        <w:pStyle w:val="4"/>
        <w:bidi w:val="0"/>
        <w:jc w:val="center"/>
        <w:rPr>
          <w:rFonts w:hint="default" w:ascii="Times New Roman" w:hAnsi="Times New Roman" w:eastAsia="宋体" w:cs="Times New Roman"/>
          <w:b/>
          <w:snapToGrid w:val="0"/>
          <w:color w:val="auto"/>
          <w:szCs w:val="30"/>
          <w:highlight w:val="none"/>
        </w:rPr>
      </w:pPr>
      <w:bookmarkStart w:id="10" w:name="_Toc1440"/>
      <w:bookmarkStart w:id="11" w:name="_Toc16941"/>
      <w:bookmarkStart w:id="81" w:name="_GoBack"/>
      <w:bookmarkEnd w:id="81"/>
      <w:r>
        <w:rPr>
          <w:rFonts w:hint="default" w:ascii="Times New Roman" w:hAnsi="Times New Roman" w:eastAsia="宋体" w:cs="Times New Roman"/>
          <w:highlight w:val="none"/>
        </w:rPr>
        <w:t>二、建设内容</w:t>
      </w:r>
      <w:bookmarkEnd w:id="10"/>
      <w:bookmarkEnd w:id="11"/>
    </w:p>
    <w:tbl>
      <w:tblPr>
        <w:tblStyle w:val="25"/>
        <w:tblW w:w="56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147"/>
      </w:tblGrid>
      <w:tr w14:paraId="1B68C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237" w:type="pct"/>
            <w:noWrap w:val="0"/>
            <w:vAlign w:val="center"/>
          </w:tcPr>
          <w:p w14:paraId="0BBAED4C">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地理位置</w:t>
            </w:r>
          </w:p>
        </w:tc>
        <w:tc>
          <w:tcPr>
            <w:tcW w:w="4762" w:type="pct"/>
            <w:noWrap w:val="0"/>
            <w:vAlign w:val="center"/>
          </w:tcPr>
          <w:p w14:paraId="6651770D">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本次工程地点位于</w:t>
            </w:r>
            <w:r>
              <w:rPr>
                <w:rFonts w:hint="default" w:ascii="Times New Roman" w:hAnsi="Times New Roman" w:cs="Times New Roman"/>
                <w:color w:val="auto"/>
                <w:highlight w:val="none"/>
                <w:lang w:val="en-US" w:eastAsia="zh-CN"/>
              </w:rPr>
              <w:t>黑龙江省绥化市</w:t>
            </w:r>
            <w:r>
              <w:rPr>
                <w:color w:val="000000"/>
                <w:szCs w:val="22"/>
                <w:highlight w:val="none"/>
              </w:rPr>
              <w:t>庆安县内，吉庆路附近</w:t>
            </w:r>
            <w:r>
              <w:rPr>
                <w:rFonts w:hint="eastAsia" w:cs="Times New Roman"/>
                <w:color w:val="auto"/>
                <w:highlight w:val="none"/>
                <w:lang w:val="en-US" w:eastAsia="zh-CN"/>
              </w:rPr>
              <w:t>。</w:t>
            </w:r>
            <w:r>
              <w:rPr>
                <w:rFonts w:hint="default" w:ascii="Times New Roman" w:hAnsi="Times New Roman" w:cs="Times New Roman"/>
                <w:color w:val="auto"/>
                <w:highlight w:val="none"/>
                <w:lang w:eastAsia="zh-CN"/>
              </w:rPr>
              <w:t>格木克河是呼兰河左岸一级支流，发源于庆安县庙岭山北麓，自南向北流，流经巨宝山乡、大罗镇、新胜乡、丰收乡、庆安镇后在久胜镇欢胜乡么窝屯西北汇入呼兰河。河源高程240</w:t>
            </w:r>
            <w:r>
              <w:rPr>
                <w:rFonts w:hint="eastAsia" w:cs="Times New Roman"/>
                <w:color w:val="auto"/>
                <w:highlight w:val="none"/>
                <w:lang w:val="en-US" w:eastAsia="zh-CN"/>
              </w:rPr>
              <w:t>m</w:t>
            </w:r>
            <w:r>
              <w:rPr>
                <w:rFonts w:hint="default" w:ascii="Times New Roman" w:hAnsi="Times New Roman" w:cs="Times New Roman"/>
                <w:color w:val="auto"/>
                <w:highlight w:val="none"/>
                <w:lang w:eastAsia="zh-CN"/>
              </w:rPr>
              <w:t>，干流总长92</w:t>
            </w:r>
            <w:r>
              <w:rPr>
                <w:rFonts w:hint="eastAsia" w:cs="Times New Roman"/>
                <w:color w:val="auto"/>
                <w:highlight w:val="none"/>
                <w:lang w:val="en-US" w:eastAsia="zh-CN"/>
              </w:rPr>
              <w:t>km</w:t>
            </w:r>
            <w:r>
              <w:rPr>
                <w:rFonts w:hint="default" w:ascii="Times New Roman" w:hAnsi="Times New Roman" w:cs="Times New Roman"/>
                <w:color w:val="auto"/>
                <w:highlight w:val="none"/>
                <w:lang w:eastAsia="zh-CN"/>
              </w:rPr>
              <w:t>，河道弯曲系数1.42，河口处高程158</w:t>
            </w:r>
            <w:r>
              <w:rPr>
                <w:rFonts w:hint="eastAsia" w:cs="Times New Roman"/>
                <w:color w:val="auto"/>
                <w:highlight w:val="none"/>
                <w:lang w:val="en-US" w:eastAsia="zh-CN"/>
              </w:rPr>
              <w:t>m</w:t>
            </w:r>
            <w:r>
              <w:rPr>
                <w:rFonts w:hint="default" w:ascii="Times New Roman" w:hAnsi="Times New Roman" w:cs="Times New Roman"/>
                <w:color w:val="auto"/>
                <w:highlight w:val="none"/>
                <w:lang w:eastAsia="zh-CN"/>
              </w:rPr>
              <w:t>，自大顶山水库以下河道平均比降为1/1390。格木克河流域面积791</w:t>
            </w:r>
            <w:r>
              <w:rPr>
                <w:rFonts w:hint="eastAsia" w:cs="Times New Roman"/>
                <w:color w:val="auto"/>
                <w:highlight w:val="none"/>
                <w:lang w:val="en-US" w:eastAsia="zh-CN"/>
              </w:rPr>
              <w:t>km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，行政区划均位于庆安县境内。格木克河为季节性河流，</w:t>
            </w:r>
            <w:r>
              <w:rPr>
                <w:rFonts w:hint="eastAsia" w:cs="Times New Roman"/>
                <w:color w:val="auto"/>
                <w:highlight w:val="none"/>
                <w:lang w:val="en-US" w:eastAsia="zh-CN"/>
              </w:rPr>
              <w:t>冬季常常断流</w:t>
            </w:r>
            <w:r>
              <w:rPr>
                <w:rFonts w:hint="default" w:ascii="Times New Roman" w:hAnsi="Times New Roman" w:cs="Times New Roman"/>
                <w:color w:val="auto"/>
                <w:highlight w:val="none"/>
                <w:lang w:eastAsia="zh-CN"/>
              </w:rPr>
              <w:t>。</w:t>
            </w:r>
          </w:p>
          <w:p w14:paraId="046C8C25">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eastAsia="zh-CN"/>
              </w:rPr>
            </w:pPr>
            <w:r>
              <w:rPr>
                <w:rFonts w:hint="eastAsia" w:cs="Times New Roman"/>
                <w:color w:val="auto"/>
                <w:sz w:val="24"/>
                <w:highlight w:val="none"/>
                <w:u w:val="none"/>
                <w:lang w:val="en-US" w:eastAsia="zh-CN"/>
              </w:rPr>
              <w:t>改道</w:t>
            </w:r>
            <w:r>
              <w:rPr>
                <w:rFonts w:hint="default" w:ascii="Times New Roman" w:hAnsi="Times New Roman" w:eastAsia="宋体" w:cs="Times New Roman"/>
                <w:color w:val="auto"/>
                <w:sz w:val="24"/>
                <w:highlight w:val="none"/>
                <w:u w:val="none"/>
              </w:rPr>
              <w:t>范围</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起点坐标为东经</w:t>
            </w:r>
            <w:r>
              <w:rPr>
                <w:rFonts w:hint="eastAsia" w:cs="Times New Roman"/>
                <w:color w:val="auto"/>
                <w:sz w:val="24"/>
                <w:highlight w:val="none"/>
                <w:u w:val="none"/>
                <w:lang w:val="en-US" w:eastAsia="zh-CN"/>
              </w:rPr>
              <w:t>127</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3</w:t>
            </w:r>
            <w:r>
              <w:rPr>
                <w:rFonts w:hint="default" w:ascii="Times New Roman" w:hAnsi="Times New Roman" w:eastAsia="宋体" w:cs="Times New Roman"/>
                <w:color w:val="auto"/>
                <w:sz w:val="24"/>
                <w:highlight w:val="none"/>
                <w:u w:val="none"/>
              </w:rPr>
              <w:t>0</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49.509</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w:t>
            </w:r>
            <w:r>
              <w:rPr>
                <w:rFonts w:hint="eastAsia"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51</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46.302</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，终点坐标为东经127</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30</w:t>
            </w:r>
            <w:r>
              <w:rPr>
                <w:rFonts w:hint="default" w:ascii="Times New Roman" w:hAnsi="Times New Roman" w:cs="Times New Roman"/>
                <w:color w:val="auto"/>
                <w:sz w:val="24"/>
                <w:highlight w:val="none"/>
                <w:u w:val="none"/>
                <w:lang w:eastAsia="zh-CN"/>
              </w:rPr>
              <w:t>ʹ</w:t>
            </w:r>
            <w:r>
              <w:rPr>
                <w:rFonts w:hint="eastAsia" w:cs="Times New Roman"/>
                <w:color w:val="auto"/>
                <w:sz w:val="24"/>
                <w:highlight w:val="none"/>
                <w:u w:val="none"/>
                <w:lang w:val="en-US" w:eastAsia="zh-CN"/>
              </w:rPr>
              <w:t>25.891</w:t>
            </w:r>
            <w:r>
              <w:rPr>
                <w:rFonts w:hint="default" w:ascii="Times New Roman" w:hAnsi="Times New Roman" w:cs="Times New Roman"/>
                <w:color w:val="auto"/>
                <w:sz w:val="24"/>
                <w:highlight w:val="none"/>
                <w:u w:val="none"/>
                <w:lang w:eastAsia="zh-CN"/>
              </w:rPr>
              <w:t>"</w:t>
            </w:r>
            <w:r>
              <w:rPr>
                <w:rFonts w:hint="default" w:ascii="Times New Roman" w:hAnsi="Times New Roman" w:eastAsia="宋体" w:cs="Times New Roman"/>
                <w:color w:val="auto"/>
                <w:sz w:val="24"/>
                <w:highlight w:val="none"/>
                <w:u w:val="none"/>
              </w:rPr>
              <w:t>，北纬4</w:t>
            </w:r>
            <w:r>
              <w:rPr>
                <w:rFonts w:hint="eastAsia"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52</w:t>
            </w:r>
            <w:r>
              <w:rPr>
                <w:rFonts w:hint="default" w:ascii="Times New Roman" w:hAnsi="Times New Roman" w:cs="Times New Roman"/>
                <w:color w:val="auto"/>
                <w:sz w:val="24"/>
                <w:highlight w:val="none"/>
                <w:u w:val="none"/>
                <w:lang w:eastAsia="zh-CN"/>
              </w:rPr>
              <w:t>'</w:t>
            </w:r>
            <w:r>
              <w:rPr>
                <w:rFonts w:hint="eastAsia" w:cs="Times New Roman"/>
                <w:color w:val="auto"/>
                <w:sz w:val="24"/>
                <w:highlight w:val="none"/>
                <w:u w:val="none"/>
                <w:lang w:val="en-US" w:eastAsia="zh-CN"/>
              </w:rPr>
              <w:t>02.745</w:t>
            </w:r>
            <w:r>
              <w:rPr>
                <w:rFonts w:hint="default" w:ascii="Times New Roman" w:hAnsi="Times New Roman" w:cs="Times New Roman"/>
                <w:color w:val="auto"/>
                <w:sz w:val="24"/>
                <w:highlight w:val="none"/>
                <w:u w:val="none"/>
                <w:lang w:eastAsia="zh-CN"/>
              </w:rPr>
              <w:t>"</w:t>
            </w:r>
            <w:r>
              <w:rPr>
                <w:rFonts w:hint="default" w:ascii="Times New Roman" w:hAnsi="Times New Roman" w:cs="Times New Roman"/>
                <w:color w:val="auto"/>
                <w:highlight w:val="none"/>
              </w:rPr>
              <w:t>，</w:t>
            </w:r>
            <w:r>
              <w:rPr>
                <w:rFonts w:hint="eastAsia" w:cs="Times New Roman"/>
                <w:color w:val="auto"/>
                <w:highlight w:val="none"/>
                <w:lang w:val="en-US" w:eastAsia="zh-CN"/>
              </w:rPr>
              <w:t>改道全长783</w:t>
            </w:r>
            <w:r>
              <w:rPr>
                <w:rFonts w:hint="default" w:ascii="Times New Roman" w:hAnsi="Times New Roman" w:cs="Times New Roman"/>
                <w:color w:val="auto"/>
                <w:highlight w:val="none"/>
                <w:lang w:eastAsia="zh-CN"/>
              </w:rPr>
              <w:t>m。</w:t>
            </w:r>
          </w:p>
          <w:p w14:paraId="6D628B86">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color w:val="auto"/>
                <w:highlight w:val="none"/>
              </w:rPr>
              <w:t>地理位置见附图1。</w:t>
            </w:r>
          </w:p>
        </w:tc>
      </w:tr>
      <w:tr w14:paraId="52415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237" w:type="pct"/>
            <w:noWrap w:val="0"/>
            <w:vAlign w:val="center"/>
          </w:tcPr>
          <w:p w14:paraId="0E85CA5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项目组成及规模</w:t>
            </w:r>
          </w:p>
        </w:tc>
        <w:tc>
          <w:tcPr>
            <w:tcW w:w="4762" w:type="pct"/>
            <w:noWrap w:val="0"/>
            <w:vAlign w:val="center"/>
          </w:tcPr>
          <w:p w14:paraId="4DB14EB4">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cs="Times New Roman"/>
                <w:color w:val="auto"/>
                <w:highlight w:val="yellow"/>
                <w:lang w:val="en-US" w:eastAsia="zh-CN"/>
              </w:rPr>
            </w:pPr>
            <w:r>
              <w:rPr>
                <w:rFonts w:hint="eastAsia" w:cs="Times New Roman"/>
                <w:color w:val="auto"/>
                <w:highlight w:val="yellow"/>
                <w:lang w:val="en-US" w:eastAsia="zh-CN"/>
              </w:rPr>
              <w:t>根据2025年9月18日庆安县水务局批准《庆安县水务局关于庆安县格木克河改道项目初步设计报告的批复》（庆水发[2025]183号），为满足省道S613庆安高铁连接线项目实施要求，需要对格木克河进行改道改线，改道后，原有河段将填平，作为省道S613庆安高铁连接线用地。</w:t>
            </w:r>
          </w:p>
          <w:p w14:paraId="29D0A13E">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eastAsia" w:cs="Times New Roman"/>
                <w:color w:val="auto"/>
                <w:highlight w:val="yellow"/>
                <w:lang w:val="en-US" w:eastAsia="zh-CN"/>
              </w:rPr>
            </w:pPr>
            <w:r>
              <w:rPr>
                <w:rFonts w:hint="eastAsia" w:cs="Times New Roman"/>
                <w:color w:val="auto"/>
                <w:highlight w:val="yellow"/>
                <w:lang w:val="en-US" w:eastAsia="zh-CN"/>
              </w:rPr>
              <w:t>省道S613庆安高铁连接线是黑龙江省绥化市庆安县的一项重点交通工程，连接国道嘉临公路（G222）与鹤哈高速（G1111）至三莫公路连接线，并途经‌庆安南站‌（高铁站），全长约‌2.981公里‌。省道S613庆安高铁连接线起点位于嘉临公路（G222国道）与解放路交叉口，自北向南沿规划解放路布线，跨格木克河，经格木克河堤坝后折向西，沿规划站前大街布线，经庆安南站，与建民路平交后，向西延伸至鹤哈高速-三莫公路连接线。路线起点地理坐标为东经127°30'05”，北纬46°51'59"，路线终点地理坐标为东经127°29'12"，北纬46°51'06"，为设计速度60km/h的一级公路标准，汽车荷载等级为公路-I级。</w:t>
            </w:r>
          </w:p>
          <w:p w14:paraId="17BA23DC">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cs="Times New Roman"/>
                <w:color w:val="auto"/>
                <w:highlight w:val="yellow"/>
              </w:rPr>
            </w:pPr>
            <w:r>
              <w:rPr>
                <w:rFonts w:hint="eastAsia" w:cs="Times New Roman"/>
                <w:color w:val="auto"/>
                <w:highlight w:val="yellow"/>
                <w:lang w:val="en-US" w:eastAsia="zh-CN"/>
              </w:rPr>
              <w:t>因省道S613庆安高铁连接线路径两处穿越原有格木克河河道，并占用格木克河提坝，为了省道S613庆安高铁连接线项目的顺利实施，同时确保格木克河防洪要求，拟对格木克河进行改道，新改河道783m，改道后，连接线将建设一座桥梁跨越格木克河，不会影响格木克河防洪安全，不会影响区域水资源配置，不会影响生态基流</w:t>
            </w:r>
            <w:r>
              <w:rPr>
                <w:rFonts w:hint="default" w:ascii="Times New Roman" w:hAnsi="Times New Roman" w:cs="Times New Roman"/>
                <w:color w:val="auto"/>
                <w:highlight w:val="yellow"/>
              </w:rPr>
              <w:t>。</w:t>
            </w:r>
          </w:p>
          <w:p w14:paraId="08D46FFB">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eastAsia" w:cs="Times New Roman"/>
                <w:color w:val="auto"/>
                <w:highlight w:val="none"/>
                <w:lang w:val="en-US" w:eastAsia="zh-CN"/>
              </w:rPr>
            </w:pPr>
          </w:p>
          <w:p w14:paraId="6C21B9FE">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cs="Times New Roman"/>
                <w:color w:val="auto"/>
                <w:highlight w:val="none"/>
                <w:lang w:val="en-US" w:eastAsia="zh-CN"/>
              </w:rPr>
            </w:pPr>
          </w:p>
          <w:p w14:paraId="4E625086">
            <w:pPr>
              <w:pStyle w:val="84"/>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cs="Times New Roman"/>
                <w:color w:val="auto"/>
                <w:highlight w:val="none"/>
                <w:lang w:val="en-US" w:eastAsia="zh-CN"/>
              </w:rPr>
            </w:pPr>
            <w:r>
              <w:rPr>
                <w:sz w:val="24"/>
              </w:rPr>
              <mc:AlternateContent>
                <mc:Choice Requires="wps">
                  <w:drawing>
                    <wp:anchor distT="0" distB="0" distL="114300" distR="114300" simplePos="0" relativeHeight="251731968" behindDoc="0" locked="0" layoutInCell="1" allowOverlap="1">
                      <wp:simplePos x="0" y="0"/>
                      <wp:positionH relativeFrom="column">
                        <wp:posOffset>4272915</wp:posOffset>
                      </wp:positionH>
                      <wp:positionV relativeFrom="paragraph">
                        <wp:posOffset>3958590</wp:posOffset>
                      </wp:positionV>
                      <wp:extent cx="107950" cy="635"/>
                      <wp:effectExtent l="0" t="0" r="0" b="0"/>
                      <wp:wrapNone/>
                      <wp:docPr id="85" name="直接连接符 85"/>
                      <wp:cNvGraphicFramePr/>
                      <a:graphic xmlns:a="http://schemas.openxmlformats.org/drawingml/2006/main">
                        <a:graphicData uri="http://schemas.microsoft.com/office/word/2010/wordprocessingShape">
                          <wps:wsp>
                            <wps:cNvCnPr/>
                            <wps:spPr>
                              <a:xfrm flipH="1" flipV="1">
                                <a:off x="0" y="0"/>
                                <a:ext cx="107950" cy="635"/>
                              </a:xfrm>
                              <a:prstGeom prst="line">
                                <a:avLst/>
                              </a:prstGeom>
                              <a:ln>
                                <a:solidFill>
                                  <a:srgbClr val="062EF8"/>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36.45pt;margin-top:311.7pt;height:0.05pt;width:8.5pt;z-index:251731968;mso-width-relative:page;mso-height-relative:page;" filled="f" stroked="t" coordsize="21600,21600" o:gfxdata="UEsDBAoAAAAAAIdO4kAAAAAAAAAAAAAAAAAEAAAAZHJzL1BLAwQUAAAACACHTuJAtCygddgAAAAL&#10;AQAADwAAAGRycy9kb3ducmV2LnhtbE2PQU/DMAyF70j8h8hI3FjaMrqtNN0BaRIHJEQZ4po2pq2W&#10;OFWTdePfY7iwm/3e0/Pncnt2Vsw4hcGTgnSRgEBqvRmoU7B/392tQYSoyWjrCRV8Y4BtdX1V6sL4&#10;E73hXMdOcAmFQivoYxwLKUPbo9Nh4Uck9r785HTkdeqkmfSJy52VWZLk0umB+EKvR3zqsT3UR6cA&#10;X7NnWno0+2acD2n9sftcvVilbm/S5BFExHP8D8MvPqNDxUyNP5IJwirIV9mGozxk90sQnMjXG1aa&#10;P+UBZFXKyx+qH1BLAwQUAAAACACHTuJAzlVx2OoBAACyAwAADgAAAGRycy9lMm9Eb2MueG1srVO9&#10;jhMxEO6ReAfLPdlNICGssrniQqBAEImD3vHau5b8J48vm7wEL4BEBxUlPW/D8Rg39i4BjuYKGms8&#10;M/5mvm/Gq4uj0eQgAihnazqdlJQIy12jbFvTd1fbR0tKIDLbMO2sqOlJAL1YP3yw6n0lZq5zuhGB&#10;IIiFqvc17WL0VVEA74RhMHFeWAxKFwyLeA1t0QTWI7rRxawsF0XvQuOD4wIAvZshSEfEcB9AJ6Xi&#10;YuP4tRE2DqhBaBaREnTKA13nbqUUPL6REkQkuqbINOYTi6C9T2exXrGqDcx3io8tsPu0cIeTYcpi&#10;0TPUhkVGroP6B8ooHhw4GSfcmWIgkhVBFtPyjjZvO+ZF5oJSgz+LDv8Plr8+7AJRTU2Xc0osMzjx&#10;m4/ffnz4/PP7Jzxvvn4hGEGZeg8VZl/aXRhv4HchcT7KYIjUyr/EfaLZep+sFEOG5JjlPp3lFsdI&#10;ODqn5dNncxwEx9DicS5SDGjppQ8QXwhnSDJqqpVNUrCKHV5BxA4w9VdKclu3VVrncWpL+prO5k/K&#10;BM5wRyXuBprGI0+wLSVMt7j8PIYMCU6rJj1PQBDa/aUO5MDSyixmz7fLRB/L/ZWWam8YdENeDo1p&#10;2mJ2UmvQJ1l715yybNmPo8x449qlXfnznl///mrrW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Qs&#10;oHXYAAAACwEAAA8AAAAAAAAAAQAgAAAAIgAAAGRycy9kb3ducmV2LnhtbFBLAQIUABQAAAAIAIdO&#10;4kDOVXHY6gEAALIDAAAOAAAAAAAAAAEAIAAAACcBAABkcnMvZTJvRG9jLnhtbFBLBQYAAAAABgAG&#10;AFkBAACDBQAAAAA=&#10;">
                      <v:fill on="f" focussize="0,0"/>
                      <v:stroke weight="2pt" color="#062EF8 [3204]" joinstyle="round"/>
                      <v:imagedata o:title=""/>
                      <o:lock v:ext="edit" aspectratio="f"/>
                    </v:lin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4263390</wp:posOffset>
                      </wp:positionH>
                      <wp:positionV relativeFrom="paragraph">
                        <wp:posOffset>3520440</wp:posOffset>
                      </wp:positionV>
                      <wp:extent cx="107950" cy="635"/>
                      <wp:effectExtent l="0" t="0" r="0" b="0"/>
                      <wp:wrapNone/>
                      <wp:docPr id="84" name="直接连接符 84"/>
                      <wp:cNvGraphicFramePr/>
                      <a:graphic xmlns:a="http://schemas.openxmlformats.org/drawingml/2006/main">
                        <a:graphicData uri="http://schemas.microsoft.com/office/word/2010/wordprocessingShape">
                          <wps:wsp>
                            <wps:cNvCnPr/>
                            <wps:spPr>
                              <a:xfrm flipH="1" flipV="1">
                                <a:off x="0" y="0"/>
                                <a:ext cx="107950" cy="635"/>
                              </a:xfrm>
                              <a:prstGeom prst="line">
                                <a:avLst/>
                              </a:prstGeom>
                              <a:ln>
                                <a:solidFill>
                                  <a:srgbClr val="05F9E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35.7pt;margin-top:277.2pt;height:0.05pt;width:8.5pt;z-index:251730944;mso-width-relative:page;mso-height-relative:page;" filled="f" stroked="t" coordsize="21600,21600" o:gfxdata="UEsDBAoAAAAAAIdO4kAAAAAAAAAAAAAAAAAEAAAAZHJzL1BLAwQUAAAACACHTuJAbV/R4dsAAAAL&#10;AQAADwAAAGRycy9kb3ducmV2LnhtbE2PT0vDQBDF74LfYRnBi7SbSBNDzKYUUcGDQmsVvW2z02ww&#10;Oxuy23/f3tGL3t7Me7z5TTU/ul7scQydJwXpNAGB1HjTUatg/fowKUCEqMno3hMqOGGAeX1+VunS&#10;+AMtcb+KreASCqVWYGMcSilDY9HpMPUDEntbPzodeRxbaUZ94HLXy+skyaXTHfEFqwe8s9h8rXZO&#10;wfC2XeqmeLr6eH5/sQv7+Hla3GdKXV6kyS2IiMf4F4YffEaHmpk2fkcmiF5BfpPOOKogy2YsOJEX&#10;BYvN7yYDWVfy/w/1N1BLAwQUAAAACACHTuJAg2YOv+sBAACyAwAADgAAAGRycy9lMm9Eb2MueG1s&#10;rVPNbhMxEL4j8Q6W72Q3oSntKptKNAQOCCLxc3e89q4l/8njZpOX4AWQuNETR+68De1jdOxdApRL&#10;D1ys8fx8M9/n8eJibzTZiQDK2ZpOJyUlwnLXKNvW9MP79ZMzSiAy2zDtrKjpQQC9WD5+tOh9JWau&#10;c7oRgSCIhar3Ne1i9FVRAO+EYTBxXlgMShcMi3gNbdEE1iO60cWsLE+L3oXGB8cFAHpXQ5COiOEh&#10;gE5KxcXK8SsjbBxQg9AsIiXolAe6zNNKKXh8KyWISHRNkWnMJzZBe5vOYrlgVRuY7xQfR2APGeEe&#10;J8OUxaZHqBWLjFwF9Q+UUTw4cDJOuDPFQCQrgiym5T1t3nXMi8wFpQZ/FB3+Hyx/s9sEopqanp1Q&#10;YpnBF7/5/P3np6+3P77gefPtmmAEZeo9VJh9aTdhvIHfhMR5L4MhUiv/CveJZutjslIMGZJ9lvtw&#10;lFvsI+HonJbPzuf4EBxDp0/nqUkxoKVKHyC+FM6QZNRUK5ukYBXbvYY4pP5KSW7r1kpr9LNKW9LX&#10;dDY/KRM4wx2VuBtoGo88wbaUMN3i8vMYMiQ4rZpUnqohtNtLHciOpZWZr89fPB8n+yst9V4x6Ia8&#10;HBrTtEUeSa1Bn2RtXXPIsmU/PmVmOq5d2pU/77n691db3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tX9Hh2wAAAAsBAAAPAAAAAAAAAAEAIAAAACIAAABkcnMvZG93bnJldi54bWxQSwECFAAUAAAA&#10;CACHTuJAg2YOv+sBAACyAwAADgAAAAAAAAABACAAAAAqAQAAZHJzL2Uyb0RvYy54bWxQSwUGAAAA&#10;AAYABgBZAQAAhwUAAAAA&#10;">
                      <v:fill on="f" focussize="0,0"/>
                      <v:stroke weight="2pt" color="#05F9EB [3204]" joinstyle="round"/>
                      <v:imagedata o:title=""/>
                      <o:lock v:ext="edit" aspectratio="f"/>
                    </v:lin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4244340</wp:posOffset>
                      </wp:positionH>
                      <wp:positionV relativeFrom="paragraph">
                        <wp:posOffset>3272790</wp:posOffset>
                      </wp:positionV>
                      <wp:extent cx="107950" cy="635"/>
                      <wp:effectExtent l="0" t="0" r="0" b="0"/>
                      <wp:wrapNone/>
                      <wp:docPr id="83" name="直接连接符 83"/>
                      <wp:cNvGraphicFramePr/>
                      <a:graphic xmlns:a="http://schemas.openxmlformats.org/drawingml/2006/main">
                        <a:graphicData uri="http://schemas.microsoft.com/office/word/2010/wordprocessingShape">
                          <wps:wsp>
                            <wps:cNvCnPr/>
                            <wps:spPr>
                              <a:xfrm flipH="1" flipV="1">
                                <a:off x="5361940" y="4501515"/>
                                <a:ext cx="107950" cy="63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34.2pt;margin-top:257.7pt;height:0.05pt;width:8.5pt;z-index:251729920;mso-width-relative:page;mso-height-relative:page;" filled="f" stroked="t" coordsize="21600,21600" o:gfxdata="UEsDBAoAAAAAAIdO4kAAAAAAAAAAAAAAAAAEAAAAZHJzL1BLAwQUAAAACACHTuJAiLTZ6tgAAAAL&#10;AQAADwAAAGRycy9kb3ducmV2LnhtbE2PzU7DMBCE70i8g7VIXFDrBEhIQ5xKFHFDqH8P4MZLkjZe&#10;R7H7w9t32wu9ze6Mvp0tpifbiQMOvnWkIB5HIJAqZ1qqFaxXX6MMhA+ajO4coYI/9DAt7+8KnRt3&#10;pAUelqEWDCGfawVNCH0upa8atNqPXY/E3q8brA48DrU0gz4y3HbyOYpSaXVLfKHRPc4arHbLvVWQ&#10;zt18tti9MXQ7+XiavHz+hO+tUo8PcfQOIuAp/IfhUp+rQ8mdNm5PxouOGWn2ylEFSZyw4ESaXcTm&#10;uklAloW8/aE8A1BLAwQUAAAACACHTuJAkbnvZvgBAAC+AwAADgAAAGRycy9lMm9Eb2MueG1srVPN&#10;jtMwEL4j8Q6W7zRJ25TdqOketiocEFTi5+46TmLJf/J4m/YleAEkbnDiyJ23YXkMxk5YYLnsgRys&#10;sefLN/N9Hq+vTlqRo/AgralpMcspEYbbRpqupm/f7J5cUAKBmYYpa0RNzwLo1ebxo/XgKjG3vVWN&#10;8ARJDFSDq2kfgquyDHgvNIOZdcJgsrVes4Bb32WNZwOya5XN83yVDdY3zlsuAPB0OybpxOgfQmjb&#10;VnKxtfxGCxNGVi8UCygJeumAblK3bSt4eNW2IAJRNUWlIa1YBONDXLPNmlWdZ66XfGqBPaSFe5o0&#10;kwaL3lFtWWDkxst/qLTk3oJtw4xbnY1CkiOoosjvefO6Z04kLWg1uDvT4f/R8pfHvSeyqenFghLD&#10;NN747Yev399/+vHtI663Xz4TzKBNg4MK0ddm76cduL2Pmk+t16RV0j3HeaIpehejmEOF5FTTcrEq&#10;Lpdo+rmmyzIvyqIcrRenQDgCivzpZYl5joDVIiWzkTmyOA/hmbCaxKCmSppoC6vY8QUE7AahvyDx&#10;2NidVCpdrTJkqOm8XOaRnOG8tjgnGGqHmsF0lDDV4UPgwSdKsEo28fdIBL47XCtPjgzHZ7fL8Ytt&#10;Y7m/YLH2lkE/4lJqgimD6Ojc6FWMDrY5JwvTOV5r4ptGMM7Nn/v09+9nt/k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LTZ6tgAAAALAQAADwAAAAAAAAABACAAAAAiAAAAZHJzL2Rvd25yZXYueG1s&#10;UEsBAhQAFAAAAAgAh07iQJG572b4AQAAvgMAAA4AAAAAAAAAAQAgAAAAJwEAAGRycy9lMm9Eb2Mu&#10;eG1sUEsFBgAAAAAGAAYAWQEAAJEFAAAAAA==&#10;">
                      <v:fill on="f" focussize="0,0"/>
                      <v:stroke weight="2pt" color="#FF0000 [3204]" joinstyle="round"/>
                      <v:imagedata o:title=""/>
                      <o:lock v:ext="edit" aspectratio="f"/>
                    </v:lin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column">
                        <wp:posOffset>4149725</wp:posOffset>
                      </wp:positionH>
                      <wp:positionV relativeFrom="paragraph">
                        <wp:posOffset>3006090</wp:posOffset>
                      </wp:positionV>
                      <wp:extent cx="1247140" cy="1123950"/>
                      <wp:effectExtent l="0" t="0" r="10160" b="0"/>
                      <wp:wrapNone/>
                      <wp:docPr id="76" name="矩形 76"/>
                      <wp:cNvGraphicFramePr/>
                      <a:graphic xmlns:a="http://schemas.openxmlformats.org/drawingml/2006/main">
                        <a:graphicData uri="http://schemas.microsoft.com/office/word/2010/wordprocessingShape">
                          <wps:wsp>
                            <wps:cNvSpPr/>
                            <wps:spPr>
                              <a:xfrm>
                                <a:off x="5571490" y="4453890"/>
                                <a:ext cx="1247140" cy="112395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4E24683">
                                  <w:pPr>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图例</w:t>
                                  </w:r>
                                </w:p>
                                <w:p w14:paraId="1414CCB9">
                                  <w:pPr>
                                    <w:pStyle w:val="2"/>
                                    <w:ind w:firstLine="360" w:firstLineChars="200"/>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规划省道S613</w:t>
                                  </w:r>
                                </w:p>
                                <w:p w14:paraId="195A9103">
                                  <w:pPr>
                                    <w:pStyle w:val="2"/>
                                    <w:ind w:firstLine="360" w:firstLineChars="200"/>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庆安高铁连接线</w:t>
                                  </w:r>
                                </w:p>
                                <w:p w14:paraId="5615D166">
                                  <w:pPr>
                                    <w:pStyle w:val="2"/>
                                    <w:ind w:firstLine="360" w:firstLineChars="200"/>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格木克河改道前</w:t>
                                  </w:r>
                                </w:p>
                                <w:p w14:paraId="1F53FFA3">
                                  <w:pPr>
                                    <w:pStyle w:val="2"/>
                                    <w:ind w:firstLine="360" w:firstLineChars="200"/>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改道工程</w:t>
                                  </w:r>
                                </w:p>
                                <w:p w14:paraId="38C4000F">
                                  <w:pPr>
                                    <w:pStyle w:val="2"/>
                                    <w:rPr>
                                      <w:rFonts w:hint="eastAsia"/>
                                      <w:color w:val="000000" w:themeColor="text1"/>
                                      <w:sz w:val="18"/>
                                      <w:szCs w:val="21"/>
                                      <w:highlight w:val="none"/>
                                      <w:lang w:val="en-US" w:eastAsia="zh-CN"/>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6.75pt;margin-top:236.7pt;height:88.5pt;width:98.2pt;z-index:251728896;v-text-anchor:middle;mso-width-relative:page;mso-height-relative:page;" fillcolor="#FFFFFF [3212]" filled="t" stroked="f" coordsize="21600,21600" o:gfxdata="UEsDBAoAAAAAAIdO4kAAAAAAAAAAAAAAAAAEAAAAZHJzL1BLAwQUAAAACACHTuJAnW5F9NYAAAAL&#10;AQAADwAAAGRycy9kb3ducmV2LnhtbE2PwW7CMBBE75X6D9ZW6q3YkEAhjYPUSlXPBcR5Ey9JRLyO&#10;bAPp39ec2uNqnmbeltvJDuJKPvSONcxnCgRx40zPrYbD/vNlDSJEZIODY9LwQwG21eNDiYVxN/6m&#10;6y62IpVwKFBDF+NYSBmajiyGmRuJU3Zy3mJMp2+l8XhL5XaQC6VW0mLPaaHDkT46as67i9Ug4xed&#10;99PiyJnKsX73p8NxlFo/P83VG4hIU/yD4a6f1KFKTrW7sAli0LBaZsuEashfsxxEItb5ZgOivkcq&#10;B1mV8v8P1S9QSwMEFAAAAAgAh07iQFLhz5lxAgAAzgQAAA4AAABkcnMvZTJvRG9jLnhtbK1US27b&#10;MBDdF+gdCO4bWY6cj2E5MGy4KBA0Adyia5qiLAH8laQtp5cp0F0P0eMUvUYfKeXTtIss6gU9Iz69&#10;mXkzo9nVUUlyEM63Rpc0PxlRIjQ3Vat3Jf34Yf3mghIfmK6YNFqU9E54ejV//WrW2akYm8bISjgC&#10;Eu2nnS1pE4KdZpnnjVDMnxgrNC5r4xQLcN0uqxzrwK5kNh6NzrLOuMo6w4X3eLrqL+nA6F5CaOq6&#10;5WJl+F4JHXpWJyQLKMk3rfV0nrKta8HDTV17EYgsKSoN6UQQ2Nt4ZvMZm+4cs03LhxTYS1J4VpNi&#10;rUbQB6oVC4zsXfsXlWq5M97U4YQblfWFJEVQRT56ps2mYVakWiC1tw+i+/9Hy98fbh1pq5Ken1Gi&#10;mULHf339/vPHN4IHUKezfgrQxt66wfMwY6nH2qn4jyLIsaSTyXleXELXu5IWxeT0AnZSVxwD4QDk&#10;4wIIADgQeT4+vZwkRPZIZZ0Pb4VRJBoldWhfUpUdrn0AGaD3kBjZG9lW61bK5LjddikdOTC0ep1+&#10;MT5e+QMmNelKOp4Uo5gJwwDXGByYykIEr3eUMLnDZvDgUmxtYoRUSYy9Yr7pYyTaIYTUiBSl6sWJ&#10;Vjhuj3grmltT3UFlZ/rx85avW1BdMx9umcO8IRVsZLjBUUuD/MxgUdIY9+VfzyMeY4BbSjrML3L/&#10;vGdOUCLfaQzIZV5ErUNyisn5GI57erN9eqP3ammgW47dtzyZER/kvVk7oz5hcRcxKq6Y5ojdqzQ4&#10;y9DvFVafi8UiwTDkloVrvbE8ksc+abPYB1O3qZ+P6gz6YcxTz4aVjHv01E+ox8/Q/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dbkX01gAAAAsBAAAPAAAAAAAAAAEAIAAAACIAAABkcnMvZG93bnJl&#10;di54bWxQSwECFAAUAAAACACHTuJAUuHPmXECAADOBAAADgAAAAAAAAABACAAAAAlAQAAZHJzL2Uy&#10;b0RvYy54bWxQSwUGAAAAAAYABgBZAQAACAYAAAAA&#10;">
                      <v:fill on="t" focussize="0,0"/>
                      <v:stroke on="f" weight="2pt"/>
                      <v:imagedata o:title=""/>
                      <o:lock v:ext="edit" aspectratio="f"/>
                      <v:textbox>
                        <w:txbxContent>
                          <w:p w14:paraId="44E24683">
                            <w:pPr>
                              <w:jc w:val="center"/>
                              <w:rPr>
                                <w:rFonts w:hint="eastAsia"/>
                                <w:color w:val="000000" w:themeColor="text1"/>
                                <w:sz w:val="18"/>
                                <w:szCs w:val="21"/>
                                <w:highlight w:val="none"/>
                                <w:lang w:val="en-US" w:eastAsia="zh-CN"/>
                                <w14:textFill>
                                  <w14:solidFill>
                                    <w14:schemeClr w14:val="tx1"/>
                                  </w14:solidFill>
                                </w14:textFill>
                              </w:rPr>
                            </w:pPr>
                            <w:r>
                              <w:rPr>
                                <w:rFonts w:hint="eastAsia"/>
                                <w:color w:val="000000" w:themeColor="text1"/>
                                <w:sz w:val="18"/>
                                <w:szCs w:val="21"/>
                                <w:highlight w:val="none"/>
                                <w:lang w:val="en-US" w:eastAsia="zh-CN"/>
                                <w14:textFill>
                                  <w14:solidFill>
                                    <w14:schemeClr w14:val="tx1"/>
                                  </w14:solidFill>
                                </w14:textFill>
                              </w:rPr>
                              <w:t>图例</w:t>
                            </w:r>
                          </w:p>
                          <w:p w14:paraId="1414CCB9">
                            <w:pPr>
                              <w:pStyle w:val="2"/>
                              <w:ind w:firstLine="360" w:firstLineChars="200"/>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规划省道S613</w:t>
                            </w:r>
                          </w:p>
                          <w:p w14:paraId="195A9103">
                            <w:pPr>
                              <w:pStyle w:val="2"/>
                              <w:ind w:firstLine="360" w:firstLineChars="200"/>
                              <w:rPr>
                                <w:rFonts w:hint="eastAsia"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庆安高铁连接线</w:t>
                            </w:r>
                          </w:p>
                          <w:p w14:paraId="5615D166">
                            <w:pPr>
                              <w:pStyle w:val="2"/>
                              <w:ind w:firstLine="360" w:firstLineChars="200"/>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格木克河改道前</w:t>
                            </w:r>
                          </w:p>
                          <w:p w14:paraId="1F53FFA3">
                            <w:pPr>
                              <w:pStyle w:val="2"/>
                              <w:ind w:firstLine="360" w:firstLineChars="200"/>
                              <w:rPr>
                                <w:rFonts w:hint="default" w:cs="Times New Roman"/>
                                <w:color w:val="000000" w:themeColor="text1"/>
                                <w:sz w:val="18"/>
                                <w:szCs w:val="18"/>
                                <w:highlight w:val="none"/>
                                <w:lang w:val="en-US" w:eastAsia="zh-CN"/>
                                <w14:textFill>
                                  <w14:solidFill>
                                    <w14:schemeClr w14:val="tx1"/>
                                  </w14:solidFill>
                                </w14:textFill>
                              </w:rPr>
                            </w:pPr>
                            <w:r>
                              <w:rPr>
                                <w:rFonts w:hint="eastAsia" w:cs="Times New Roman"/>
                                <w:color w:val="000000" w:themeColor="text1"/>
                                <w:sz w:val="18"/>
                                <w:szCs w:val="18"/>
                                <w:highlight w:val="none"/>
                                <w:lang w:val="en-US" w:eastAsia="zh-CN"/>
                                <w14:textFill>
                                  <w14:solidFill>
                                    <w14:schemeClr w14:val="tx1"/>
                                  </w14:solidFill>
                                </w14:textFill>
                              </w:rPr>
                              <w:t>改道工程</w:t>
                            </w:r>
                          </w:p>
                          <w:p w14:paraId="38C4000F">
                            <w:pPr>
                              <w:pStyle w:val="2"/>
                              <w:rPr>
                                <w:rFonts w:hint="eastAsia"/>
                                <w:color w:val="000000" w:themeColor="text1"/>
                                <w:sz w:val="18"/>
                                <w:szCs w:val="21"/>
                                <w:highlight w:val="none"/>
                                <w:lang w:val="en-US" w:eastAsia="zh-CN"/>
                                <w14:textFill>
                                  <w14:solidFill>
                                    <w14:schemeClr w14:val="tx1"/>
                                  </w14:solidFill>
                                </w14:textFill>
                              </w:rPr>
                            </w:pPr>
                          </w:p>
                        </w:txbxContent>
                      </v:textbox>
                    </v:rect>
                  </w:pict>
                </mc:Fallback>
              </mc:AlternateContent>
            </w:r>
            <w:r>
              <w:drawing>
                <wp:anchor distT="0" distB="0" distL="114300" distR="114300" simplePos="0" relativeHeight="251727872" behindDoc="0" locked="0" layoutInCell="1" allowOverlap="1">
                  <wp:simplePos x="0" y="0"/>
                  <wp:positionH relativeFrom="column">
                    <wp:posOffset>4806950</wp:posOffset>
                  </wp:positionH>
                  <wp:positionV relativeFrom="paragraph">
                    <wp:posOffset>28575</wp:posOffset>
                  </wp:positionV>
                  <wp:extent cx="581025" cy="609600"/>
                  <wp:effectExtent l="0" t="0" r="9525" b="0"/>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5"/>
                          <a:stretch>
                            <a:fillRect/>
                          </a:stretch>
                        </pic:blipFill>
                        <pic:spPr>
                          <a:xfrm>
                            <a:off x="0" y="0"/>
                            <a:ext cx="581025" cy="609600"/>
                          </a:xfrm>
                          <a:prstGeom prst="rect">
                            <a:avLst/>
                          </a:prstGeom>
                          <a:noFill/>
                          <a:ln>
                            <a:noFill/>
                          </a:ln>
                        </pic:spPr>
                      </pic:pic>
                    </a:graphicData>
                  </a:graphic>
                </wp:anchor>
              </w:drawing>
            </w:r>
            <w:r>
              <w:drawing>
                <wp:inline distT="0" distB="0" distL="114300" distR="114300">
                  <wp:extent cx="5161915" cy="4145915"/>
                  <wp:effectExtent l="0" t="0" r="63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161915" cy="4145915"/>
                          </a:xfrm>
                          <a:prstGeom prst="rect">
                            <a:avLst/>
                          </a:prstGeom>
                          <a:noFill/>
                          <a:ln>
                            <a:noFill/>
                          </a:ln>
                        </pic:spPr>
                      </pic:pic>
                    </a:graphicData>
                  </a:graphic>
                </wp:inline>
              </w:drawing>
            </w:r>
            <w:r>
              <w:rPr>
                <w:rFonts w:hint="default" w:ascii="Times New Roman" w:hAnsi="Times New Roman" w:cs="Times New Roman"/>
                <w:highlight w:val="none"/>
              </w:rPr>
              <w:drawing>
                <wp:anchor distT="0" distB="0" distL="114300" distR="114300" simplePos="0" relativeHeight="251726848" behindDoc="0" locked="0" layoutInCell="1" allowOverlap="1">
                  <wp:simplePos x="0" y="0"/>
                  <wp:positionH relativeFrom="column">
                    <wp:posOffset>6892925</wp:posOffset>
                  </wp:positionH>
                  <wp:positionV relativeFrom="paragraph">
                    <wp:posOffset>-342265</wp:posOffset>
                  </wp:positionV>
                  <wp:extent cx="568325" cy="603250"/>
                  <wp:effectExtent l="0" t="0" r="3175" b="6350"/>
                  <wp:wrapNone/>
                  <wp:docPr id="3"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28"/>
                          <pic:cNvPicPr>
                            <a:picLocks noChangeAspect="1"/>
                          </pic:cNvPicPr>
                        </pic:nvPicPr>
                        <pic:blipFill>
                          <a:blip r:embed="rId17"/>
                          <a:stretch>
                            <a:fillRect/>
                          </a:stretch>
                        </pic:blipFill>
                        <pic:spPr>
                          <a:xfrm>
                            <a:off x="0" y="0"/>
                            <a:ext cx="568325" cy="603250"/>
                          </a:xfrm>
                          <a:prstGeom prst="rect">
                            <a:avLst/>
                          </a:prstGeom>
                          <a:noFill/>
                          <a:ln>
                            <a:noFill/>
                          </a:ln>
                        </pic:spPr>
                      </pic:pic>
                    </a:graphicData>
                  </a:graphic>
                </wp:anchor>
              </w:drawing>
            </w:r>
          </w:p>
          <w:p w14:paraId="2CA57DF2">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cs="Times New Roman"/>
                <w:color w:val="auto"/>
                <w:sz w:val="21"/>
                <w:szCs w:val="21"/>
                <w:highlight w:val="yellow"/>
                <w:lang w:val="en-US" w:eastAsia="zh-CN"/>
              </w:rPr>
            </w:pPr>
            <w:r>
              <w:rPr>
                <w:rFonts w:hint="eastAsia" w:cs="Times New Roman"/>
                <w:color w:val="auto"/>
                <w:sz w:val="21"/>
                <w:szCs w:val="21"/>
                <w:highlight w:val="yellow"/>
                <w:lang w:val="en-US" w:eastAsia="zh-CN"/>
              </w:rPr>
              <w:t>图1-1  本项目与拟建省道S613庆安高铁连接线位置关系图</w:t>
            </w:r>
          </w:p>
          <w:p w14:paraId="606379BA">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的建设任务通过格木克河改道工程，增大过流断面面积，增大河道行洪能力，稳固的格宾石笼结构有效防止河岸坍塌，保障行洪通道畅通无阻，显著提升河道行洪能力，降低城市内涝风险，守护居民生命财产安全。</w:t>
            </w:r>
          </w:p>
          <w:p w14:paraId="3BB0B87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根据</w:t>
            </w:r>
            <w:r>
              <w:rPr>
                <w:rFonts w:hint="default" w:ascii="Times New Roman" w:hAnsi="Times New Roman" w:cs="Times New Roman"/>
                <w:color w:val="auto"/>
                <w:highlight w:val="none"/>
                <w:lang w:val="en-US" w:eastAsia="zh-CN"/>
              </w:rPr>
              <w:t>《水利建设项目（河湖整治与防洪除涝工程）环境影响评价文件审批原则》（环办环评[2018]2号）</w:t>
            </w:r>
            <w:r>
              <w:rPr>
                <w:rFonts w:hint="eastAsia" w:cs="Times New Roman"/>
                <w:color w:val="auto"/>
                <w:highlight w:val="none"/>
                <w:lang w:val="en-US" w:eastAsia="zh-CN"/>
              </w:rPr>
              <w:t>中适用范围，包括疏浚、堤防建设、闸坝闸站建设、岸线治理、水系连通、蓄（滞）洪区建设、排涝治理等（引调水、防洪水库等水利枢纽工程除外）属于河湖整治与防洪除涝工程。本项目为河道改道工程，属于防洪除涝项目。</w:t>
            </w:r>
          </w:p>
          <w:p w14:paraId="6493838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根据《水利水电工程等级划分及洪水标准》（SL 252—2017）表3.0.1，工程等别为</w:t>
            </w:r>
            <w:r>
              <w:rPr>
                <w:rFonts w:hint="default" w:ascii="Times New Roman" w:hAnsi="Times New Roman" w:eastAsia="微软雅黑" w:cs="Times New Roman"/>
                <w:color w:val="auto"/>
                <w:highlight w:val="none"/>
                <w:lang w:val="en-US" w:eastAsia="zh-CN"/>
              </w:rPr>
              <w:t>Ⅴ</w:t>
            </w:r>
            <w:r>
              <w:rPr>
                <w:rFonts w:hint="default" w:ascii="Times New Roman" w:hAnsi="Times New Roman" w:cs="Times New Roman"/>
                <w:color w:val="auto"/>
                <w:highlight w:val="none"/>
                <w:lang w:val="en-US" w:eastAsia="zh-CN"/>
              </w:rPr>
              <w:t>级，工程规模为小（2）型，根据《建设项目环境影响评价分类管理名录（2021年版）》，属于"其他"，应编制环境影响报告表。</w:t>
            </w:r>
          </w:p>
          <w:p w14:paraId="4E4B1B62">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本项目永久占地</w:t>
            </w:r>
            <w:r>
              <w:rPr>
                <w:rFonts w:hint="eastAsia" w:cs="Times New Roman"/>
                <w:color w:val="auto"/>
                <w:highlight w:val="none"/>
                <w:lang w:val="en-US" w:eastAsia="zh-CN"/>
              </w:rPr>
              <w:t>41.38</w:t>
            </w:r>
            <w:r>
              <w:rPr>
                <w:rFonts w:hint="default" w:ascii="Times New Roman" w:hAnsi="Times New Roman" w:cs="Times New Roman"/>
                <w:color w:val="auto"/>
                <w:highlight w:val="none"/>
                <w:lang w:val="en-US" w:eastAsia="zh-CN"/>
              </w:rPr>
              <w:t>亩，临时占地</w:t>
            </w:r>
            <w:r>
              <w:rPr>
                <w:rFonts w:hint="eastAsia" w:cs="Times New Roman"/>
                <w:color w:val="auto"/>
                <w:highlight w:val="none"/>
                <w:lang w:val="en-US" w:eastAsia="zh-CN"/>
              </w:rPr>
              <w:t>35.54</w:t>
            </w:r>
            <w:r>
              <w:rPr>
                <w:rFonts w:hint="default" w:ascii="Times New Roman" w:hAnsi="Times New Roman" w:cs="Times New Roman"/>
                <w:color w:val="auto"/>
                <w:highlight w:val="none"/>
                <w:lang w:val="en-US" w:eastAsia="zh-CN"/>
              </w:rPr>
              <w:t>亩，包括生产生活区、取土场、弃土场、临时道路等，占地性质为耕地、林地、草地等。</w:t>
            </w:r>
          </w:p>
          <w:p w14:paraId="72AFC110">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主要建设内容见表2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w:t>
            </w:r>
          </w:p>
          <w:p w14:paraId="3089F711">
            <w:pPr>
              <w:pStyle w:val="84"/>
              <w:keepNext w:val="0"/>
              <w:keepLines w:val="0"/>
              <w:pageBreakBefore w:val="0"/>
              <w:widowControl w:val="0"/>
              <w:kinsoku/>
              <w:wordWrap/>
              <w:overflowPunct/>
              <w:topLinePunct w:val="0"/>
              <w:autoSpaceDE/>
              <w:autoSpaceDN/>
              <w:bidi w:val="0"/>
              <w:adjustRightInd w:val="0"/>
              <w:snapToGrid w:val="0"/>
              <w:spacing w:line="500" w:lineRule="exact"/>
              <w:ind w:firstLine="0" w:firstLineChars="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表2</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w:t>
            </w:r>
            <w:r>
              <w:rPr>
                <w:rFonts w:hint="default" w:ascii="Times New Roman" w:hAnsi="Times New Roman" w:cs="Times New Roman"/>
                <w:b/>
                <w:color w:val="auto"/>
                <w:kern w:val="0"/>
                <w:sz w:val="21"/>
                <w:szCs w:val="21"/>
                <w:highlight w:val="none"/>
                <w:lang w:val="en-US" w:eastAsia="zh-CN"/>
              </w:rPr>
              <w:t xml:space="preserve">  </w:t>
            </w:r>
            <w:r>
              <w:rPr>
                <w:rFonts w:hint="default" w:ascii="Times New Roman" w:hAnsi="Times New Roman" w:cs="Times New Roman"/>
                <w:b/>
                <w:color w:val="auto"/>
                <w:kern w:val="0"/>
                <w:sz w:val="21"/>
                <w:szCs w:val="21"/>
                <w:highlight w:val="none"/>
              </w:rPr>
              <w:t>主要建设内容</w:t>
            </w:r>
          </w:p>
          <w:tbl>
            <w:tblPr>
              <w:tblStyle w:val="25"/>
              <w:tblpPr w:leftFromText="180" w:rightFromText="180" w:vertAnchor="text" w:tblpXSpec="center" w:tblpY="1"/>
              <w:tblW w:w="5000" w:type="pct"/>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7"/>
              <w:gridCol w:w="223"/>
              <w:gridCol w:w="1129"/>
              <w:gridCol w:w="6982"/>
            </w:tblGrid>
            <w:tr w14:paraId="4E5354B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1" w:type="pct"/>
                  <w:gridSpan w:val="3"/>
                  <w:noWrap w:val="0"/>
                  <w:vAlign w:val="center"/>
                </w:tcPr>
                <w:p w14:paraId="74C4EB48">
                  <w:pPr>
                    <w:adjustRightInd w:val="0"/>
                    <w:snapToGrid w:val="0"/>
                    <w:spacing w:line="276" w:lineRule="auto"/>
                    <w:jc w:val="center"/>
                    <w:rPr>
                      <w:rFonts w:hint="default" w:ascii="Times New Roman" w:hAnsi="Times New Roman" w:cs="Times New Roman"/>
                      <w:color w:val="auto"/>
                      <w:szCs w:val="21"/>
                      <w:highlight w:val="none"/>
                    </w:rPr>
                  </w:pPr>
                  <w:bookmarkStart w:id="12" w:name="_Hlk19002442"/>
                  <w:r>
                    <w:rPr>
                      <w:rFonts w:hint="default" w:ascii="Times New Roman" w:hAnsi="Times New Roman" w:cs="Times New Roman"/>
                      <w:color w:val="auto"/>
                      <w:szCs w:val="21"/>
                      <w:highlight w:val="none"/>
                    </w:rPr>
                    <w:t>建设内容</w:t>
                  </w:r>
                </w:p>
              </w:tc>
              <w:tc>
                <w:tcPr>
                  <w:tcW w:w="3908" w:type="pct"/>
                  <w:noWrap w:val="0"/>
                  <w:vAlign w:val="top"/>
                </w:tcPr>
                <w:p w14:paraId="1F0032AD">
                  <w:pPr>
                    <w:adjustRightInd w:val="0"/>
                    <w:snapToGrid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建设规模及内容</w:t>
                  </w:r>
                </w:p>
              </w:tc>
            </w:tr>
            <w:tr w14:paraId="1613626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1D18564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主体工程</w:t>
                  </w:r>
                </w:p>
              </w:tc>
              <w:tc>
                <w:tcPr>
                  <w:tcW w:w="756" w:type="pct"/>
                  <w:gridSpan w:val="2"/>
                  <w:noWrap w:val="0"/>
                  <w:vAlign w:val="center"/>
                </w:tcPr>
                <w:p w14:paraId="7C3DB42B">
                  <w:pPr>
                    <w:adjustRightInd w:val="0"/>
                    <w:snapToGrid w:val="0"/>
                    <w:spacing w:line="276"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河道改道</w:t>
                  </w:r>
                  <w:r>
                    <w:rPr>
                      <w:rFonts w:hint="default" w:ascii="Times New Roman" w:hAnsi="Times New Roman" w:cs="Times New Roman"/>
                      <w:color w:val="auto"/>
                      <w:szCs w:val="21"/>
                      <w:highlight w:val="none"/>
                    </w:rPr>
                    <w:t>工程</w:t>
                  </w:r>
                </w:p>
              </w:tc>
              <w:tc>
                <w:tcPr>
                  <w:tcW w:w="3908" w:type="pct"/>
                  <w:noWrap w:val="0"/>
                  <w:vAlign w:val="top"/>
                </w:tcPr>
                <w:p w14:paraId="76DED36F">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河道改道783m</w:t>
                  </w:r>
                  <w:r>
                    <w:rPr>
                      <w:rFonts w:hint="eastAsia" w:cs="Times New Roman"/>
                      <w:color w:val="auto"/>
                      <w:szCs w:val="21"/>
                      <w:highlight w:val="none"/>
                      <w:lang w:val="en-US" w:eastAsia="zh-CN"/>
                    </w:rPr>
                    <w:t>，起点东经127°30'49.509"，北纬46°51'46.302"，终点坐标为东经127°30ʹ25.891"，北纬46°52'02.745"。改道工程位于吉庆路附近河段，</w:t>
                  </w:r>
                  <w:r>
                    <w:rPr>
                      <w:rFonts w:hint="eastAsia" w:cs="Times New Roman"/>
                      <w:color w:val="auto"/>
                      <w:highlight w:val="none"/>
                      <w:lang w:val="en-US" w:eastAsia="zh-CN"/>
                    </w:rPr>
                    <w:t>沿</w:t>
                  </w:r>
                  <w:r>
                    <w:rPr>
                      <w:rFonts w:hint="eastAsia" w:cs="Times New Roman"/>
                      <w:color w:val="auto"/>
                      <w:szCs w:val="21"/>
                      <w:highlight w:val="none"/>
                      <w:lang w:val="en-US" w:eastAsia="zh-CN"/>
                    </w:rPr>
                    <w:t>原南侧河道方向对河道进行恢复，形成新的过流通道，桩号0+000~0+783，设计河道比降1/1800，设计河道底宽为25m，两岸连接坡比1:2.0。起、末点与现状河底高程平顺连接。</w:t>
                  </w:r>
                </w:p>
              </w:tc>
            </w:tr>
            <w:tr w14:paraId="251514D1">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72AFD128">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1117D98C">
                  <w:pPr>
                    <w:adjustRightInd w:val="0"/>
                    <w:snapToGrid w:val="0"/>
                    <w:spacing w:line="276" w:lineRule="auto"/>
                    <w:jc w:val="center"/>
                    <w:rPr>
                      <w:rFonts w:hint="default" w:cs="Times New Roman"/>
                      <w:color w:val="auto"/>
                      <w:szCs w:val="21"/>
                      <w:highlight w:val="yellow"/>
                      <w:lang w:val="en-US" w:eastAsia="zh-CN"/>
                    </w:rPr>
                  </w:pPr>
                  <w:r>
                    <w:rPr>
                      <w:rFonts w:hint="eastAsia" w:cs="Times New Roman"/>
                      <w:color w:val="auto"/>
                      <w:szCs w:val="21"/>
                      <w:highlight w:val="yellow"/>
                      <w:lang w:val="en-US" w:eastAsia="zh-CN"/>
                    </w:rPr>
                    <w:t>护岸工程</w:t>
                  </w:r>
                </w:p>
              </w:tc>
              <w:tc>
                <w:tcPr>
                  <w:tcW w:w="3908" w:type="pct"/>
                  <w:noWrap w:val="0"/>
                  <w:vAlign w:val="top"/>
                </w:tcPr>
                <w:p w14:paraId="2E26608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yellow"/>
                      <w:lang w:val="en-US" w:eastAsia="zh-CN"/>
                    </w:rPr>
                  </w:pPr>
                  <w:r>
                    <w:rPr>
                      <w:color w:val="000000"/>
                      <w:highlight w:val="yellow"/>
                    </w:rPr>
                    <w:t>恢复后的河道两岸进行护岸工程建设，护岸向上下游方向各延长50m</w:t>
                  </w:r>
                  <w:r>
                    <w:rPr>
                      <w:rFonts w:hint="eastAsia"/>
                      <w:color w:val="000000"/>
                      <w:highlight w:val="yellow"/>
                      <w:lang w:eastAsia="zh-CN"/>
                    </w:rPr>
                    <w:t>，</w:t>
                  </w:r>
                  <w:r>
                    <w:rPr>
                      <w:rFonts w:hint="eastAsia"/>
                      <w:color w:val="000000"/>
                      <w:highlight w:val="yellow"/>
                      <w:lang w:val="en-US" w:eastAsia="zh-CN"/>
                    </w:rPr>
                    <w:t>全长883m，采用格宾石笼形式</w:t>
                  </w:r>
                  <w:r>
                    <w:rPr>
                      <w:color w:val="000000"/>
                      <w:highlight w:val="yellow"/>
                    </w:rPr>
                    <w:t>。</w:t>
                  </w:r>
                </w:p>
              </w:tc>
            </w:tr>
            <w:tr w14:paraId="12EB751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3C79747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辅助工程</w:t>
                  </w:r>
                </w:p>
              </w:tc>
              <w:tc>
                <w:tcPr>
                  <w:tcW w:w="756" w:type="pct"/>
                  <w:gridSpan w:val="2"/>
                  <w:noWrap w:val="0"/>
                  <w:vAlign w:val="center"/>
                </w:tcPr>
                <w:p w14:paraId="5781B3E9">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施工生产生活区</w:t>
                  </w:r>
                </w:p>
              </w:tc>
              <w:tc>
                <w:tcPr>
                  <w:tcW w:w="3908" w:type="pct"/>
                  <w:noWrap w:val="0"/>
                  <w:vAlign w:val="top"/>
                </w:tcPr>
                <w:p w14:paraId="51FF8886">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yellow"/>
                      <w:lang w:val="en-US" w:eastAsia="zh-CN"/>
                    </w:rPr>
                    <w:t>施工</w:t>
                  </w:r>
                  <w:r>
                    <w:rPr>
                      <w:rFonts w:hint="default" w:ascii="Times New Roman" w:hAnsi="Times New Roman" w:cs="Times New Roman"/>
                      <w:color w:val="auto"/>
                      <w:szCs w:val="21"/>
                      <w:highlight w:val="yellow"/>
                    </w:rPr>
                    <w:t>生产生活区</w:t>
                  </w:r>
                  <w:r>
                    <w:rPr>
                      <w:rFonts w:hint="default" w:ascii="Times New Roman" w:hAnsi="Times New Roman" w:cs="Times New Roman"/>
                      <w:color w:val="auto"/>
                      <w:szCs w:val="21"/>
                      <w:highlight w:val="yellow"/>
                      <w:lang w:eastAsia="zh-CN"/>
                    </w:rPr>
                    <w:t>:</w:t>
                  </w:r>
                  <w:r>
                    <w:rPr>
                      <w:rFonts w:hint="default" w:ascii="Times New Roman" w:hAnsi="Times New Roman" w:cs="Times New Roman"/>
                      <w:color w:val="auto"/>
                      <w:szCs w:val="21"/>
                      <w:highlight w:val="yellow"/>
                    </w:rPr>
                    <w:t>设置</w:t>
                  </w:r>
                  <w:r>
                    <w:rPr>
                      <w:rFonts w:hint="eastAsia" w:cs="Times New Roman"/>
                      <w:color w:val="auto"/>
                      <w:szCs w:val="21"/>
                      <w:highlight w:val="yellow"/>
                      <w:lang w:val="en-US" w:eastAsia="zh-CN"/>
                    </w:rPr>
                    <w:t>1</w:t>
                  </w:r>
                  <w:r>
                    <w:rPr>
                      <w:rFonts w:hint="default" w:ascii="Times New Roman" w:hAnsi="Times New Roman" w:cs="Times New Roman"/>
                      <w:color w:val="auto"/>
                      <w:szCs w:val="21"/>
                      <w:highlight w:val="yellow"/>
                    </w:rPr>
                    <w:t>处生产生活区，</w:t>
                  </w:r>
                  <w:r>
                    <w:rPr>
                      <w:rFonts w:hint="eastAsia" w:cs="Times New Roman"/>
                      <w:color w:val="auto"/>
                      <w:szCs w:val="21"/>
                      <w:highlight w:val="yellow"/>
                      <w:lang w:val="en-US" w:eastAsia="zh-CN"/>
                    </w:rPr>
                    <w:t>位于河道改道工程西侧，远离居住区</w:t>
                  </w:r>
                  <w:r>
                    <w:rPr>
                      <w:rFonts w:hint="default" w:ascii="Times New Roman" w:hAnsi="Times New Roman" w:cs="Times New Roman"/>
                      <w:color w:val="auto"/>
                      <w:szCs w:val="21"/>
                      <w:highlight w:val="yellow"/>
                      <w:lang w:val="en-US" w:eastAsia="zh-CN"/>
                    </w:rPr>
                    <w:t>。占地面积</w:t>
                  </w:r>
                  <w:r>
                    <w:rPr>
                      <w:rFonts w:hint="eastAsia" w:cs="Times New Roman"/>
                      <w:color w:val="auto"/>
                      <w:szCs w:val="21"/>
                      <w:highlight w:val="yellow"/>
                      <w:lang w:val="en-US" w:eastAsia="zh-CN"/>
                    </w:rPr>
                    <w:t>1.05</w:t>
                  </w:r>
                  <w:r>
                    <w:rPr>
                      <w:rFonts w:hint="default" w:ascii="Times New Roman" w:hAnsi="Times New Roman" w:cs="Times New Roman"/>
                      <w:color w:val="auto"/>
                      <w:szCs w:val="21"/>
                      <w:highlight w:val="yellow"/>
                      <w:lang w:val="en-US" w:eastAsia="zh-CN"/>
                    </w:rPr>
                    <w:t>亩，占地类型为</w:t>
                  </w:r>
                  <w:r>
                    <w:rPr>
                      <w:rFonts w:hint="eastAsia" w:cs="Times New Roman"/>
                      <w:color w:val="auto"/>
                      <w:szCs w:val="21"/>
                      <w:highlight w:val="yellow"/>
                      <w:lang w:val="en-US" w:eastAsia="zh-CN"/>
                    </w:rPr>
                    <w:t>草地，用地现状为荒草地</w:t>
                  </w:r>
                  <w:r>
                    <w:rPr>
                      <w:rFonts w:hint="default" w:ascii="Times New Roman" w:hAnsi="Times New Roman" w:cs="Times New Roman"/>
                      <w:color w:val="auto"/>
                      <w:szCs w:val="21"/>
                      <w:highlight w:val="yellow"/>
                      <w:lang w:val="en-US" w:eastAsia="zh-CN"/>
                    </w:rPr>
                    <w:t>。</w:t>
                  </w:r>
                </w:p>
                <w:p w14:paraId="6D972FE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施工生活生产区包括办公室、临时休息室等，不设食堂；</w:t>
                  </w:r>
                  <w:r>
                    <w:rPr>
                      <w:rFonts w:hint="default" w:ascii="Times New Roman" w:hAnsi="Times New Roman" w:cs="Times New Roman"/>
                      <w:color w:val="auto"/>
                      <w:szCs w:val="21"/>
                      <w:highlight w:val="none"/>
                    </w:rPr>
                    <w:t>生产区由施工仓库</w:t>
                  </w:r>
                  <w:r>
                    <w:rPr>
                      <w:rFonts w:hint="eastAsia" w:cs="Times New Roman"/>
                      <w:color w:val="auto"/>
                      <w:szCs w:val="21"/>
                      <w:highlight w:val="none"/>
                      <w:lang w:eastAsia="zh-CN"/>
                    </w:rPr>
                    <w:t>、</w:t>
                  </w:r>
                  <w:r>
                    <w:rPr>
                      <w:rFonts w:hint="eastAsia" w:cs="Times New Roman"/>
                      <w:color w:val="auto"/>
                      <w:szCs w:val="21"/>
                      <w:highlight w:val="none"/>
                      <w:lang w:val="en-US" w:eastAsia="zh-CN"/>
                    </w:rPr>
                    <w:t>混凝土拌和站等</w:t>
                  </w:r>
                  <w:r>
                    <w:rPr>
                      <w:rFonts w:hint="default" w:ascii="Times New Roman" w:hAnsi="Times New Roman" w:cs="Times New Roman"/>
                      <w:color w:val="auto"/>
                      <w:szCs w:val="21"/>
                      <w:highlight w:val="none"/>
                    </w:rPr>
                    <w:t>组成</w:t>
                  </w:r>
                  <w:r>
                    <w:rPr>
                      <w:rFonts w:hint="default" w:ascii="Times New Roman" w:hAnsi="Times New Roman" w:cs="Times New Roman"/>
                      <w:color w:val="auto"/>
                      <w:highlight w:val="none"/>
                    </w:rPr>
                    <w:t>。</w:t>
                  </w:r>
                  <w:r>
                    <w:rPr>
                      <w:rFonts w:hint="default" w:ascii="Times New Roman" w:hAnsi="Times New Roman" w:cs="Times New Roman"/>
                      <w:color w:val="auto"/>
                      <w:szCs w:val="21"/>
                      <w:highlight w:val="none"/>
                    </w:rPr>
                    <w:t>施工区</w:t>
                  </w:r>
                  <w:r>
                    <w:rPr>
                      <w:rFonts w:hint="eastAsia" w:cs="Times New Roman"/>
                      <w:color w:val="auto"/>
                      <w:szCs w:val="21"/>
                      <w:highlight w:val="none"/>
                      <w:lang w:val="en-US" w:eastAsia="zh-CN"/>
                    </w:rPr>
                    <w:t>不设置</w:t>
                  </w:r>
                  <w:r>
                    <w:rPr>
                      <w:rFonts w:hint="default" w:ascii="Times New Roman" w:hAnsi="Times New Roman" w:cs="Times New Roman"/>
                      <w:color w:val="auto"/>
                      <w:szCs w:val="21"/>
                      <w:highlight w:val="none"/>
                      <w:lang w:val="en-US" w:eastAsia="zh-CN"/>
                    </w:rPr>
                    <w:t>混凝土拌和站</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rPr>
                    <w:t>不设集中的大型机械修配厂，大型的维修以</w:t>
                  </w:r>
                  <w:r>
                    <w:rPr>
                      <w:rFonts w:hint="default" w:ascii="Times New Roman" w:hAnsi="Times New Roman" w:cs="Times New Roman"/>
                      <w:color w:val="auto"/>
                      <w:szCs w:val="21"/>
                      <w:highlight w:val="none"/>
                      <w:lang w:val="en-US" w:eastAsia="zh-CN"/>
                    </w:rPr>
                    <w:t>庆安县</w:t>
                  </w:r>
                  <w:r>
                    <w:rPr>
                      <w:rFonts w:hint="default" w:ascii="Times New Roman" w:hAnsi="Times New Roman" w:cs="Times New Roman"/>
                      <w:color w:val="auto"/>
                      <w:szCs w:val="21"/>
                      <w:highlight w:val="none"/>
                    </w:rPr>
                    <w:t>为中心，大修理业务可以外协委托，在工地</w:t>
                  </w: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设置机械维修站或车间</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不设储油库</w:t>
                  </w:r>
                  <w:r>
                    <w:rPr>
                      <w:rFonts w:hint="default" w:ascii="Times New Roman" w:hAnsi="Times New Roman" w:cs="Times New Roman"/>
                      <w:color w:val="auto"/>
                      <w:szCs w:val="21"/>
                      <w:highlight w:val="none"/>
                      <w:lang w:eastAsia="zh-CN"/>
                    </w:rPr>
                    <w:t>和油桶</w:t>
                  </w:r>
                  <w:r>
                    <w:rPr>
                      <w:rFonts w:hint="default" w:ascii="Times New Roman" w:hAnsi="Times New Roman" w:cs="Times New Roman"/>
                      <w:color w:val="auto"/>
                      <w:szCs w:val="21"/>
                      <w:highlight w:val="none"/>
                    </w:rPr>
                    <w:t>，柴油随用随</w:t>
                  </w:r>
                  <w:r>
                    <w:rPr>
                      <w:rFonts w:hint="default" w:ascii="Times New Roman" w:hAnsi="Times New Roman" w:cs="Times New Roman"/>
                      <w:color w:val="auto"/>
                      <w:szCs w:val="21"/>
                      <w:highlight w:val="none"/>
                      <w:lang w:eastAsia="zh-CN"/>
                    </w:rPr>
                    <w:t>加</w:t>
                  </w:r>
                  <w:r>
                    <w:rPr>
                      <w:rFonts w:hint="default" w:ascii="Times New Roman" w:hAnsi="Times New Roman" w:cs="Times New Roman"/>
                      <w:color w:val="auto"/>
                      <w:szCs w:val="21"/>
                      <w:highlight w:val="none"/>
                    </w:rPr>
                    <w:t>，所有机械设备的燃油补充在附近加油站</w:t>
                  </w:r>
                  <w:r>
                    <w:rPr>
                      <w:rFonts w:hint="default" w:ascii="Times New Roman" w:hAnsi="Times New Roman" w:cs="Times New Roman"/>
                      <w:color w:val="auto"/>
                      <w:szCs w:val="21"/>
                      <w:highlight w:val="none"/>
                      <w:lang w:eastAsia="zh-CN"/>
                    </w:rPr>
                    <w:t>进行</w:t>
                  </w:r>
                  <w:r>
                    <w:rPr>
                      <w:rFonts w:hint="default" w:ascii="Times New Roman" w:hAnsi="Times New Roman" w:cs="Times New Roman"/>
                      <w:color w:val="auto"/>
                      <w:szCs w:val="21"/>
                      <w:highlight w:val="none"/>
                    </w:rPr>
                    <w:t>。</w:t>
                  </w:r>
                </w:p>
              </w:tc>
            </w:tr>
            <w:tr w14:paraId="597A355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71C72709">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433C4E35">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弃渣场</w:t>
                  </w:r>
                </w:p>
              </w:tc>
              <w:tc>
                <w:tcPr>
                  <w:tcW w:w="3908" w:type="pct"/>
                  <w:noWrap w:val="0"/>
                  <w:vAlign w:val="top"/>
                </w:tcPr>
                <w:p w14:paraId="0819151F">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设置1处弃渣场，</w:t>
                  </w:r>
                  <w:r>
                    <w:rPr>
                      <w:rFonts w:hint="eastAsia" w:cs="Times New Roman"/>
                      <w:color w:val="auto"/>
                      <w:szCs w:val="21"/>
                      <w:highlight w:val="yellow"/>
                      <w:lang w:val="en-US" w:eastAsia="zh-CN"/>
                    </w:rPr>
                    <w:t>位于原河道东侧150m处</w:t>
                  </w:r>
                  <w:r>
                    <w:rPr>
                      <w:rFonts w:hint="eastAsia" w:cs="Times New Roman"/>
                      <w:color w:val="auto"/>
                      <w:szCs w:val="21"/>
                      <w:highlight w:val="none"/>
                      <w:lang w:val="en-US" w:eastAsia="zh-CN"/>
                    </w:rPr>
                    <w:t>，占地面积4.80亩，用地类型为水域及水利设施用地，现状为沟道型弃土场，可堆渣量4.44万m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，平均回填高度3m，该弃渣场可容纳本项目的弃土38457.99m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w:t>
                  </w:r>
                </w:p>
              </w:tc>
            </w:tr>
            <w:tr w14:paraId="601C07C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04702ECA">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284734FC">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临时道路</w:t>
                  </w:r>
                </w:p>
              </w:tc>
              <w:tc>
                <w:tcPr>
                  <w:tcW w:w="3908" w:type="pct"/>
                  <w:noWrap w:val="0"/>
                  <w:vAlign w:val="top"/>
                </w:tcPr>
                <w:p w14:paraId="0A3628A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施工</w:t>
                  </w:r>
                  <w:r>
                    <w:rPr>
                      <w:rFonts w:hint="default" w:ascii="Times New Roman" w:hAnsi="Times New Roman" w:eastAsia="宋体" w:cs="Times New Roman"/>
                      <w:color w:val="auto"/>
                      <w:szCs w:val="21"/>
                      <w:highlight w:val="none"/>
                      <w:lang w:val="en-US" w:eastAsia="zh-CN"/>
                    </w:rPr>
                    <w:t>临时道路长度</w:t>
                  </w: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lang w:val="en-US" w:eastAsia="zh-CN"/>
                    </w:rPr>
                    <w:t>k</w:t>
                  </w:r>
                  <w:r>
                    <w:rPr>
                      <w:rFonts w:hint="default" w:ascii="Times New Roman" w:hAnsi="Times New Roman" w:cs="Times New Roman"/>
                      <w:color w:val="auto"/>
                      <w:szCs w:val="21"/>
                      <w:highlight w:val="none"/>
                      <w:lang w:val="en-US" w:eastAsia="zh-CN"/>
                    </w:rPr>
                    <w:t>m</w:t>
                  </w:r>
                  <w:r>
                    <w:rPr>
                      <w:rFonts w:hint="default" w:ascii="Times New Roman" w:hAnsi="Times New Roman" w:eastAsia="宋体" w:cs="Times New Roman"/>
                      <w:color w:val="auto"/>
                      <w:szCs w:val="21"/>
                      <w:highlight w:val="none"/>
                      <w:lang w:val="en-US" w:eastAsia="zh-CN"/>
                    </w:rPr>
                    <w:t>、路面宽度为5.0</w:t>
                  </w:r>
                  <w:r>
                    <w:rPr>
                      <w:rFonts w:hint="default" w:ascii="Times New Roman" w:hAnsi="Times New Roman" w:cs="Times New Roman"/>
                      <w:color w:val="auto"/>
                      <w:szCs w:val="21"/>
                      <w:highlight w:val="none"/>
                      <w:lang w:val="en-US" w:eastAsia="zh-CN"/>
                    </w:rPr>
                    <w:t xml:space="preserve"> m</w:t>
                  </w:r>
                  <w:r>
                    <w:rPr>
                      <w:rFonts w:hint="default" w:ascii="Times New Roman" w:hAnsi="Times New Roman" w:eastAsia="宋体" w:cs="Times New Roman"/>
                      <w:color w:val="auto"/>
                      <w:szCs w:val="21"/>
                      <w:highlight w:val="none"/>
                      <w:lang w:val="en-US" w:eastAsia="zh-CN"/>
                    </w:rPr>
                    <w:t>，占地面积</w:t>
                  </w:r>
                  <w:r>
                    <w:rPr>
                      <w:rFonts w:hint="eastAsia" w:cs="Times New Roman"/>
                      <w:color w:val="auto"/>
                      <w:szCs w:val="21"/>
                      <w:highlight w:val="none"/>
                      <w:lang w:val="en-US" w:eastAsia="zh-CN"/>
                    </w:rPr>
                    <w:t>4.50亩，耕地3.6亩，林地0.9亩</w:t>
                  </w:r>
                  <w:r>
                    <w:rPr>
                      <w:rFonts w:hint="default" w:ascii="Times New Roman" w:hAnsi="Times New Roman" w:cs="Times New Roman"/>
                      <w:color w:val="auto"/>
                      <w:szCs w:val="21"/>
                      <w:highlight w:val="none"/>
                    </w:rPr>
                    <w:t>。</w:t>
                  </w:r>
                </w:p>
              </w:tc>
            </w:tr>
            <w:tr w14:paraId="7AFAE0B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4" w:type="pct"/>
                  <w:vMerge w:val="continue"/>
                  <w:noWrap w:val="0"/>
                  <w:vAlign w:val="center"/>
                </w:tcPr>
                <w:p w14:paraId="706F62ED">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49D76162">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eastAsia="zh-CN"/>
                    </w:rPr>
                    <w:t>表土暂存场</w:t>
                  </w:r>
                </w:p>
              </w:tc>
              <w:tc>
                <w:tcPr>
                  <w:tcW w:w="3908" w:type="pct"/>
                  <w:noWrap w:val="0"/>
                  <w:vAlign w:val="top"/>
                </w:tcPr>
                <w:p w14:paraId="7C0B555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设置</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rPr>
                    <w:t>处</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rPr>
                    <w:t>，</w:t>
                  </w:r>
                  <w:r>
                    <w:rPr>
                      <w:rFonts w:hint="eastAsia" w:cs="Times New Roman"/>
                      <w:color w:val="auto"/>
                      <w:szCs w:val="21"/>
                      <w:highlight w:val="yellow"/>
                      <w:lang w:val="en-US" w:eastAsia="zh-CN"/>
                    </w:rPr>
                    <w:t>位于改道工程西北侧1.8km处，</w:t>
                  </w:r>
                  <w:r>
                    <w:rPr>
                      <w:rFonts w:hint="default" w:ascii="Times New Roman" w:hAnsi="Times New Roman" w:cs="Times New Roman"/>
                      <w:color w:val="auto"/>
                      <w:szCs w:val="21"/>
                      <w:highlight w:val="none"/>
                      <w:lang w:eastAsia="zh-CN"/>
                    </w:rPr>
                    <w:t>表土暂存场</w:t>
                  </w:r>
                  <w:r>
                    <w:rPr>
                      <w:rFonts w:hint="default" w:ascii="Times New Roman" w:hAnsi="Times New Roman" w:cs="Times New Roman"/>
                      <w:color w:val="auto"/>
                      <w:szCs w:val="21"/>
                      <w:highlight w:val="none"/>
                      <w:lang w:val="en-US" w:eastAsia="zh-CN"/>
                    </w:rPr>
                    <w:t>占地面积</w:t>
                  </w:r>
                  <w:r>
                    <w:rPr>
                      <w:rFonts w:hint="eastAsia" w:cs="Times New Roman"/>
                      <w:color w:val="auto"/>
                      <w:szCs w:val="21"/>
                      <w:highlight w:val="none"/>
                      <w:lang w:val="en-US" w:eastAsia="zh-CN"/>
                    </w:rPr>
                    <w:t>22.19</w:t>
                  </w:r>
                  <w:r>
                    <w:rPr>
                      <w:rFonts w:hint="default" w:ascii="Times New Roman" w:hAnsi="Times New Roman" w:cs="Times New Roman"/>
                      <w:color w:val="auto"/>
                      <w:szCs w:val="21"/>
                      <w:highlight w:val="none"/>
                      <w:lang w:val="en-US" w:eastAsia="zh-CN"/>
                    </w:rPr>
                    <w:t>亩，占地类型</w:t>
                  </w:r>
                  <w:r>
                    <w:rPr>
                      <w:rFonts w:hint="eastAsia" w:cs="Times New Roman"/>
                      <w:color w:val="auto"/>
                      <w:szCs w:val="21"/>
                      <w:highlight w:val="none"/>
                      <w:lang w:val="en-US" w:eastAsia="zh-CN"/>
                    </w:rPr>
                    <w:t>为水域及水利设施用地</w:t>
                  </w:r>
                  <w:r>
                    <w:rPr>
                      <w:rFonts w:hint="eastAsia" w:cs="Times New Roman"/>
                      <w:color w:val="auto"/>
                      <w:szCs w:val="21"/>
                      <w:highlight w:val="yellow"/>
                      <w:lang w:val="en-US" w:eastAsia="zh-CN"/>
                    </w:rPr>
                    <w:t>，用地现状为废弃坑塘</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lang w:val="en-US" w:eastAsia="zh-CN"/>
                    </w:rPr>
                    <w:t>表土</w:t>
                  </w:r>
                  <w:r>
                    <w:rPr>
                      <w:rFonts w:hint="default" w:ascii="Times New Roman" w:hAnsi="Times New Roman" w:cs="Times New Roman"/>
                      <w:color w:val="auto"/>
                      <w:szCs w:val="21"/>
                      <w:highlight w:val="none"/>
                    </w:rPr>
                    <w:t>全部由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Cs w:val="21"/>
                      <w:highlight w:val="none"/>
                    </w:rPr>
                    <w:t>外运并进行综合利用，重点用于</w:t>
                  </w:r>
                  <w:r>
                    <w:rPr>
                      <w:rFonts w:hint="default" w:ascii="Times New Roman" w:hAnsi="Times New Roman" w:cs="Times New Roman"/>
                      <w:color w:val="auto"/>
                      <w:szCs w:val="21"/>
                      <w:highlight w:val="none"/>
                      <w:lang w:val="en-US" w:eastAsia="zh-CN"/>
                    </w:rPr>
                    <w:t>土地改良</w:t>
                  </w:r>
                  <w:r>
                    <w:rPr>
                      <w:rFonts w:hint="default" w:ascii="Times New Roman" w:hAnsi="Times New Roman" w:cs="Times New Roman"/>
                      <w:color w:val="auto"/>
                      <w:szCs w:val="21"/>
                      <w:highlight w:val="none"/>
                      <w:lang w:eastAsia="zh-CN"/>
                    </w:rPr>
                    <w:t>，</w:t>
                  </w:r>
                  <w:r>
                    <w:rPr>
                      <w:rFonts w:hint="eastAsia" w:cs="Times New Roman"/>
                      <w:color w:val="auto"/>
                      <w:szCs w:val="21"/>
                      <w:highlight w:val="none"/>
                      <w:lang w:val="en-US" w:eastAsia="zh-CN"/>
                    </w:rPr>
                    <w:t>表土</w:t>
                  </w:r>
                  <w:r>
                    <w:rPr>
                      <w:rFonts w:hint="default" w:ascii="Times New Roman" w:hAnsi="Times New Roman" w:cs="Times New Roman"/>
                      <w:color w:val="auto"/>
                      <w:szCs w:val="21"/>
                      <w:highlight w:val="none"/>
                      <w:lang w:eastAsia="zh-CN"/>
                    </w:rPr>
                    <w:t>的运输、储存、利用等环节的安全、环保及水土保持由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Cs w:val="21"/>
                      <w:highlight w:val="none"/>
                      <w:lang w:eastAsia="zh-CN"/>
                    </w:rPr>
                    <w:t>承担。</w:t>
                  </w:r>
                </w:p>
              </w:tc>
            </w:tr>
            <w:tr w14:paraId="3420301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4" w:type="pct"/>
                  <w:vMerge w:val="continue"/>
                  <w:noWrap w:val="0"/>
                  <w:vAlign w:val="center"/>
                </w:tcPr>
                <w:p w14:paraId="3409B984">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37641E9C">
                  <w:pPr>
                    <w:adjustRightInd w:val="0"/>
                    <w:snapToGrid w:val="0"/>
                    <w:spacing w:line="276" w:lineRule="auto"/>
                    <w:jc w:val="center"/>
                    <w:rPr>
                      <w:rFonts w:hint="default" w:ascii="Times New Roman" w:hAnsi="Times New Roman" w:cs="Times New Roman"/>
                      <w:color w:val="auto"/>
                      <w:szCs w:val="21"/>
                      <w:highlight w:val="yellow"/>
                      <w:lang w:val="en-US" w:eastAsia="zh-CN"/>
                    </w:rPr>
                  </w:pPr>
                  <w:r>
                    <w:rPr>
                      <w:rFonts w:hint="eastAsia" w:cs="Times New Roman"/>
                      <w:color w:val="auto"/>
                      <w:szCs w:val="21"/>
                      <w:highlight w:val="yellow"/>
                      <w:lang w:val="en-US" w:eastAsia="zh-CN"/>
                    </w:rPr>
                    <w:t>临时材料堆放场</w:t>
                  </w:r>
                </w:p>
              </w:tc>
              <w:tc>
                <w:tcPr>
                  <w:tcW w:w="3908" w:type="pct"/>
                  <w:noWrap w:val="0"/>
                  <w:vAlign w:val="top"/>
                </w:tcPr>
                <w:p w14:paraId="1D41DD0B">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yellow"/>
                    </w:rPr>
                    <w:t>设置</w:t>
                  </w:r>
                  <w:r>
                    <w:rPr>
                      <w:rFonts w:hint="eastAsia" w:cs="Times New Roman"/>
                      <w:color w:val="auto"/>
                      <w:szCs w:val="21"/>
                      <w:highlight w:val="yellow"/>
                      <w:lang w:val="en-US" w:eastAsia="zh-CN"/>
                    </w:rPr>
                    <w:t>1</w:t>
                  </w:r>
                  <w:r>
                    <w:rPr>
                      <w:rFonts w:hint="default" w:ascii="Times New Roman" w:hAnsi="Times New Roman" w:cs="Times New Roman"/>
                      <w:color w:val="auto"/>
                      <w:szCs w:val="21"/>
                      <w:highlight w:val="yellow"/>
                    </w:rPr>
                    <w:t>处</w:t>
                  </w:r>
                  <w:r>
                    <w:rPr>
                      <w:rFonts w:hint="eastAsia" w:cs="Times New Roman"/>
                      <w:color w:val="auto"/>
                      <w:szCs w:val="21"/>
                      <w:highlight w:val="yellow"/>
                      <w:lang w:val="en-US" w:eastAsia="zh-CN"/>
                    </w:rPr>
                    <w:t>临时材料堆放场</w:t>
                  </w:r>
                  <w:r>
                    <w:rPr>
                      <w:rFonts w:hint="default" w:ascii="Times New Roman" w:hAnsi="Times New Roman" w:cs="Times New Roman"/>
                      <w:color w:val="auto"/>
                      <w:szCs w:val="21"/>
                      <w:highlight w:val="yellow"/>
                    </w:rPr>
                    <w:t>，</w:t>
                  </w:r>
                  <w:r>
                    <w:rPr>
                      <w:rFonts w:hint="eastAsia" w:cs="Times New Roman"/>
                      <w:color w:val="auto"/>
                      <w:szCs w:val="21"/>
                      <w:highlight w:val="yellow"/>
                      <w:lang w:val="en-US" w:eastAsia="zh-CN"/>
                    </w:rPr>
                    <w:t>位于河道改道工程西侧，</w:t>
                  </w:r>
                  <w:r>
                    <w:rPr>
                      <w:rFonts w:hint="default" w:ascii="Times New Roman" w:hAnsi="Times New Roman" w:cs="Times New Roman"/>
                      <w:color w:val="auto"/>
                      <w:szCs w:val="21"/>
                      <w:highlight w:val="yellow"/>
                      <w:lang w:val="en-US" w:eastAsia="zh-CN"/>
                    </w:rPr>
                    <w:t>占地面积</w:t>
                  </w:r>
                  <w:r>
                    <w:rPr>
                      <w:rFonts w:hint="eastAsia" w:cs="Times New Roman"/>
                      <w:color w:val="auto"/>
                      <w:szCs w:val="21"/>
                      <w:highlight w:val="yellow"/>
                      <w:lang w:val="en-US" w:eastAsia="zh-CN"/>
                    </w:rPr>
                    <w:t>3</w:t>
                  </w:r>
                  <w:r>
                    <w:rPr>
                      <w:rFonts w:hint="default" w:ascii="Times New Roman" w:hAnsi="Times New Roman" w:cs="Times New Roman"/>
                      <w:color w:val="auto"/>
                      <w:szCs w:val="21"/>
                      <w:highlight w:val="yellow"/>
                      <w:lang w:val="en-US" w:eastAsia="zh-CN"/>
                    </w:rPr>
                    <w:t>亩，占地类型</w:t>
                  </w:r>
                  <w:r>
                    <w:rPr>
                      <w:rFonts w:hint="eastAsia" w:cs="Times New Roman"/>
                      <w:color w:val="auto"/>
                      <w:szCs w:val="21"/>
                      <w:highlight w:val="yellow"/>
                      <w:lang w:val="en-US" w:eastAsia="zh-CN"/>
                    </w:rPr>
                    <w:t>为耕地，用地现状为荒草地。</w:t>
                  </w:r>
                </w:p>
              </w:tc>
            </w:tr>
            <w:tr w14:paraId="080508B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434043A1">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23505895">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取土场</w:t>
                  </w:r>
                </w:p>
              </w:tc>
              <w:tc>
                <w:tcPr>
                  <w:tcW w:w="3908" w:type="pct"/>
                  <w:noWrap w:val="0"/>
                  <w:vAlign w:val="top"/>
                </w:tcPr>
                <w:p w14:paraId="2A3F1E19">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不设置</w:t>
                  </w:r>
                  <w:r>
                    <w:rPr>
                      <w:rFonts w:hint="default" w:ascii="Times New Roman" w:hAnsi="Times New Roman" w:cs="Times New Roman"/>
                      <w:color w:val="auto"/>
                      <w:szCs w:val="21"/>
                      <w:highlight w:val="none"/>
                      <w:lang w:val="en-US" w:eastAsia="zh-CN"/>
                    </w:rPr>
                    <w:t>1处取土场</w:t>
                  </w:r>
                  <w:r>
                    <w:rPr>
                      <w:rFonts w:hint="default" w:ascii="Times New Roman" w:hAnsi="Times New Roman" w:cs="Times New Roman"/>
                      <w:color w:val="auto"/>
                      <w:kern w:val="0"/>
                      <w:sz w:val="21"/>
                      <w:szCs w:val="21"/>
                      <w:highlight w:val="none"/>
                      <w:lang w:val="en-US" w:eastAsia="zh-CN"/>
                    </w:rPr>
                    <w:t>。</w:t>
                  </w:r>
                </w:p>
              </w:tc>
            </w:tr>
            <w:tr w14:paraId="75CAC50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32022B32">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59647487">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建筑材料</w:t>
                  </w:r>
                </w:p>
              </w:tc>
              <w:tc>
                <w:tcPr>
                  <w:tcW w:w="3908" w:type="pct"/>
                  <w:noWrap w:val="0"/>
                  <w:vAlign w:val="top"/>
                </w:tcPr>
                <w:p w14:paraId="1C5D4F46">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柴油从</w:t>
                  </w:r>
                  <w:r>
                    <w:rPr>
                      <w:rFonts w:hint="eastAsia" w:cs="Times New Roman"/>
                      <w:color w:val="auto"/>
                      <w:szCs w:val="21"/>
                      <w:highlight w:val="none"/>
                      <w:lang w:val="en-US" w:eastAsia="zh-CN"/>
                    </w:rPr>
                    <w:t>庆安县县城</w:t>
                  </w:r>
                  <w:r>
                    <w:rPr>
                      <w:rFonts w:hint="default" w:ascii="Times New Roman" w:hAnsi="Times New Roman" w:cs="Times New Roman"/>
                      <w:color w:val="auto"/>
                      <w:szCs w:val="21"/>
                      <w:highlight w:val="none"/>
                    </w:rPr>
                    <w:t>采购，运距</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w:t>
                  </w:r>
                </w:p>
              </w:tc>
            </w:tr>
            <w:tr w14:paraId="52A7F48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1B8ECDAD">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7941C00A">
                  <w:pPr>
                    <w:adjustRightInd w:val="0"/>
                    <w:snapToGrid w:val="0"/>
                    <w:spacing w:line="276" w:lineRule="auto"/>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风水电系统</w:t>
                  </w:r>
                </w:p>
              </w:tc>
              <w:tc>
                <w:tcPr>
                  <w:tcW w:w="3908" w:type="pct"/>
                  <w:noWrap w:val="0"/>
                  <w:vAlign w:val="top"/>
                </w:tcPr>
                <w:p w14:paraId="2367383E">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生产用水</w:t>
                  </w:r>
                  <w:r>
                    <w:rPr>
                      <w:rFonts w:hint="default" w:ascii="Times New Roman" w:hAnsi="Times New Roman" w:cs="Times New Roman"/>
                      <w:color w:val="auto"/>
                      <w:szCs w:val="21"/>
                      <w:highlight w:val="none"/>
                      <w:lang w:val="en-US" w:eastAsia="zh-CN"/>
                    </w:rPr>
                    <w:t>采用水泵抽取</w:t>
                  </w:r>
                  <w:r>
                    <w:rPr>
                      <w:rFonts w:hint="eastAsia" w:cs="Times New Roman"/>
                      <w:color w:val="auto"/>
                      <w:szCs w:val="21"/>
                      <w:highlight w:val="none"/>
                      <w:lang w:val="en-US" w:eastAsia="zh-CN"/>
                    </w:rPr>
                    <w:t>格木克河</w:t>
                  </w:r>
                  <w:r>
                    <w:rPr>
                      <w:rFonts w:hint="default" w:ascii="Times New Roman" w:hAnsi="Times New Roman" w:cs="Times New Roman"/>
                      <w:color w:val="auto"/>
                      <w:szCs w:val="21"/>
                      <w:highlight w:val="none"/>
                      <w:lang w:val="en-US" w:eastAsia="zh-CN"/>
                    </w:rPr>
                    <w:t>河水</w:t>
                  </w:r>
                  <w:r>
                    <w:rPr>
                      <w:rFonts w:hint="default" w:ascii="Times New Roman" w:hAnsi="Times New Roman" w:cs="Times New Roman"/>
                      <w:color w:val="auto"/>
                      <w:szCs w:val="21"/>
                      <w:highlight w:val="none"/>
                    </w:rPr>
                    <w:t>，生活用水采用桶装水；施工用电采用自发电，采用移动柴油发电机组为主。</w:t>
                  </w:r>
                </w:p>
              </w:tc>
            </w:tr>
            <w:tr w14:paraId="5A5CE51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restart"/>
                  <w:noWrap w:val="0"/>
                  <w:vAlign w:val="center"/>
                </w:tcPr>
                <w:p w14:paraId="4D6E69B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工程占地</w:t>
                  </w:r>
                </w:p>
              </w:tc>
              <w:tc>
                <w:tcPr>
                  <w:tcW w:w="756" w:type="pct"/>
                  <w:gridSpan w:val="2"/>
                  <w:noWrap w:val="0"/>
                  <w:vAlign w:val="center"/>
                </w:tcPr>
                <w:p w14:paraId="12849C6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永久占地</w:t>
                  </w:r>
                </w:p>
              </w:tc>
              <w:tc>
                <w:tcPr>
                  <w:tcW w:w="3908" w:type="pct"/>
                  <w:noWrap w:val="0"/>
                  <w:vAlign w:val="top"/>
                </w:tcPr>
                <w:p w14:paraId="2E2E3AD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本次新增永久征收土地面积为41.38亩，其中耕地</w:t>
                  </w:r>
                  <w:r>
                    <w:rPr>
                      <w:rFonts w:hint="eastAsia" w:cs="Times New Roman"/>
                      <w:color w:val="auto"/>
                      <w:highlight w:val="none"/>
                      <w:lang w:val="en-US" w:eastAsia="zh-CN"/>
                    </w:rPr>
                    <w:t>22.79</w:t>
                  </w:r>
                  <w:r>
                    <w:rPr>
                      <w:rFonts w:hint="default" w:ascii="Times New Roman" w:hAnsi="Times New Roman" w:cs="Times New Roman"/>
                      <w:color w:val="auto"/>
                      <w:highlight w:val="none"/>
                      <w:lang w:val="en-US" w:eastAsia="zh-CN"/>
                    </w:rPr>
                    <w:t>亩（其中旱地2.85亩，水田19.94亩）、林地13.49亩（全部为其他林地）、草地1.65亩（全部为其他草地）、水域及水利设施用地3.45亩（坑塘水面1.80亩、沟渠1.65亩）。</w:t>
                  </w:r>
                </w:p>
                <w:p w14:paraId="14DA5EB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本工程不涉及占用永久基本农田。</w:t>
                  </w:r>
                </w:p>
              </w:tc>
            </w:tr>
            <w:tr w14:paraId="0F4B1DE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vMerge w:val="continue"/>
                  <w:noWrap w:val="0"/>
                  <w:vAlign w:val="center"/>
                </w:tcPr>
                <w:p w14:paraId="26B10E79">
                  <w:pPr>
                    <w:adjustRightInd w:val="0"/>
                    <w:snapToGrid w:val="0"/>
                    <w:spacing w:line="276" w:lineRule="auto"/>
                    <w:jc w:val="center"/>
                    <w:rPr>
                      <w:rFonts w:hint="default" w:ascii="Times New Roman" w:hAnsi="Times New Roman" w:cs="Times New Roman"/>
                      <w:color w:val="auto"/>
                      <w:szCs w:val="21"/>
                      <w:highlight w:val="none"/>
                    </w:rPr>
                  </w:pPr>
                </w:p>
              </w:tc>
              <w:tc>
                <w:tcPr>
                  <w:tcW w:w="756" w:type="pct"/>
                  <w:gridSpan w:val="2"/>
                  <w:noWrap w:val="0"/>
                  <w:vAlign w:val="center"/>
                </w:tcPr>
                <w:p w14:paraId="6D647FD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临时占地</w:t>
                  </w:r>
                </w:p>
              </w:tc>
              <w:tc>
                <w:tcPr>
                  <w:tcW w:w="3908" w:type="pct"/>
                  <w:noWrap w:val="0"/>
                  <w:vAlign w:val="top"/>
                </w:tcPr>
                <w:p w14:paraId="5CEE361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新增临时</w:t>
                  </w:r>
                  <w:r>
                    <w:rPr>
                      <w:rFonts w:hint="eastAsia" w:cs="Times New Roman"/>
                      <w:color w:val="auto"/>
                      <w:highlight w:val="none"/>
                      <w:lang w:val="en-US" w:eastAsia="zh-CN"/>
                    </w:rPr>
                    <w:t>占地</w:t>
                  </w:r>
                  <w:r>
                    <w:rPr>
                      <w:rFonts w:hint="default" w:ascii="Times New Roman" w:hAnsi="Times New Roman" w:cs="Times New Roman"/>
                      <w:color w:val="auto"/>
                      <w:highlight w:val="none"/>
                      <w:lang w:val="en-US" w:eastAsia="zh-CN"/>
                    </w:rPr>
                    <w:t>土地面积</w:t>
                  </w:r>
                  <w:r>
                    <w:rPr>
                      <w:rFonts w:hint="eastAsia" w:cs="Times New Roman"/>
                      <w:color w:val="auto"/>
                      <w:highlight w:val="none"/>
                      <w:lang w:val="en-US" w:eastAsia="zh-CN"/>
                    </w:rPr>
                    <w:t>35.54</w:t>
                  </w:r>
                  <w:r>
                    <w:rPr>
                      <w:rFonts w:hint="default" w:ascii="Times New Roman" w:hAnsi="Times New Roman" w:cs="Times New Roman"/>
                      <w:color w:val="auto"/>
                      <w:highlight w:val="none"/>
                      <w:lang w:val="en-US" w:eastAsia="zh-CN"/>
                    </w:rPr>
                    <w:t>亩，其中临时占用耕地6.60亩（全部为水田），林地0.90亩，草地1.05亩，水域及水利设施用地26.99亩</w:t>
                  </w:r>
                  <w:r>
                    <w:rPr>
                      <w:rFonts w:hint="eastAsia" w:cs="Times New Roman"/>
                      <w:color w:val="auto"/>
                      <w:highlight w:val="none"/>
                      <w:lang w:val="en-US" w:eastAsia="zh-CN"/>
                    </w:rPr>
                    <w:t>，未占用基本农田</w:t>
                  </w:r>
                  <w:r>
                    <w:rPr>
                      <w:rFonts w:hint="default" w:ascii="Times New Roman" w:hAnsi="Times New Roman" w:cs="Times New Roman"/>
                      <w:color w:val="auto"/>
                      <w:highlight w:val="none"/>
                      <w:lang w:val="en-US" w:eastAsia="zh-CN"/>
                    </w:rPr>
                    <w:t>。</w:t>
                  </w:r>
                </w:p>
                <w:p w14:paraId="76584493">
                  <w:pPr>
                    <w:keepNext w:val="0"/>
                    <w:keepLines w:val="0"/>
                    <w:pageBreakBefore w:val="0"/>
                    <w:widowControl w:val="0"/>
                    <w:numPr>
                      <w:ilvl w:val="0"/>
                      <w:numId w:val="0"/>
                    </w:numPr>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en-US" w:eastAsia="zh-CN"/>
                    </w:rPr>
                    <w:t>其中施工生产生活区临时占用</w:t>
                  </w:r>
                  <w:r>
                    <w:rPr>
                      <w:rFonts w:hint="eastAsia" w:cs="Times New Roman"/>
                      <w:color w:val="auto"/>
                      <w:highlight w:val="none"/>
                      <w:lang w:val="en-US" w:eastAsia="zh-CN"/>
                    </w:rPr>
                    <w:t>草地1.05</w:t>
                  </w:r>
                  <w:r>
                    <w:rPr>
                      <w:rFonts w:hint="default" w:ascii="Times New Roman" w:hAnsi="Times New Roman" w:cs="Times New Roman"/>
                      <w:color w:val="auto"/>
                      <w:highlight w:val="none"/>
                      <w:lang w:val="en-US" w:eastAsia="zh-CN"/>
                    </w:rPr>
                    <w:t>亩，临时施工道路区临时占用耕地占地面积</w:t>
                  </w:r>
                  <w:r>
                    <w:rPr>
                      <w:rFonts w:hint="eastAsia" w:cs="Times New Roman"/>
                      <w:color w:val="auto"/>
                      <w:highlight w:val="none"/>
                      <w:lang w:val="en-US" w:eastAsia="zh-CN"/>
                    </w:rPr>
                    <w:t>4.50</w:t>
                  </w:r>
                  <w:r>
                    <w:rPr>
                      <w:rFonts w:hint="default" w:ascii="Times New Roman" w:hAnsi="Times New Roman" w:cs="Times New Roman"/>
                      <w:color w:val="auto"/>
                      <w:highlight w:val="none"/>
                      <w:lang w:val="en-US" w:eastAsia="zh-CN"/>
                    </w:rPr>
                    <w:t>亩</w:t>
                  </w:r>
                  <w:r>
                    <w:rPr>
                      <w:rFonts w:hint="eastAsia" w:cs="Times New Roman"/>
                      <w:color w:val="auto"/>
                      <w:highlight w:val="none"/>
                      <w:lang w:val="en-US" w:eastAsia="zh-CN"/>
                    </w:rPr>
                    <w:t>（3.60亩耕地、0.90亩林地）</w:t>
                  </w:r>
                  <w:r>
                    <w:rPr>
                      <w:rFonts w:hint="default" w:ascii="Times New Roman" w:hAnsi="Times New Roman" w:cs="Times New Roman"/>
                      <w:color w:val="auto"/>
                      <w:highlight w:val="none"/>
                      <w:lang w:val="en-US" w:eastAsia="zh-CN"/>
                    </w:rPr>
                    <w:t>，表土暂存场临时占用</w:t>
                  </w:r>
                  <w:r>
                    <w:rPr>
                      <w:rFonts w:hint="eastAsia" w:cs="Times New Roman"/>
                      <w:color w:val="auto"/>
                      <w:highlight w:val="none"/>
                      <w:lang w:val="en-US" w:eastAsia="zh-CN"/>
                    </w:rPr>
                    <w:t>水域及水利设施用地4.80</w:t>
                  </w:r>
                  <w:r>
                    <w:rPr>
                      <w:rFonts w:hint="default" w:ascii="Times New Roman" w:hAnsi="Times New Roman" w:cs="Times New Roman"/>
                      <w:color w:val="auto"/>
                      <w:highlight w:val="none"/>
                      <w:lang w:val="en-US" w:eastAsia="zh-CN"/>
                    </w:rPr>
                    <w:t>亩，</w:t>
                  </w:r>
                  <w:r>
                    <w:rPr>
                      <w:rFonts w:hint="eastAsia" w:cs="Times New Roman"/>
                      <w:color w:val="auto"/>
                      <w:highlight w:val="none"/>
                      <w:lang w:val="en-US" w:eastAsia="zh-CN"/>
                    </w:rPr>
                    <w:t>施工材料堆放场临时</w:t>
                  </w:r>
                  <w:r>
                    <w:rPr>
                      <w:rFonts w:hint="default" w:ascii="Times New Roman" w:hAnsi="Times New Roman" w:cs="Times New Roman"/>
                      <w:color w:val="auto"/>
                      <w:highlight w:val="none"/>
                      <w:lang w:val="en-US" w:eastAsia="zh-CN"/>
                    </w:rPr>
                    <w:t>占用耕地</w:t>
                  </w:r>
                  <w:r>
                    <w:rPr>
                      <w:rFonts w:hint="eastAsia" w:cs="Times New Roman"/>
                      <w:color w:val="auto"/>
                      <w:highlight w:val="none"/>
                      <w:lang w:val="en-US" w:eastAsia="zh-CN"/>
                    </w:rPr>
                    <w:t>3.0</w:t>
                  </w:r>
                  <w:r>
                    <w:rPr>
                      <w:rFonts w:hint="default" w:ascii="Times New Roman" w:hAnsi="Times New Roman" w:cs="Times New Roman"/>
                      <w:color w:val="auto"/>
                      <w:highlight w:val="none"/>
                      <w:lang w:val="en-US" w:eastAsia="zh-CN"/>
                    </w:rPr>
                    <w:t>亩，</w:t>
                  </w:r>
                  <w:r>
                    <w:rPr>
                      <w:rFonts w:hint="eastAsia" w:cs="Times New Roman"/>
                      <w:color w:val="auto"/>
                      <w:highlight w:val="none"/>
                      <w:lang w:val="en-US" w:eastAsia="zh-CN"/>
                    </w:rPr>
                    <w:t>弃渣场</w:t>
                  </w:r>
                  <w:r>
                    <w:rPr>
                      <w:rFonts w:hint="default" w:ascii="Times New Roman" w:hAnsi="Times New Roman" w:cs="Times New Roman"/>
                      <w:color w:val="auto"/>
                      <w:highlight w:val="none"/>
                      <w:lang w:val="en-US" w:eastAsia="zh-CN"/>
                    </w:rPr>
                    <w:t>临时占用水利及</w:t>
                  </w:r>
                  <w:r>
                    <w:rPr>
                      <w:rFonts w:hint="eastAsia" w:cs="Times New Roman"/>
                      <w:color w:val="auto"/>
                      <w:highlight w:val="none"/>
                      <w:lang w:val="en-US" w:eastAsia="zh-CN"/>
                    </w:rPr>
                    <w:t>水利</w:t>
                  </w:r>
                  <w:r>
                    <w:rPr>
                      <w:rFonts w:hint="default" w:ascii="Times New Roman" w:hAnsi="Times New Roman" w:cs="Times New Roman"/>
                      <w:color w:val="auto"/>
                      <w:highlight w:val="none"/>
                      <w:lang w:val="en-US" w:eastAsia="zh-CN"/>
                    </w:rPr>
                    <w:t>设施用地占地</w:t>
                  </w:r>
                  <w:r>
                    <w:rPr>
                      <w:rFonts w:hint="eastAsia" w:cs="Times New Roman"/>
                      <w:color w:val="auto"/>
                      <w:highlight w:val="none"/>
                      <w:lang w:val="en-US" w:eastAsia="zh-CN"/>
                    </w:rPr>
                    <w:t>22.19</w:t>
                  </w:r>
                  <w:r>
                    <w:rPr>
                      <w:rFonts w:hint="default" w:ascii="Times New Roman" w:hAnsi="Times New Roman" w:cs="Times New Roman"/>
                      <w:color w:val="auto"/>
                      <w:highlight w:val="none"/>
                      <w:lang w:val="en-US" w:eastAsia="zh-CN"/>
                    </w:rPr>
                    <w:t>亩。</w:t>
                  </w:r>
                </w:p>
              </w:tc>
            </w:tr>
            <w:tr w14:paraId="41CF7FD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1" w:type="pct"/>
                  <w:gridSpan w:val="3"/>
                  <w:noWrap w:val="0"/>
                  <w:vAlign w:val="center"/>
                </w:tcPr>
                <w:p w14:paraId="130DF484">
                  <w:pPr>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土石方工程</w:t>
                  </w:r>
                </w:p>
              </w:tc>
              <w:tc>
                <w:tcPr>
                  <w:tcW w:w="3908" w:type="pct"/>
                  <w:noWrap w:val="0"/>
                  <w:vAlign w:val="top"/>
                </w:tcPr>
                <w:p w14:paraId="398A4D2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开挖方</w:t>
                  </w:r>
                  <w:r>
                    <w:rPr>
                      <w:rFonts w:hint="eastAsia" w:cs="Times New Roman"/>
                      <w:color w:val="auto"/>
                      <w:sz w:val="21"/>
                      <w:szCs w:val="21"/>
                      <w:highlight w:val="none"/>
                      <w:lang w:val="en-US" w:eastAsia="zh-CN"/>
                    </w:rPr>
                    <w:t>48497.19</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lang w:val="en-US" w:eastAsia="zh-CN"/>
                    </w:rPr>
                    <w:t>利用</w:t>
                  </w:r>
                  <w:r>
                    <w:rPr>
                      <w:rFonts w:hint="default" w:ascii="Times New Roman" w:hAnsi="Times New Roman" w:cs="Times New Roman"/>
                      <w:color w:val="auto"/>
                      <w:sz w:val="21"/>
                      <w:szCs w:val="21"/>
                      <w:highlight w:val="none"/>
                    </w:rPr>
                    <w:t>方</w:t>
                  </w:r>
                  <w:r>
                    <w:rPr>
                      <w:rFonts w:hint="eastAsia" w:cs="Times New Roman"/>
                      <w:color w:val="auto"/>
                      <w:sz w:val="21"/>
                      <w:szCs w:val="21"/>
                      <w:highlight w:val="none"/>
                      <w:lang w:val="en-US" w:eastAsia="zh-CN"/>
                    </w:rPr>
                    <w:t>1980.00</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，回填方</w:t>
                  </w:r>
                  <w:r>
                    <w:rPr>
                      <w:rFonts w:hint="eastAsia" w:cs="Times New Roman"/>
                      <w:color w:val="auto"/>
                      <w:sz w:val="21"/>
                      <w:szCs w:val="21"/>
                      <w:highlight w:val="none"/>
                      <w:lang w:val="en-US" w:eastAsia="zh-CN"/>
                    </w:rPr>
                    <w:t>1683.00</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，工程产生弃</w:t>
                  </w:r>
                  <w:r>
                    <w:rPr>
                      <w:rFonts w:hint="default" w:ascii="Times New Roman" w:hAnsi="Times New Roman" w:cs="Times New Roman"/>
                      <w:color w:val="auto"/>
                      <w:sz w:val="21"/>
                      <w:szCs w:val="21"/>
                      <w:highlight w:val="none"/>
                      <w:lang w:val="en-US" w:eastAsia="zh-CN"/>
                    </w:rPr>
                    <w:t>方</w:t>
                  </w:r>
                  <w:r>
                    <w:rPr>
                      <w:rFonts w:hint="eastAsia" w:cs="Times New Roman"/>
                      <w:color w:val="auto"/>
                      <w:sz w:val="21"/>
                      <w:szCs w:val="21"/>
                      <w:highlight w:val="none"/>
                      <w:lang w:val="en-US" w:eastAsia="zh-CN"/>
                    </w:rPr>
                    <w:t>46517.19</w:t>
                  </w:r>
                  <w:r>
                    <w:rPr>
                      <w:rFonts w:hint="default" w:ascii="Times New Roman" w:hAnsi="Times New Roman" w:cs="Times New Roman"/>
                      <w:color w:val="auto"/>
                      <w:sz w:val="21"/>
                      <w:szCs w:val="21"/>
                      <w:highlight w:val="none"/>
                      <w:lang w:eastAsia="zh-CN"/>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其中土方余方</w:t>
                  </w:r>
                  <w:r>
                    <w:rPr>
                      <w:rFonts w:hint="eastAsia" w:cs="Times New Roman"/>
                      <w:color w:val="auto"/>
                      <w:sz w:val="21"/>
                      <w:szCs w:val="21"/>
                      <w:highlight w:val="none"/>
                      <w:lang w:val="en-US" w:eastAsia="zh-CN"/>
                    </w:rPr>
                    <w:t>38457.99</w:t>
                  </w:r>
                  <w:r>
                    <w:rPr>
                      <w:rFonts w:hint="default" w:ascii="Times New Roman" w:hAnsi="Times New Roman" w:cs="Times New Roman"/>
                      <w:color w:val="auto"/>
                      <w:sz w:val="21"/>
                      <w:szCs w:val="21"/>
                      <w:highlight w:val="none"/>
                      <w:lang w:val="en-US" w:eastAsia="zh-CN"/>
                    </w:rPr>
                    <w:t xml:space="preserve">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就近填塘；表土</w:t>
                  </w:r>
                  <w:r>
                    <w:rPr>
                      <w:rFonts w:hint="eastAsia" w:cs="Times New Roman"/>
                      <w:color w:val="auto"/>
                      <w:sz w:val="21"/>
                      <w:szCs w:val="21"/>
                      <w:highlight w:val="none"/>
                      <w:lang w:val="en-US" w:eastAsia="zh-CN"/>
                    </w:rPr>
                    <w:t>8059.20</w:t>
                  </w:r>
                  <w:r>
                    <w:rPr>
                      <w:rFonts w:hint="default" w:ascii="Times New Roman" w:hAnsi="Times New Roman" w:cs="Times New Roman"/>
                      <w:color w:val="auto"/>
                      <w:sz w:val="21"/>
                      <w:szCs w:val="21"/>
                      <w:highlight w:val="none"/>
                      <w:lang w:val="en-US" w:eastAsia="zh-CN"/>
                    </w:rPr>
                    <w:t xml:space="preserve">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临时堆存在表土暂存场，</w:t>
                  </w:r>
                  <w:r>
                    <w:rPr>
                      <w:rFonts w:hint="default" w:ascii="Times New Roman" w:hAnsi="Times New Roman" w:cs="Times New Roman"/>
                      <w:color w:val="auto"/>
                      <w:sz w:val="21"/>
                      <w:szCs w:val="21"/>
                      <w:highlight w:val="none"/>
                    </w:rPr>
                    <w:t>全部由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p w14:paraId="6B9AD8B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临时工程表土暂存</w:t>
                  </w:r>
                  <w:r>
                    <w:rPr>
                      <w:rFonts w:hint="eastAsia" w:cs="Times New Roman"/>
                      <w:color w:val="auto"/>
                      <w:sz w:val="21"/>
                      <w:szCs w:val="21"/>
                      <w:highlight w:val="none"/>
                      <w:lang w:val="en-US" w:eastAsia="zh-CN"/>
                    </w:rPr>
                    <w:t>1500</w:t>
                  </w:r>
                  <w:r>
                    <w:rPr>
                      <w:rFonts w:hint="default" w:ascii="Times New Roman" w:hAnsi="Times New Roman" w:cs="Times New Roman"/>
                      <w:color w:val="auto"/>
                      <w:sz w:val="21"/>
                      <w:szCs w:val="21"/>
                      <w:highlight w:val="none"/>
                      <w:lang w:val="en-US" w:eastAsia="zh-CN"/>
                    </w:rPr>
                    <w:t xml:space="preserve"> 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临时工程占地范围内，施工结束后用于临时占地生态修复。</w:t>
                  </w:r>
                </w:p>
              </w:tc>
            </w:tr>
            <w:tr w14:paraId="0F47F18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restart"/>
                  <w:noWrap w:val="0"/>
                  <w:vAlign w:val="center"/>
                </w:tcPr>
                <w:p w14:paraId="497A7419">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w:t>
                  </w:r>
                </w:p>
                <w:p w14:paraId="72E9BC34">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632" w:type="pct"/>
                  <w:noWrap w:val="0"/>
                  <w:vAlign w:val="center"/>
                </w:tcPr>
                <w:p w14:paraId="3CEAB747">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供水</w:t>
                  </w:r>
                </w:p>
              </w:tc>
              <w:tc>
                <w:tcPr>
                  <w:tcW w:w="3908" w:type="pct"/>
                  <w:noWrap w:val="0"/>
                  <w:vAlign w:val="top"/>
                </w:tcPr>
                <w:p w14:paraId="10A0383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生产用水</w:t>
                  </w:r>
                  <w:r>
                    <w:rPr>
                      <w:rFonts w:hint="default" w:ascii="Times New Roman" w:hAnsi="Times New Roman" w:cs="Times New Roman"/>
                      <w:color w:val="auto"/>
                      <w:sz w:val="21"/>
                      <w:szCs w:val="21"/>
                      <w:highlight w:val="none"/>
                      <w:lang w:val="en-US" w:eastAsia="zh-CN"/>
                    </w:rPr>
                    <w:t>抽取</w:t>
                  </w:r>
                  <w:r>
                    <w:rPr>
                      <w:rFonts w:hint="eastAsia" w:cs="Times New Roman"/>
                      <w:color w:val="auto"/>
                      <w:sz w:val="21"/>
                      <w:szCs w:val="21"/>
                      <w:highlight w:val="none"/>
                      <w:lang w:val="en-US" w:eastAsia="zh-CN"/>
                    </w:rPr>
                    <w:t>格木克河</w:t>
                  </w:r>
                  <w:r>
                    <w:rPr>
                      <w:rFonts w:hint="default" w:ascii="Times New Roman" w:hAnsi="Times New Roman" w:cs="Times New Roman"/>
                      <w:color w:val="auto"/>
                      <w:sz w:val="21"/>
                      <w:szCs w:val="21"/>
                      <w:highlight w:val="none"/>
                      <w:lang w:val="en-US" w:eastAsia="zh-CN"/>
                    </w:rPr>
                    <w:t>河水</w:t>
                  </w:r>
                  <w:r>
                    <w:rPr>
                      <w:rFonts w:hint="default" w:ascii="Times New Roman" w:hAnsi="Times New Roman" w:cs="Times New Roman"/>
                      <w:color w:val="auto"/>
                      <w:sz w:val="21"/>
                      <w:szCs w:val="21"/>
                      <w:highlight w:val="none"/>
                    </w:rPr>
                    <w:t>，上游河段河道河床起伏不大，坡度较缓，河道稳定性较好</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枯水期取水不会影响生态流量</w:t>
                  </w:r>
                  <w:r>
                    <w:rPr>
                      <w:rFonts w:hint="default" w:ascii="Times New Roman" w:hAnsi="Times New Roman" w:cs="Times New Roman"/>
                      <w:color w:val="auto"/>
                      <w:sz w:val="21"/>
                      <w:szCs w:val="21"/>
                      <w:highlight w:val="none"/>
                    </w:rPr>
                    <w:t>。</w:t>
                  </w:r>
                </w:p>
                <w:p w14:paraId="3AC7BFFB">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生活用水采用饮用桶装水。</w:t>
                  </w:r>
                </w:p>
              </w:tc>
            </w:tr>
            <w:tr w14:paraId="649C4BE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326C974C">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58429AAF">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3908" w:type="pct"/>
                  <w:noWrap w:val="0"/>
                  <w:vAlign w:val="top"/>
                </w:tcPr>
                <w:p w14:paraId="3C5A71A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生活污水设置临时防渗厕所，定期清掏，外运堆肥；</w:t>
                  </w:r>
                  <w:r>
                    <w:rPr>
                      <w:rFonts w:hint="default" w:ascii="Times New Roman" w:hAnsi="Times New Roman" w:cs="Times New Roman"/>
                      <w:color w:val="auto"/>
                      <w:sz w:val="21"/>
                      <w:szCs w:val="21"/>
                      <w:highlight w:val="none"/>
                      <w:lang w:val="en-US" w:eastAsia="zh-CN"/>
                    </w:rPr>
                    <w:t>施工期机械不冲洗，无冲洗废水，混凝土拌和废水经沉淀池沉淀后用于施工区洒水降尘，不外排；基坑废水收集沉淀后回用于周边洒水降尘，不外排；</w:t>
                  </w:r>
                  <w:r>
                    <w:rPr>
                      <w:rFonts w:hint="default" w:ascii="Times New Roman" w:hAnsi="Times New Roman" w:cs="Times New Roman"/>
                      <w:color w:val="auto"/>
                      <w:sz w:val="21"/>
                      <w:szCs w:val="21"/>
                      <w:highlight w:val="none"/>
                      <w:lang w:eastAsia="zh-CN"/>
                    </w:rPr>
                    <w:t>运行期</w:t>
                  </w:r>
                  <w:r>
                    <w:rPr>
                      <w:rFonts w:hint="default" w:ascii="Times New Roman" w:hAnsi="Times New Roman" w:cs="Times New Roman"/>
                      <w:color w:val="auto"/>
                      <w:sz w:val="21"/>
                      <w:szCs w:val="21"/>
                      <w:highlight w:val="none"/>
                    </w:rPr>
                    <w:t>无废水排放。</w:t>
                  </w:r>
                </w:p>
              </w:tc>
            </w:tr>
            <w:tr w14:paraId="73DF0CD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48DD17D6">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15728DE7">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3908" w:type="pct"/>
                  <w:noWrap w:val="0"/>
                  <w:vAlign w:val="top"/>
                </w:tcPr>
                <w:p w14:paraId="16DC2EB3">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生产生活用电采用自发电。</w:t>
                  </w:r>
                </w:p>
              </w:tc>
            </w:tr>
            <w:tr w14:paraId="2F9BFE0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restart"/>
                  <w:noWrap w:val="0"/>
                  <w:vAlign w:val="center"/>
                </w:tcPr>
                <w:p w14:paraId="483DF91B">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w:t>
                  </w:r>
                </w:p>
                <w:p w14:paraId="74860555">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w:t>
                  </w:r>
                </w:p>
              </w:tc>
              <w:tc>
                <w:tcPr>
                  <w:tcW w:w="632" w:type="pct"/>
                  <w:noWrap w:val="0"/>
                  <w:vAlign w:val="center"/>
                </w:tcPr>
                <w:p w14:paraId="4E05D210">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废气治理</w:t>
                  </w:r>
                </w:p>
              </w:tc>
              <w:tc>
                <w:tcPr>
                  <w:tcW w:w="3908" w:type="pct"/>
                  <w:noWrap w:val="0"/>
                  <w:vAlign w:val="top"/>
                </w:tcPr>
                <w:p w14:paraId="5342BBF7">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施工期易散落材料采取封闭运输，整齐堆放，用苫布苫盖；施工场地周边设置围挡，洒水车定期洒水降尘；运输</w:t>
                  </w:r>
                  <w:r>
                    <w:rPr>
                      <w:rFonts w:hint="default" w:ascii="Times New Roman" w:hAnsi="Times New Roman" w:cs="Times New Roman"/>
                      <w:color w:val="auto"/>
                      <w:sz w:val="21"/>
                      <w:szCs w:val="21"/>
                      <w:highlight w:val="none"/>
                      <w:lang w:val="en-US" w:eastAsia="zh-CN"/>
                    </w:rPr>
                    <w:t>车辆</w:t>
                  </w:r>
                  <w:r>
                    <w:rPr>
                      <w:rFonts w:hint="default" w:ascii="Times New Roman" w:hAnsi="Times New Roman" w:cs="Times New Roman"/>
                      <w:color w:val="auto"/>
                      <w:sz w:val="21"/>
                      <w:szCs w:val="21"/>
                      <w:highlight w:val="none"/>
                    </w:rPr>
                    <w:t>减速慢行，运输车辆和施工机械应选用高质量燃油。混凝土</w:t>
                  </w:r>
                  <w:r>
                    <w:rPr>
                      <w:rFonts w:hint="default" w:ascii="Times New Roman" w:hAnsi="Times New Roman" w:cs="Times New Roman"/>
                      <w:color w:val="auto"/>
                      <w:sz w:val="21"/>
                      <w:szCs w:val="21"/>
                      <w:highlight w:val="none"/>
                      <w:lang w:eastAsia="zh-CN"/>
                    </w:rPr>
                    <w:t>拌和</w:t>
                  </w:r>
                  <w:r>
                    <w:rPr>
                      <w:rFonts w:hint="default" w:ascii="Times New Roman" w:hAnsi="Times New Roman" w:cs="Times New Roman"/>
                      <w:color w:val="auto"/>
                      <w:sz w:val="21"/>
                      <w:szCs w:val="21"/>
                      <w:highlight w:val="none"/>
                    </w:rPr>
                    <w:t>系统设置简易罩棚，周边洒水降尘，</w:t>
                  </w:r>
                  <w:r>
                    <w:rPr>
                      <w:rFonts w:hint="default" w:ascii="Times New Roman" w:hAnsi="Times New Roman" w:cs="Times New Roman"/>
                      <w:color w:val="auto"/>
                      <w:sz w:val="21"/>
                      <w:szCs w:val="21"/>
                      <w:highlight w:val="none"/>
                      <w:lang w:eastAsia="zh-CN"/>
                    </w:rPr>
                    <w:t>拌和</w:t>
                  </w:r>
                  <w:r>
                    <w:rPr>
                      <w:rFonts w:hint="default" w:ascii="Times New Roman" w:hAnsi="Times New Roman" w:cs="Times New Roman"/>
                      <w:color w:val="auto"/>
                      <w:sz w:val="21"/>
                      <w:szCs w:val="21"/>
                      <w:highlight w:val="none"/>
                    </w:rPr>
                    <w:t>废气经系统自带除尘设施处理后排放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水泥料仓顶部自带除尘设施处理后经仓顶排放</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施工期废气排放可满足《大气污染物综合排放标准》（GB16297—1996）无组织排放控制限值。</w:t>
                  </w:r>
                </w:p>
              </w:tc>
            </w:tr>
            <w:tr w14:paraId="79D30EF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7754C184">
                  <w:pPr>
                    <w:widowControl/>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1991A485">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废水治理</w:t>
                  </w:r>
                </w:p>
              </w:tc>
              <w:tc>
                <w:tcPr>
                  <w:tcW w:w="3908" w:type="pct"/>
                  <w:noWrap w:val="0"/>
                  <w:vAlign w:val="top"/>
                </w:tcPr>
                <w:p w14:paraId="5C5A891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生活污水设置临时防渗厕所，定期清掏，外运堆肥；</w:t>
                  </w:r>
                  <w:r>
                    <w:rPr>
                      <w:rFonts w:hint="default" w:ascii="Times New Roman" w:hAnsi="Times New Roman" w:cs="Times New Roman"/>
                      <w:color w:val="auto"/>
                      <w:sz w:val="21"/>
                      <w:szCs w:val="21"/>
                      <w:highlight w:val="none"/>
                      <w:lang w:val="en-US" w:eastAsia="zh-CN"/>
                    </w:rPr>
                    <w:t>施工期机械不冲洗，无冲洗废水，混凝土拌和废水经沉淀池沉淀后用于施工区洒水降尘，不外排；基坑废水收集沉淀后回用于周边洒水降尘，不外排；</w:t>
                  </w:r>
                  <w:r>
                    <w:rPr>
                      <w:rFonts w:hint="default" w:ascii="Times New Roman" w:hAnsi="Times New Roman" w:cs="Times New Roman"/>
                      <w:color w:val="auto"/>
                      <w:sz w:val="21"/>
                      <w:szCs w:val="21"/>
                      <w:highlight w:val="none"/>
                      <w:lang w:eastAsia="zh-CN"/>
                    </w:rPr>
                    <w:t>运行期</w:t>
                  </w:r>
                  <w:r>
                    <w:rPr>
                      <w:rFonts w:hint="default" w:ascii="Times New Roman" w:hAnsi="Times New Roman" w:cs="Times New Roman"/>
                      <w:color w:val="auto"/>
                      <w:sz w:val="21"/>
                      <w:szCs w:val="21"/>
                      <w:highlight w:val="none"/>
                    </w:rPr>
                    <w:t>无废水排放。</w:t>
                  </w:r>
                </w:p>
              </w:tc>
            </w:tr>
            <w:tr w14:paraId="2BA862C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0FCAC35F">
                  <w:pPr>
                    <w:adjustRightInd w:val="0"/>
                    <w:snapToGrid w:val="0"/>
                    <w:spacing w:line="276" w:lineRule="auto"/>
                    <w:jc w:val="center"/>
                    <w:rPr>
                      <w:rFonts w:hint="default" w:ascii="Times New Roman" w:hAnsi="Times New Roman" w:cs="Times New Roman"/>
                      <w:color w:val="auto"/>
                      <w:sz w:val="21"/>
                      <w:szCs w:val="21"/>
                      <w:highlight w:val="none"/>
                    </w:rPr>
                  </w:pPr>
                </w:p>
              </w:tc>
              <w:tc>
                <w:tcPr>
                  <w:tcW w:w="632" w:type="pct"/>
                  <w:noWrap w:val="0"/>
                  <w:vAlign w:val="center"/>
                </w:tcPr>
                <w:p w14:paraId="599ADEA6">
                  <w:pPr>
                    <w:adjustRightInd w:val="0"/>
                    <w:snapToGrid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3908" w:type="pct"/>
                  <w:noWrap w:val="0"/>
                  <w:vAlign w:val="top"/>
                </w:tcPr>
                <w:p w14:paraId="54C5EDA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lang w:val="en-US" w:eastAsia="zh-CN"/>
                    </w:rPr>
                    <w:t>工程</w:t>
                  </w:r>
                  <w:r>
                    <w:rPr>
                      <w:rFonts w:hint="default" w:ascii="Times New Roman" w:hAnsi="Times New Roman" w:cs="Times New Roman"/>
                      <w:color w:val="auto"/>
                      <w:sz w:val="21"/>
                      <w:szCs w:val="21"/>
                      <w:highlight w:val="none"/>
                    </w:rPr>
                    <w:t>开挖产生的土方，</w:t>
                  </w:r>
                  <w:r>
                    <w:rPr>
                      <w:rFonts w:hint="default" w:ascii="Times New Roman" w:hAnsi="Times New Roman" w:cs="Times New Roman"/>
                      <w:color w:val="auto"/>
                      <w:sz w:val="21"/>
                      <w:szCs w:val="21"/>
                      <w:highlight w:val="none"/>
                      <w:lang w:val="en-US" w:eastAsia="zh-CN"/>
                    </w:rPr>
                    <w:t>开挖后堆置于主体工程占地范围内，</w:t>
                  </w:r>
                  <w:r>
                    <w:rPr>
                      <w:rFonts w:hint="default" w:ascii="Times New Roman" w:hAnsi="Times New Roman" w:cs="Times New Roman"/>
                      <w:bCs/>
                      <w:color w:val="auto"/>
                      <w:sz w:val="21"/>
                      <w:szCs w:val="21"/>
                      <w:highlight w:val="none"/>
                    </w:rPr>
                    <w:t>土方堆置时加强防护，坡脚用编织袋填筑土埂压盖并拦挡，表面密目网覆盖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避免施工期间水土流失。</w:t>
                  </w:r>
                </w:p>
                <w:p w14:paraId="1179973D">
                  <w:pPr>
                    <w:adjustRightInd w:val="0"/>
                    <w:snapToGrid w:val="0"/>
                    <w:spacing w:line="276"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本工程为河道</w:t>
                  </w:r>
                  <w:r>
                    <w:rPr>
                      <w:rFonts w:hint="eastAsia" w:cs="Times New Roman"/>
                      <w:color w:val="auto"/>
                      <w:szCs w:val="21"/>
                      <w:highlight w:val="none"/>
                      <w:lang w:val="en-US" w:eastAsia="zh-CN"/>
                    </w:rPr>
                    <w:t>改道</w:t>
                  </w:r>
                  <w:r>
                    <w:rPr>
                      <w:rFonts w:hint="default" w:ascii="Times New Roman" w:hAnsi="Times New Roman" w:cs="Times New Roman"/>
                      <w:color w:val="auto"/>
                      <w:szCs w:val="21"/>
                      <w:highlight w:val="none"/>
                    </w:rPr>
                    <w:t>工程，弃渣不含有毒有害物质、不含工业废渣、不含建筑垃圾，属于一般土石方，土质均匀、性质稳定，适宜作为回填材料，不产生淋溶污染，不影响河道水质与周边生态。工程沿线存在天然低洼地带、冲沟、岸线凹塘，地形起伏不平，弃渣直接就近回填、分层压实、整平坡面，无需长距离运输，无中转堆放，回填后恢复平缓地形，减少水土流失隐患，有利于后期植被恢复。</w:t>
                  </w:r>
                </w:p>
                <w:p w14:paraId="2398816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rPr>
                    <w:fldChar w:fldCharType="end"/>
                  </w:r>
                  <w:r>
                    <w:rPr>
                      <w:rFonts w:hint="eastAsia" w:cs="Times New Roman"/>
                      <w:color w:val="auto"/>
                      <w:sz w:val="21"/>
                      <w:szCs w:val="21"/>
                      <w:highlight w:val="none"/>
                      <w:lang w:val="en-US" w:eastAsia="zh-CN"/>
                    </w:rPr>
                    <w:t>永久占地和临时占地</w:t>
                  </w:r>
                  <w:r>
                    <w:rPr>
                      <w:rFonts w:hint="default" w:ascii="Times New Roman" w:hAnsi="Times New Roman" w:cs="Times New Roman"/>
                      <w:color w:val="auto"/>
                      <w:sz w:val="21"/>
                      <w:szCs w:val="21"/>
                      <w:highlight w:val="none"/>
                      <w:lang w:val="en-US" w:eastAsia="zh-CN"/>
                    </w:rPr>
                    <w:t>表土全部由</w:t>
                  </w:r>
                  <w:r>
                    <w:rPr>
                      <w:rFonts w:hint="default" w:ascii="Times New Roman" w:hAnsi="Times New Roman" w:cs="Times New Roman"/>
                      <w:color w:val="auto"/>
                      <w:szCs w:val="21"/>
                      <w:highlight w:val="none"/>
                      <w:lang w:val="en-US" w:eastAsia="zh-CN"/>
                    </w:rPr>
                    <w:t>庆安县庆禾农业发展有限公司</w:t>
                  </w:r>
                  <w:r>
                    <w:rPr>
                      <w:rFonts w:hint="default" w:ascii="Times New Roman" w:hAnsi="Times New Roman" w:cs="Times New Roman"/>
                      <w:color w:val="auto"/>
                      <w:sz w:val="21"/>
                      <w:szCs w:val="21"/>
                      <w:highlight w:val="none"/>
                      <w:lang w:val="en-US" w:eastAsia="zh-CN"/>
                    </w:rPr>
                    <w:t>外运并进行综合利用。</w:t>
                  </w:r>
                </w:p>
                <w:p w14:paraId="436AAD5F">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在临时生活区布设垃圾箱，运输垃圾的设施要</w:t>
                  </w:r>
                  <w:r>
                    <w:rPr>
                      <w:rFonts w:hint="default" w:ascii="Times New Roman" w:hAnsi="Times New Roman" w:cs="Times New Roman"/>
                      <w:color w:val="auto"/>
                      <w:sz w:val="21"/>
                      <w:szCs w:val="21"/>
                      <w:highlight w:val="none"/>
                      <w:lang w:eastAsia="zh-CN"/>
                    </w:rPr>
                    <w:t>密闭</w:t>
                  </w:r>
                  <w:r>
                    <w:rPr>
                      <w:rFonts w:hint="default" w:ascii="Times New Roman" w:hAnsi="Times New Roman" w:cs="Times New Roman"/>
                      <w:color w:val="auto"/>
                      <w:sz w:val="21"/>
                      <w:szCs w:val="21"/>
                      <w:highlight w:val="none"/>
                    </w:rPr>
                    <w:t>，以免对环境造成二次污染。</w:t>
                  </w:r>
                </w:p>
                <w:p w14:paraId="340F73F3">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fldChar w:fldCharType="begin"/>
                  </w:r>
                  <w:r>
                    <w:rPr>
                      <w:rFonts w:hint="default" w:ascii="Times New Roman" w:hAnsi="Times New Roman" w:cs="Times New Roman"/>
                      <w:color w:val="auto"/>
                      <w:sz w:val="21"/>
                      <w:szCs w:val="21"/>
                      <w:highlight w:val="none"/>
                      <w:lang w:val="en-US" w:eastAsia="zh-CN"/>
                    </w:rPr>
                    <w:instrText xml:space="preserve"> = 4 \* GB3 \* MERGEFORMAT </w:instrText>
                  </w:r>
                  <w:r>
                    <w:rPr>
                      <w:rFonts w:hint="default" w:ascii="Times New Roman" w:hAnsi="Times New Roman" w:cs="Times New Roman"/>
                      <w:color w:val="auto"/>
                      <w:sz w:val="21"/>
                      <w:szCs w:val="21"/>
                      <w:highlight w:val="none"/>
                      <w:lang w:val="en-US" w:eastAsia="zh-CN"/>
                    </w:rPr>
                    <w:fldChar w:fldCharType="separate"/>
                  </w:r>
                  <w:r>
                    <w:rPr>
                      <w:rFonts w:hint="default" w:ascii="Times New Roman" w:hAnsi="Times New Roman" w:cs="Times New Roman"/>
                      <w:color w:val="auto"/>
                      <w:sz w:val="21"/>
                      <w:szCs w:val="21"/>
                      <w:highlight w:val="none"/>
                    </w:rPr>
                    <w:t>④</w:t>
                  </w:r>
                  <w:r>
                    <w:rPr>
                      <w:rFonts w:hint="default" w:ascii="Times New Roman" w:hAnsi="Times New Roman" w:cs="Times New Roman"/>
                      <w:color w:val="auto"/>
                      <w:sz w:val="21"/>
                      <w:szCs w:val="21"/>
                      <w:highlight w:val="none"/>
                      <w:lang w:val="en-US" w:eastAsia="zh-CN"/>
                    </w:rPr>
                    <w:fldChar w:fldCharType="end"/>
                  </w:r>
                  <w:r>
                    <w:rPr>
                      <w:rFonts w:hint="default" w:ascii="Times New Roman" w:hAnsi="Times New Roman" w:cs="Times New Roman"/>
                      <w:color w:val="auto"/>
                      <w:sz w:val="21"/>
                      <w:szCs w:val="21"/>
                      <w:highlight w:val="none"/>
                    </w:rPr>
                    <w:t>定期收集清运建筑垃圾，能够回收利用的送交废旧物资回收站处理，其余的送市政部门指定地点堆存，以保护施工区环境卫生。</w:t>
                  </w:r>
                </w:p>
                <w:p w14:paraId="26A2F214">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 5 \* GB3 \* MERGEFORMAT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highlight w:val="none"/>
                    </w:rPr>
                    <w:t>⑤</w:t>
                  </w:r>
                  <w:r>
                    <w:rPr>
                      <w:rFonts w:hint="default" w:ascii="Times New Roman" w:hAnsi="Times New Roman" w:cs="Times New Roman"/>
                      <w:color w:val="auto"/>
                      <w:szCs w:val="21"/>
                      <w:highlight w:val="none"/>
                    </w:rPr>
                    <w:fldChar w:fldCharType="end"/>
                  </w:r>
                  <w:r>
                    <w:rPr>
                      <w:rFonts w:hint="default" w:ascii="Times New Roman" w:hAnsi="Times New Roman" w:cs="Times New Roman"/>
                      <w:color w:val="auto"/>
                      <w:sz w:val="21"/>
                      <w:szCs w:val="21"/>
                      <w:highlight w:val="none"/>
                      <w:lang w:val="en-US" w:eastAsia="zh-CN"/>
                    </w:rPr>
                    <w:t>沉淀池污泥施工结束后统一清出与弃土一同处置。</w:t>
                  </w:r>
                </w:p>
              </w:tc>
            </w:tr>
            <w:tr w14:paraId="07B83BF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3FC4D309">
                  <w:pPr>
                    <w:adjustRightInd w:val="0"/>
                    <w:snapToGrid w:val="0"/>
                    <w:spacing w:line="276" w:lineRule="auto"/>
                    <w:jc w:val="center"/>
                    <w:rPr>
                      <w:rFonts w:hint="default" w:ascii="Times New Roman" w:hAnsi="Times New Roman" w:cs="Times New Roman"/>
                      <w:color w:val="auto"/>
                      <w:szCs w:val="21"/>
                      <w:highlight w:val="none"/>
                    </w:rPr>
                  </w:pPr>
                </w:p>
              </w:tc>
              <w:tc>
                <w:tcPr>
                  <w:tcW w:w="632" w:type="pct"/>
                  <w:noWrap w:val="0"/>
                  <w:vAlign w:val="center"/>
                </w:tcPr>
                <w:p w14:paraId="069A4A3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3908" w:type="pct"/>
                  <w:noWrap w:val="0"/>
                  <w:vAlign w:val="top"/>
                </w:tcPr>
                <w:p w14:paraId="1A3E693E">
                  <w:pPr>
                    <w:adjustRightInd w:val="0"/>
                    <w:snapToGrid w:val="0"/>
                    <w:spacing w:line="276"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①</w:t>
                  </w:r>
                  <w:r>
                    <w:rPr>
                      <w:rFonts w:hint="default" w:ascii="Times New Roman" w:hAnsi="Times New Roman" w:cs="Times New Roman"/>
                      <w:color w:val="auto"/>
                      <w:szCs w:val="21"/>
                      <w:highlight w:val="none"/>
                    </w:rPr>
                    <w:t>机械设备安装基础减振，运输</w:t>
                  </w:r>
                  <w:r>
                    <w:rPr>
                      <w:rFonts w:hint="default" w:ascii="Times New Roman" w:hAnsi="Times New Roman" w:cs="Times New Roman"/>
                      <w:color w:val="auto"/>
                      <w:szCs w:val="21"/>
                      <w:highlight w:val="none"/>
                      <w:lang w:eastAsia="zh-CN"/>
                    </w:rPr>
                    <w:t>车辆</w:t>
                  </w:r>
                  <w:r>
                    <w:rPr>
                      <w:rFonts w:hint="default" w:ascii="Times New Roman" w:hAnsi="Times New Roman" w:cs="Times New Roman"/>
                      <w:color w:val="auto"/>
                      <w:szCs w:val="21"/>
                      <w:highlight w:val="none"/>
                    </w:rPr>
                    <w:t>减速慢行，夜间（22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00时至次日6</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00时）禁止施工</w:t>
                  </w:r>
                  <w:r>
                    <w:rPr>
                      <w:rFonts w:hint="default" w:ascii="Times New Roman" w:hAnsi="Times New Roman" w:eastAsia="宋体" w:cs="Times New Roman"/>
                      <w:color w:val="auto"/>
                      <w:szCs w:val="21"/>
                      <w:highlight w:val="none"/>
                    </w:rPr>
                    <w:t>。运输路线路过居民区时减速慢行，禁止鸣笛。</w:t>
                  </w:r>
                </w:p>
                <w:p w14:paraId="690C8B6D">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②</w:t>
                  </w:r>
                  <w:r>
                    <w:rPr>
                      <w:rFonts w:hint="default" w:ascii="Times New Roman" w:hAnsi="Times New Roman" w:eastAsia="宋体" w:cs="Times New Roman"/>
                      <w:color w:val="auto"/>
                      <w:szCs w:val="21"/>
                      <w:highlight w:val="none"/>
                    </w:rPr>
                    <w:t>施工车辆在临时道路行驶产生交通噪声，噪声源强较低，仅对道路沿线近距离产生短期、间歇性影响，无长期噪声影响，施工结束后影响消除</w:t>
                  </w:r>
                  <w:r>
                    <w:rPr>
                      <w:rFonts w:hint="default" w:ascii="Times New Roman" w:hAnsi="Times New Roman" w:eastAsia="宋体" w:cs="Times New Roman"/>
                      <w:color w:val="auto"/>
                      <w:szCs w:val="21"/>
                      <w:highlight w:val="none"/>
                      <w:lang w:eastAsia="zh-CN"/>
                    </w:rPr>
                    <w:t>，合理安排运输时间，禁止夜间运输；车辆减速慢行、禁止鸣笛，降低噪声影响。</w:t>
                  </w:r>
                </w:p>
                <w:p w14:paraId="2406260F">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eastAsia="zh-CN"/>
                    </w:rPr>
                    <w:t>施工期噪声</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lang w:eastAsia="zh-CN"/>
                    </w:rPr>
                    <w:t>《建筑施工噪声排放标准》（GB12523</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2025）。</w:t>
                  </w:r>
                </w:p>
              </w:tc>
            </w:tr>
            <w:tr w14:paraId="282BD00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9" w:type="pct"/>
                  <w:gridSpan w:val="2"/>
                  <w:vMerge w:val="continue"/>
                  <w:noWrap w:val="0"/>
                  <w:vAlign w:val="center"/>
                </w:tcPr>
                <w:p w14:paraId="0DCDC694">
                  <w:pPr>
                    <w:adjustRightInd w:val="0"/>
                    <w:snapToGrid w:val="0"/>
                    <w:spacing w:line="276" w:lineRule="auto"/>
                    <w:jc w:val="center"/>
                    <w:rPr>
                      <w:rFonts w:hint="default" w:ascii="Times New Roman" w:hAnsi="Times New Roman" w:cs="Times New Roman"/>
                      <w:color w:val="auto"/>
                      <w:szCs w:val="21"/>
                      <w:highlight w:val="none"/>
                    </w:rPr>
                  </w:pPr>
                </w:p>
              </w:tc>
              <w:tc>
                <w:tcPr>
                  <w:tcW w:w="632" w:type="pct"/>
                  <w:noWrap w:val="0"/>
                  <w:vAlign w:val="center"/>
                </w:tcPr>
                <w:p w14:paraId="5587426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tc>
              <w:tc>
                <w:tcPr>
                  <w:tcW w:w="3908" w:type="pct"/>
                  <w:noWrap w:val="0"/>
                  <w:vAlign w:val="top"/>
                </w:tcPr>
                <w:p w14:paraId="2DB2F38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避让</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加强施工期</w:t>
                  </w:r>
                  <w:r>
                    <w:rPr>
                      <w:rFonts w:hint="default" w:ascii="Times New Roman" w:hAnsi="Times New Roman" w:cs="Times New Roman"/>
                      <w:color w:val="auto"/>
                      <w:szCs w:val="21"/>
                      <w:highlight w:val="none"/>
                      <w:lang w:val="en-US" w:eastAsia="zh-CN"/>
                    </w:rPr>
                    <w:t>间</w:t>
                  </w:r>
                  <w:r>
                    <w:rPr>
                      <w:rFonts w:hint="default" w:ascii="Times New Roman" w:hAnsi="Times New Roman" w:cs="Times New Roman"/>
                      <w:color w:val="auto"/>
                      <w:szCs w:val="21"/>
                      <w:highlight w:val="none"/>
                    </w:rPr>
                    <w:t>的环境管理，严格按征地进行占地，临时占地尽量少占，减少植被破坏；在施工期间，要禁止捕鱼、破坏占地外的植被；</w:t>
                  </w:r>
                  <w:r>
                    <w:rPr>
                      <w:rFonts w:hint="default" w:ascii="Times New Roman" w:hAnsi="Times New Roman" w:cs="Times New Roman"/>
                      <w:color w:val="auto"/>
                      <w:szCs w:val="21"/>
                      <w:highlight w:val="none"/>
                      <w:lang w:val="en-US" w:eastAsia="zh-CN"/>
                    </w:rPr>
                    <w:t>避开鱼类产卵期进行施工，施工采用低噪声设备。</w:t>
                  </w:r>
                </w:p>
                <w:p w14:paraId="3A35F660">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减缓</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优化施工工艺，缩短施工工期；</w:t>
                  </w:r>
                  <w:r>
                    <w:rPr>
                      <w:rFonts w:hint="default" w:ascii="Times New Roman" w:hAnsi="Times New Roman" w:cs="Times New Roman"/>
                      <w:color w:val="auto"/>
                      <w:szCs w:val="21"/>
                      <w:highlight w:val="none"/>
                    </w:rPr>
                    <w:t>施工开始前，进行表土剥离，耕地剥离厚度30c</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草地和林地剥离厚度</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lang w:val="en-US" w:eastAsia="zh-CN"/>
                    </w:rPr>
                    <w:t>0cm，</w:t>
                  </w:r>
                  <w:r>
                    <w:rPr>
                      <w:rFonts w:hint="default" w:ascii="Times New Roman" w:hAnsi="Times New Roman" w:cs="Times New Roman"/>
                      <w:color w:val="auto"/>
                      <w:szCs w:val="21"/>
                      <w:highlight w:val="none"/>
                    </w:rPr>
                    <w:t>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19E3A719">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补偿:对于项目临时所占的耕地缴纳土地复垦费、林地缴纳林地补偿费、植被缴纳植被恢复费。</w:t>
                  </w:r>
                </w:p>
                <w:p w14:paraId="40347AAE">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恢复:施工结束后对临时占地进行植被恢复和土地复垦。</w:t>
                  </w:r>
                </w:p>
                <w:p w14:paraId="543F6DFC">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管理</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施工单位应配备专业环保人员，生态恢复主体为建设单位</w:t>
                  </w:r>
                  <w:r>
                    <w:rPr>
                      <w:rFonts w:hint="eastAsia" w:cs="Times New Roman"/>
                      <w:color w:val="auto"/>
                      <w:szCs w:val="21"/>
                      <w:highlight w:val="none"/>
                      <w:lang w:eastAsia="zh-CN"/>
                    </w:rPr>
                    <w:t>庆安县中小型水利工程建设管理中心</w:t>
                  </w:r>
                  <w:r>
                    <w:rPr>
                      <w:rFonts w:hint="default" w:ascii="Times New Roman" w:hAnsi="Times New Roman" w:cs="Times New Roman"/>
                      <w:color w:val="auto"/>
                      <w:szCs w:val="21"/>
                      <w:highlight w:val="none"/>
                    </w:rPr>
                    <w:t>。</w:t>
                  </w:r>
                </w:p>
                <w:p w14:paraId="588298AC">
                  <w:pPr>
                    <w:keepNext w:val="0"/>
                    <w:keepLines w:val="0"/>
                    <w:pageBreakBefore w:val="0"/>
                    <w:widowControl w:val="0"/>
                    <w:kinsoku/>
                    <w:wordWrap/>
                    <w:overflowPunct/>
                    <w:topLinePunct w:val="0"/>
                    <w:autoSpaceDE/>
                    <w:autoSpaceDN/>
                    <w:bidi w:val="0"/>
                    <w:adjustRightInd w:val="0"/>
                    <w:snapToGrid w:val="0"/>
                    <w:spacing w:line="276"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施工结束后一年内进行生态监测，监测植被恢复情况。</w:t>
                  </w:r>
                </w:p>
              </w:tc>
            </w:tr>
            <w:bookmarkEnd w:id="12"/>
          </w:tbl>
          <w:p w14:paraId="33738010">
            <w:pPr>
              <w:adjustRightInd w:val="0"/>
              <w:snapToGrid w:val="0"/>
              <w:ind w:firstLine="480"/>
              <w:rPr>
                <w:rFonts w:hint="default" w:ascii="Times New Roman" w:hAnsi="Times New Roman" w:cs="Times New Roman"/>
                <w:color w:val="auto"/>
                <w:kern w:val="0"/>
                <w:sz w:val="24"/>
                <w:highlight w:val="none"/>
              </w:rPr>
            </w:pPr>
          </w:p>
          <w:p w14:paraId="2B710571">
            <w:pPr>
              <w:pStyle w:val="34"/>
              <w:rPr>
                <w:rFonts w:hint="default" w:ascii="Times New Roman" w:hAnsi="Times New Roman" w:cs="Times New Roman"/>
                <w:color w:val="auto"/>
                <w:kern w:val="0"/>
                <w:sz w:val="24"/>
                <w:highlight w:val="none"/>
              </w:rPr>
            </w:pPr>
          </w:p>
          <w:p w14:paraId="268CFC81">
            <w:pPr>
              <w:pStyle w:val="34"/>
              <w:rPr>
                <w:rFonts w:hint="default" w:ascii="Times New Roman" w:hAnsi="Times New Roman" w:cs="Times New Roman"/>
                <w:color w:val="auto"/>
                <w:kern w:val="0"/>
                <w:sz w:val="24"/>
                <w:highlight w:val="none"/>
              </w:rPr>
            </w:pPr>
          </w:p>
          <w:p w14:paraId="2E971BDF">
            <w:pPr>
              <w:pStyle w:val="34"/>
              <w:rPr>
                <w:rFonts w:hint="default" w:ascii="Times New Roman" w:hAnsi="Times New Roman" w:cs="Times New Roman"/>
                <w:color w:val="auto"/>
                <w:kern w:val="0"/>
                <w:sz w:val="24"/>
                <w:highlight w:val="none"/>
              </w:rPr>
            </w:pPr>
          </w:p>
          <w:p w14:paraId="78E403C6">
            <w:pPr>
              <w:pStyle w:val="34"/>
              <w:rPr>
                <w:rFonts w:hint="default" w:ascii="Times New Roman" w:hAnsi="Times New Roman" w:cs="Times New Roman"/>
                <w:color w:val="auto"/>
                <w:kern w:val="0"/>
                <w:sz w:val="24"/>
                <w:highlight w:val="none"/>
              </w:rPr>
            </w:pPr>
          </w:p>
          <w:p w14:paraId="6B7EAF9B">
            <w:pPr>
              <w:pStyle w:val="34"/>
              <w:rPr>
                <w:rFonts w:hint="default" w:ascii="Times New Roman" w:hAnsi="Times New Roman" w:cs="Times New Roman"/>
                <w:color w:val="auto"/>
                <w:kern w:val="0"/>
                <w:sz w:val="24"/>
                <w:highlight w:val="none"/>
              </w:rPr>
            </w:pPr>
          </w:p>
          <w:p w14:paraId="007347F5">
            <w:pPr>
              <w:pStyle w:val="34"/>
              <w:rPr>
                <w:rFonts w:hint="default" w:ascii="Times New Roman" w:hAnsi="Times New Roman" w:cs="Times New Roman"/>
                <w:color w:val="auto"/>
                <w:kern w:val="0"/>
                <w:sz w:val="24"/>
                <w:highlight w:val="none"/>
              </w:rPr>
            </w:pPr>
          </w:p>
          <w:p w14:paraId="01D58BCF">
            <w:pPr>
              <w:pStyle w:val="34"/>
              <w:rPr>
                <w:rFonts w:hint="default" w:ascii="Times New Roman" w:hAnsi="Times New Roman" w:cs="Times New Roman"/>
                <w:color w:val="auto"/>
                <w:kern w:val="0"/>
                <w:sz w:val="24"/>
                <w:highlight w:val="none"/>
              </w:rPr>
            </w:pPr>
          </w:p>
          <w:p w14:paraId="20046A26">
            <w:pPr>
              <w:pStyle w:val="34"/>
              <w:rPr>
                <w:rFonts w:hint="default" w:ascii="Times New Roman" w:hAnsi="Times New Roman" w:cs="Times New Roman"/>
                <w:color w:val="auto"/>
                <w:kern w:val="0"/>
                <w:sz w:val="24"/>
                <w:highlight w:val="none"/>
              </w:rPr>
            </w:pPr>
          </w:p>
          <w:p w14:paraId="174D708D">
            <w:pPr>
              <w:pStyle w:val="34"/>
              <w:rPr>
                <w:rFonts w:hint="default" w:ascii="Times New Roman" w:hAnsi="Times New Roman" w:cs="Times New Roman"/>
                <w:color w:val="auto"/>
                <w:kern w:val="0"/>
                <w:sz w:val="24"/>
                <w:highlight w:val="none"/>
              </w:rPr>
            </w:pPr>
          </w:p>
          <w:p w14:paraId="44F74580">
            <w:pPr>
              <w:pStyle w:val="34"/>
              <w:rPr>
                <w:rFonts w:hint="default" w:ascii="Times New Roman" w:hAnsi="Times New Roman" w:cs="Times New Roman"/>
                <w:color w:val="auto"/>
                <w:kern w:val="0"/>
                <w:sz w:val="24"/>
                <w:highlight w:val="none"/>
              </w:rPr>
            </w:pPr>
          </w:p>
          <w:p w14:paraId="1C8ADD3A">
            <w:pPr>
              <w:pStyle w:val="34"/>
              <w:rPr>
                <w:rFonts w:hint="default" w:ascii="Times New Roman" w:hAnsi="Times New Roman" w:cs="Times New Roman"/>
                <w:color w:val="auto"/>
                <w:kern w:val="0"/>
                <w:sz w:val="24"/>
                <w:highlight w:val="none"/>
              </w:rPr>
            </w:pPr>
          </w:p>
          <w:p w14:paraId="2A7844C9">
            <w:pPr>
              <w:pStyle w:val="34"/>
              <w:rPr>
                <w:rFonts w:hint="default" w:ascii="Times New Roman" w:hAnsi="Times New Roman" w:cs="Times New Roman"/>
                <w:color w:val="auto"/>
                <w:kern w:val="0"/>
                <w:sz w:val="24"/>
                <w:highlight w:val="none"/>
              </w:rPr>
            </w:pPr>
          </w:p>
          <w:p w14:paraId="4D4917DE">
            <w:pPr>
              <w:pStyle w:val="34"/>
              <w:rPr>
                <w:rFonts w:hint="default" w:ascii="Times New Roman" w:hAnsi="Times New Roman" w:cs="Times New Roman"/>
                <w:color w:val="auto"/>
                <w:kern w:val="0"/>
                <w:sz w:val="24"/>
                <w:highlight w:val="none"/>
              </w:rPr>
            </w:pPr>
          </w:p>
          <w:p w14:paraId="0EB607E5">
            <w:pPr>
              <w:pStyle w:val="34"/>
              <w:rPr>
                <w:rFonts w:hint="default" w:ascii="Times New Roman" w:hAnsi="Times New Roman" w:cs="Times New Roman"/>
                <w:color w:val="auto"/>
                <w:kern w:val="0"/>
                <w:sz w:val="24"/>
                <w:highlight w:val="none"/>
              </w:rPr>
            </w:pPr>
          </w:p>
          <w:p w14:paraId="3F2232AA">
            <w:pPr>
              <w:pStyle w:val="34"/>
              <w:rPr>
                <w:rFonts w:hint="default" w:ascii="Times New Roman" w:hAnsi="Times New Roman" w:cs="Times New Roman"/>
                <w:color w:val="auto"/>
                <w:kern w:val="0"/>
                <w:sz w:val="24"/>
                <w:highlight w:val="none"/>
              </w:rPr>
            </w:pPr>
          </w:p>
          <w:p w14:paraId="2A9DF59D">
            <w:pPr>
              <w:pStyle w:val="34"/>
              <w:rPr>
                <w:rFonts w:hint="default" w:ascii="Times New Roman" w:hAnsi="Times New Roman" w:cs="Times New Roman"/>
                <w:color w:val="auto"/>
                <w:kern w:val="0"/>
                <w:sz w:val="24"/>
                <w:highlight w:val="none"/>
              </w:rPr>
            </w:pPr>
          </w:p>
          <w:p w14:paraId="74E32635">
            <w:pPr>
              <w:pStyle w:val="34"/>
              <w:rPr>
                <w:rFonts w:hint="default" w:ascii="Times New Roman" w:hAnsi="Times New Roman" w:cs="Times New Roman"/>
                <w:color w:val="auto"/>
                <w:kern w:val="0"/>
                <w:sz w:val="24"/>
                <w:highlight w:val="none"/>
              </w:rPr>
            </w:pPr>
          </w:p>
          <w:p w14:paraId="301E8BB4">
            <w:pPr>
              <w:pStyle w:val="34"/>
              <w:rPr>
                <w:rFonts w:hint="default" w:ascii="Times New Roman" w:hAnsi="Times New Roman" w:cs="Times New Roman"/>
                <w:color w:val="auto"/>
                <w:kern w:val="0"/>
                <w:sz w:val="24"/>
                <w:highlight w:val="none"/>
              </w:rPr>
            </w:pPr>
          </w:p>
          <w:p w14:paraId="40653419">
            <w:pPr>
              <w:pStyle w:val="34"/>
              <w:rPr>
                <w:rFonts w:hint="default" w:ascii="Times New Roman" w:hAnsi="Times New Roman" w:cs="Times New Roman"/>
                <w:color w:val="auto"/>
                <w:kern w:val="0"/>
                <w:sz w:val="24"/>
                <w:highlight w:val="none"/>
              </w:rPr>
            </w:pPr>
          </w:p>
          <w:p w14:paraId="2B44C037">
            <w:pPr>
              <w:pStyle w:val="34"/>
              <w:rPr>
                <w:rFonts w:hint="default" w:ascii="Times New Roman" w:hAnsi="Times New Roman" w:cs="Times New Roman"/>
                <w:color w:val="auto"/>
                <w:kern w:val="0"/>
                <w:sz w:val="24"/>
                <w:highlight w:val="none"/>
              </w:rPr>
            </w:pPr>
          </w:p>
          <w:p w14:paraId="40EFE894">
            <w:pPr>
              <w:pStyle w:val="34"/>
              <w:rPr>
                <w:rFonts w:hint="default" w:ascii="Times New Roman" w:hAnsi="Times New Roman" w:cs="Times New Roman"/>
                <w:color w:val="auto"/>
                <w:kern w:val="0"/>
                <w:sz w:val="24"/>
                <w:highlight w:val="none"/>
              </w:rPr>
            </w:pPr>
          </w:p>
          <w:p w14:paraId="6C58D1A3">
            <w:pPr>
              <w:pStyle w:val="34"/>
              <w:rPr>
                <w:rFonts w:hint="default" w:ascii="Times New Roman" w:hAnsi="Times New Roman" w:cs="Times New Roman"/>
                <w:color w:val="auto"/>
                <w:kern w:val="0"/>
                <w:sz w:val="24"/>
                <w:highlight w:val="none"/>
              </w:rPr>
            </w:pPr>
          </w:p>
          <w:p w14:paraId="3E9145B5">
            <w:pPr>
              <w:pStyle w:val="34"/>
              <w:rPr>
                <w:rFonts w:hint="default" w:ascii="Times New Roman" w:hAnsi="Times New Roman" w:cs="Times New Roman"/>
                <w:color w:val="auto"/>
                <w:kern w:val="0"/>
                <w:sz w:val="24"/>
                <w:highlight w:val="none"/>
              </w:rPr>
            </w:pPr>
          </w:p>
          <w:p w14:paraId="7C0C09B0">
            <w:pPr>
              <w:pStyle w:val="34"/>
              <w:rPr>
                <w:rFonts w:hint="default" w:ascii="Times New Roman" w:hAnsi="Times New Roman" w:cs="Times New Roman"/>
                <w:color w:val="auto"/>
                <w:kern w:val="0"/>
                <w:sz w:val="24"/>
                <w:highlight w:val="none"/>
              </w:rPr>
            </w:pPr>
          </w:p>
          <w:p w14:paraId="30C2F9F7">
            <w:pPr>
              <w:pStyle w:val="34"/>
              <w:rPr>
                <w:rFonts w:hint="default" w:ascii="Times New Roman" w:hAnsi="Times New Roman" w:cs="Times New Roman"/>
                <w:color w:val="auto"/>
                <w:kern w:val="0"/>
                <w:sz w:val="24"/>
                <w:highlight w:val="none"/>
              </w:rPr>
            </w:pPr>
          </w:p>
          <w:p w14:paraId="0426EE29">
            <w:pPr>
              <w:pStyle w:val="34"/>
              <w:rPr>
                <w:rFonts w:hint="default" w:ascii="Times New Roman" w:hAnsi="Times New Roman" w:cs="Times New Roman"/>
                <w:color w:val="auto"/>
                <w:kern w:val="0"/>
                <w:sz w:val="24"/>
                <w:highlight w:val="none"/>
              </w:rPr>
            </w:pPr>
          </w:p>
        </w:tc>
      </w:tr>
    </w:tbl>
    <w:p w14:paraId="0FBFA003">
      <w:pPr>
        <w:adjustRightInd w:val="0"/>
        <w:snapToGrid w:val="0"/>
        <w:jc w:val="center"/>
        <w:rPr>
          <w:rFonts w:hint="default" w:ascii="Times New Roman" w:hAnsi="Times New Roman" w:cs="Times New Roman"/>
          <w:color w:val="auto"/>
          <w:kern w:val="0"/>
          <w:sz w:val="24"/>
          <w:highlight w:val="none"/>
        </w:rPr>
        <w:sectPr>
          <w:headerReference r:id="rId6" w:type="default"/>
          <w:pgSz w:w="11906" w:h="16838"/>
          <w:pgMar w:top="1440" w:right="1800" w:bottom="1440" w:left="1800" w:header="851" w:footer="1077" w:gutter="0"/>
          <w:cols w:space="720" w:num="1"/>
        </w:sectPr>
      </w:pPr>
    </w:p>
    <w:tbl>
      <w:tblPr>
        <w:tblStyle w:val="25"/>
        <w:tblW w:w="56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9148"/>
      </w:tblGrid>
      <w:tr w14:paraId="18BED2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7" w:type="pct"/>
            <w:noWrap w:val="0"/>
            <w:vAlign w:val="center"/>
          </w:tcPr>
          <w:p w14:paraId="59FCE0B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总平面及现场布置</w:t>
            </w:r>
          </w:p>
        </w:tc>
        <w:tc>
          <w:tcPr>
            <w:tcW w:w="4762" w:type="pct"/>
            <w:noWrap w:val="0"/>
            <w:vAlign w:val="center"/>
          </w:tcPr>
          <w:p w14:paraId="1751B68F">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一、工程总布置</w:t>
            </w:r>
          </w:p>
          <w:p w14:paraId="7A5ED6A6">
            <w:pPr>
              <w:pStyle w:val="84"/>
              <w:keepNext w:val="0"/>
              <w:keepLines w:val="0"/>
              <w:pageBreakBefore w:val="0"/>
              <w:widowControl w:val="0"/>
              <w:kinsoku/>
              <w:wordWrap/>
              <w:overflowPunct/>
              <w:topLinePunct w:val="0"/>
              <w:autoSpaceDE/>
              <w:autoSpaceDN/>
              <w:bidi w:val="0"/>
              <w:adjustRightInd w:val="0"/>
              <w:snapToGrid w:val="0"/>
              <w:spacing w:line="500" w:lineRule="exact"/>
              <w:ind w:firstLineChars="0"/>
              <w:textAlignment w:val="auto"/>
              <w:rPr>
                <w:rFonts w:hint="default" w:ascii="Times New Roman" w:hAnsi="Times New Roman" w:cs="Times New Roman"/>
                <w:color w:val="auto"/>
                <w:highlight w:val="none"/>
              </w:rPr>
            </w:pPr>
            <w:r>
              <w:rPr>
                <w:rFonts w:hint="eastAsia" w:cs="Times New Roman"/>
                <w:color w:val="auto"/>
                <w:highlight w:val="none"/>
                <w:lang w:eastAsia="zh-CN"/>
              </w:rPr>
              <w:t>格木克河改道段河道位于庆安县内，吉庆路附近位置。河道早年在该段形成南北两处分叉，近年来，当地居民逐年将南侧河道填堵，用以耕种，北侧河道受冲严重，河道过流能力不足，</w:t>
            </w:r>
            <w:r>
              <w:rPr>
                <w:rFonts w:hint="eastAsia" w:cs="Times New Roman"/>
                <w:color w:val="auto"/>
                <w:highlight w:val="none"/>
                <w:lang w:val="en-US" w:eastAsia="zh-CN"/>
              </w:rPr>
              <w:t>沿</w:t>
            </w:r>
            <w:r>
              <w:rPr>
                <w:rFonts w:hint="eastAsia" w:cs="Times New Roman"/>
                <w:color w:val="auto"/>
                <w:highlight w:val="none"/>
                <w:lang w:eastAsia="zh-CN"/>
              </w:rPr>
              <w:t>原南侧河道方向对河道进行恢复，形成新的过流通道，改道长783m</w:t>
            </w:r>
            <w:r>
              <w:rPr>
                <w:rFonts w:hint="default" w:ascii="Times New Roman" w:hAnsi="Times New Roman" w:cs="Times New Roman"/>
                <w:color w:val="auto"/>
                <w:highlight w:val="none"/>
              </w:rPr>
              <w:t>。</w:t>
            </w:r>
          </w:p>
          <w:p w14:paraId="66CE6CF1">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二、</w:t>
            </w:r>
            <w:r>
              <w:rPr>
                <w:rFonts w:hint="default" w:ascii="Times New Roman" w:hAnsi="Times New Roman" w:cs="Times New Roman"/>
                <w:b/>
                <w:bCs/>
                <w:sz w:val="24"/>
                <w:szCs w:val="24"/>
                <w:highlight w:val="none"/>
                <w:lang w:val="en-US" w:eastAsia="zh-CN"/>
              </w:rPr>
              <w:t>工程占地</w:t>
            </w:r>
          </w:p>
          <w:p w14:paraId="3438CBDF">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1、永久占地</w:t>
            </w:r>
          </w:p>
          <w:p w14:paraId="73B4ECF9">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新增永久</w:t>
            </w:r>
            <w:r>
              <w:rPr>
                <w:rFonts w:hint="eastAsia" w:cs="Times New Roman"/>
                <w:sz w:val="24"/>
                <w:szCs w:val="24"/>
                <w:highlight w:val="none"/>
                <w:lang w:val="en-US" w:eastAsia="zh-CN"/>
              </w:rPr>
              <w:t>占地</w:t>
            </w:r>
            <w:r>
              <w:rPr>
                <w:rFonts w:hint="default" w:ascii="Times New Roman" w:hAnsi="Times New Roman" w:cs="Times New Roman"/>
                <w:sz w:val="24"/>
                <w:szCs w:val="24"/>
                <w:highlight w:val="none"/>
                <w:lang w:val="en-US" w:eastAsia="zh-CN"/>
              </w:rPr>
              <w:t>面积为41.38亩，其中耕地</w:t>
            </w:r>
            <w:r>
              <w:rPr>
                <w:rFonts w:hint="eastAsia" w:cs="Times New Roman"/>
                <w:sz w:val="24"/>
                <w:szCs w:val="24"/>
                <w:highlight w:val="none"/>
                <w:lang w:val="en-US" w:eastAsia="zh-CN"/>
              </w:rPr>
              <w:t>22.79</w:t>
            </w:r>
            <w:r>
              <w:rPr>
                <w:rFonts w:hint="default" w:ascii="Times New Roman" w:hAnsi="Times New Roman" w:cs="Times New Roman"/>
                <w:sz w:val="24"/>
                <w:szCs w:val="24"/>
                <w:highlight w:val="none"/>
                <w:lang w:val="en-US" w:eastAsia="zh-CN"/>
              </w:rPr>
              <w:t>亩（其中旱地2.85亩，水田19.94亩）、林地13.49亩（全部为其他林地）、草地1.65亩（全部为其他草地）、水域及水利设施用地3.45亩（坑塘水面1.80亩、沟渠1.65亩）。本工程不涉及占用永久基本农田。</w:t>
            </w:r>
          </w:p>
          <w:p w14:paraId="47F952AA">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2、</w:t>
            </w:r>
            <w:r>
              <w:rPr>
                <w:rFonts w:hint="default" w:ascii="Times New Roman" w:hAnsi="Times New Roman" w:cs="Times New Roman"/>
                <w:b/>
                <w:bCs/>
                <w:sz w:val="24"/>
                <w:szCs w:val="24"/>
                <w:highlight w:val="none"/>
                <w:lang w:val="en-US" w:eastAsia="zh-CN"/>
              </w:rPr>
              <w:t>临时占地</w:t>
            </w:r>
          </w:p>
          <w:p w14:paraId="0C28B4A6">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临时占地面积</w:t>
            </w:r>
            <w:r>
              <w:rPr>
                <w:rFonts w:hint="eastAsia" w:cs="Times New Roman"/>
                <w:sz w:val="24"/>
                <w:szCs w:val="24"/>
                <w:highlight w:val="none"/>
                <w:lang w:val="en-US" w:eastAsia="zh-CN"/>
              </w:rPr>
              <w:t>35.54</w:t>
            </w:r>
            <w:r>
              <w:rPr>
                <w:rFonts w:hint="default" w:ascii="Times New Roman" w:hAnsi="Times New Roman" w:cs="Times New Roman"/>
                <w:sz w:val="24"/>
                <w:szCs w:val="24"/>
                <w:highlight w:val="none"/>
                <w:lang w:val="en-US" w:eastAsia="zh-CN"/>
              </w:rPr>
              <w:t>亩，其中临时占用耕地6.60亩（全部为水田），林地0.90亩，草地1.05亩，水域及水利设施用地26.99亩。未占用基本农田。</w:t>
            </w:r>
          </w:p>
          <w:p w14:paraId="61E1CEBE">
            <w:pPr>
              <w:keepNext w:val="0"/>
              <w:keepLines w:val="0"/>
              <w:pageBreakBefore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表2</w:t>
            </w:r>
            <w:r>
              <w:rPr>
                <w:rFonts w:hint="default" w:ascii="Times New Roman" w:hAnsi="Times New Roman" w:cs="Times New Roman"/>
                <w:b/>
                <w:color w:val="auto"/>
                <w:sz w:val="21"/>
                <w:szCs w:val="21"/>
                <w:highlight w:val="none"/>
                <w:lang w:eastAsia="zh-CN"/>
              </w:rPr>
              <w:t>—</w:t>
            </w:r>
            <w:r>
              <w:rPr>
                <w:rFonts w:hint="eastAsia"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工程占地一览表（</w:t>
            </w:r>
            <w:r>
              <w:rPr>
                <w:rFonts w:hint="default" w:ascii="Times New Roman" w:hAnsi="Times New Roman" w:cs="Times New Roman"/>
                <w:b/>
                <w:color w:val="auto"/>
                <w:sz w:val="21"/>
                <w:szCs w:val="21"/>
                <w:highlight w:val="none"/>
                <w:lang w:val="en-US" w:eastAsia="zh-CN"/>
              </w:rPr>
              <w:t>亩</w:t>
            </w:r>
            <w:r>
              <w:rPr>
                <w:rFonts w:hint="default" w:ascii="Times New Roman" w:hAnsi="Times New Roman" w:cs="Times New Roman"/>
                <w:b/>
                <w:color w:val="auto"/>
                <w:sz w:val="21"/>
                <w:szCs w:val="21"/>
                <w:highlight w:val="none"/>
              </w:rPr>
              <w:t>）</w:t>
            </w:r>
          </w:p>
          <w:tbl>
            <w:tblPr>
              <w:tblStyle w:val="25"/>
              <w:tblW w:w="48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4"/>
              <w:gridCol w:w="840"/>
              <w:gridCol w:w="738"/>
              <w:gridCol w:w="753"/>
              <w:gridCol w:w="1158"/>
              <w:gridCol w:w="1391"/>
              <w:gridCol w:w="1428"/>
              <w:gridCol w:w="1115"/>
              <w:gridCol w:w="639"/>
            </w:tblGrid>
            <w:tr w14:paraId="29394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restart"/>
                  <w:tcBorders>
                    <w:top w:val="single" w:color="auto" w:sz="4" w:space="0"/>
                    <w:left w:val="single" w:color="auto" w:sz="0" w:space="0"/>
                  </w:tcBorders>
                  <w:noWrap/>
                  <w:vAlign w:val="center"/>
                </w:tcPr>
                <w:p w14:paraId="50BB4F3E">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工程名称</w:t>
                  </w:r>
                </w:p>
              </w:tc>
              <w:tc>
                <w:tcPr>
                  <w:tcW w:w="481" w:type="pct"/>
                  <w:vMerge w:val="restart"/>
                  <w:tcBorders>
                    <w:top w:val="single" w:color="auto" w:sz="4" w:space="0"/>
                  </w:tcBorders>
                  <w:noWrap/>
                  <w:vAlign w:val="center"/>
                </w:tcPr>
                <w:p w14:paraId="28A43457">
                  <w:pPr>
                    <w:pStyle w:val="89"/>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占地类型</w:t>
                  </w:r>
                </w:p>
              </w:tc>
              <w:tc>
                <w:tcPr>
                  <w:tcW w:w="855" w:type="pct"/>
                  <w:gridSpan w:val="2"/>
                  <w:tcBorders>
                    <w:top w:val="single" w:color="auto" w:sz="4" w:space="0"/>
                  </w:tcBorders>
                  <w:noWrap w:val="0"/>
                  <w:vAlign w:val="center"/>
                </w:tcPr>
                <w:p w14:paraId="2D6FAF73">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耕地</w:t>
                  </w:r>
                </w:p>
              </w:tc>
              <w:tc>
                <w:tcPr>
                  <w:tcW w:w="664" w:type="pct"/>
                  <w:tcBorders>
                    <w:top w:val="single" w:color="auto" w:sz="4" w:space="0"/>
                  </w:tcBorders>
                  <w:noWrap w:val="0"/>
                  <w:vAlign w:val="center"/>
                </w:tcPr>
                <w:p w14:paraId="221E2B25">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林地</w:t>
                  </w:r>
                </w:p>
              </w:tc>
              <w:tc>
                <w:tcPr>
                  <w:tcW w:w="797" w:type="pct"/>
                  <w:tcBorders>
                    <w:top w:val="single" w:color="auto" w:sz="4" w:space="0"/>
                  </w:tcBorders>
                  <w:noWrap w:val="0"/>
                  <w:vAlign w:val="center"/>
                </w:tcPr>
                <w:p w14:paraId="1F3E4567">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草地</w:t>
                  </w:r>
                </w:p>
              </w:tc>
              <w:tc>
                <w:tcPr>
                  <w:tcW w:w="1458" w:type="pct"/>
                  <w:gridSpan w:val="2"/>
                  <w:tcBorders>
                    <w:top w:val="single" w:color="auto" w:sz="4" w:space="0"/>
                    <w:right w:val="single" w:color="auto" w:sz="4" w:space="0"/>
                  </w:tcBorders>
                  <w:noWrap w:val="0"/>
                  <w:vAlign w:val="center"/>
                </w:tcPr>
                <w:p w14:paraId="15FDE283">
                  <w:pPr>
                    <w:pStyle w:val="89"/>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水域及水利设施用地</w:t>
                  </w:r>
                </w:p>
              </w:tc>
              <w:tc>
                <w:tcPr>
                  <w:tcW w:w="366" w:type="pct"/>
                  <w:vMerge w:val="restart"/>
                  <w:tcBorders>
                    <w:top w:val="single" w:color="auto" w:sz="4" w:space="0"/>
                    <w:right w:val="single" w:color="auto" w:sz="4" w:space="0"/>
                  </w:tcBorders>
                  <w:noWrap w:val="0"/>
                  <w:vAlign w:val="center"/>
                </w:tcPr>
                <w:p w14:paraId="0C6F999F">
                  <w:pPr>
                    <w:pStyle w:val="89"/>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合计</w:t>
                  </w:r>
                </w:p>
              </w:tc>
            </w:tr>
            <w:tr w14:paraId="34E23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noWrap/>
                  <w:vAlign w:val="center"/>
                </w:tcPr>
                <w:p w14:paraId="62D3F7B3">
                  <w:pPr>
                    <w:pStyle w:val="89"/>
                    <w:jc w:val="center"/>
                    <w:rPr>
                      <w:rFonts w:hint="default" w:ascii="Times New Roman" w:hAnsi="Times New Roman" w:cs="Times New Roman"/>
                      <w:color w:val="auto"/>
                      <w:sz w:val="18"/>
                      <w:szCs w:val="18"/>
                      <w:highlight w:val="none"/>
                    </w:rPr>
                  </w:pPr>
                </w:p>
              </w:tc>
              <w:tc>
                <w:tcPr>
                  <w:tcW w:w="481" w:type="pct"/>
                  <w:vMerge w:val="continue"/>
                  <w:noWrap/>
                  <w:vAlign w:val="center"/>
                </w:tcPr>
                <w:p w14:paraId="2DAE21D4">
                  <w:pPr>
                    <w:pStyle w:val="89"/>
                    <w:jc w:val="center"/>
                    <w:rPr>
                      <w:rFonts w:hint="default" w:ascii="Times New Roman" w:hAnsi="Times New Roman" w:cs="Times New Roman"/>
                      <w:color w:val="auto"/>
                      <w:sz w:val="18"/>
                      <w:szCs w:val="18"/>
                      <w:highlight w:val="none"/>
                    </w:rPr>
                  </w:pPr>
                </w:p>
              </w:tc>
              <w:tc>
                <w:tcPr>
                  <w:tcW w:w="423" w:type="pct"/>
                  <w:noWrap w:val="0"/>
                  <w:vAlign w:val="center"/>
                </w:tcPr>
                <w:p w14:paraId="40A8A685">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水田</w:t>
                  </w:r>
                </w:p>
              </w:tc>
              <w:tc>
                <w:tcPr>
                  <w:tcW w:w="431" w:type="pct"/>
                  <w:noWrap w:val="0"/>
                  <w:vAlign w:val="center"/>
                </w:tcPr>
                <w:p w14:paraId="7E0B923A">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旱田</w:t>
                  </w:r>
                </w:p>
              </w:tc>
              <w:tc>
                <w:tcPr>
                  <w:tcW w:w="664" w:type="pct"/>
                  <w:noWrap w:val="0"/>
                  <w:vAlign w:val="center"/>
                </w:tcPr>
                <w:p w14:paraId="7351C3E2">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其他林地</w:t>
                  </w:r>
                </w:p>
              </w:tc>
              <w:tc>
                <w:tcPr>
                  <w:tcW w:w="797" w:type="pct"/>
                  <w:noWrap w:val="0"/>
                  <w:vAlign w:val="center"/>
                </w:tcPr>
                <w:p w14:paraId="4ADB09A4">
                  <w:pPr>
                    <w:pStyle w:val="89"/>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其他草地</w:t>
                  </w:r>
                </w:p>
              </w:tc>
              <w:tc>
                <w:tcPr>
                  <w:tcW w:w="819" w:type="pct"/>
                  <w:tcBorders>
                    <w:right w:val="single" w:color="auto" w:sz="4" w:space="0"/>
                  </w:tcBorders>
                  <w:shd w:val="clear" w:color="auto" w:fill="auto"/>
                  <w:noWrap w:val="0"/>
                  <w:vAlign w:val="center"/>
                </w:tcPr>
                <w:p w14:paraId="19F3A48B">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lang w:val="en-US" w:eastAsia="zh-CN"/>
                    </w:rPr>
                    <w:t>坑塘水面</w:t>
                  </w:r>
                </w:p>
              </w:tc>
              <w:tc>
                <w:tcPr>
                  <w:tcW w:w="639" w:type="pct"/>
                  <w:tcBorders>
                    <w:right w:val="single" w:color="auto" w:sz="4" w:space="0"/>
                  </w:tcBorders>
                  <w:shd w:val="clear" w:color="auto" w:fill="auto"/>
                  <w:noWrap w:val="0"/>
                  <w:vAlign w:val="center"/>
                </w:tcPr>
                <w:p w14:paraId="040E604E">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lang w:val="en-US" w:eastAsia="zh-CN"/>
                    </w:rPr>
                    <w:t>沟渠</w:t>
                  </w:r>
                </w:p>
              </w:tc>
              <w:tc>
                <w:tcPr>
                  <w:tcW w:w="366" w:type="pct"/>
                  <w:vMerge w:val="continue"/>
                  <w:tcBorders>
                    <w:right w:val="single" w:color="auto" w:sz="4" w:space="0"/>
                  </w:tcBorders>
                  <w:noWrap w:val="0"/>
                  <w:vAlign w:val="center"/>
                </w:tcPr>
                <w:p w14:paraId="647391C2">
                  <w:pPr>
                    <w:pStyle w:val="89"/>
                    <w:jc w:val="center"/>
                    <w:rPr>
                      <w:rFonts w:hint="default" w:ascii="Times New Roman" w:hAnsi="Times New Roman" w:cs="Times New Roman"/>
                      <w:color w:val="auto"/>
                      <w:sz w:val="18"/>
                      <w:szCs w:val="18"/>
                      <w:highlight w:val="none"/>
                      <w:lang w:val="en-US" w:eastAsia="zh-CN"/>
                    </w:rPr>
                  </w:pPr>
                </w:p>
              </w:tc>
            </w:tr>
            <w:tr w14:paraId="56C6F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tcBorders>
                    <w:left w:val="single" w:color="auto" w:sz="4" w:space="0"/>
                  </w:tcBorders>
                  <w:noWrap/>
                  <w:vAlign w:val="center"/>
                </w:tcPr>
                <w:p w14:paraId="343747EA">
                  <w:pPr>
                    <w:pStyle w:val="89"/>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永久占地</w:t>
                  </w:r>
                </w:p>
              </w:tc>
              <w:tc>
                <w:tcPr>
                  <w:tcW w:w="481" w:type="pct"/>
                  <w:noWrap/>
                  <w:vAlign w:val="center"/>
                </w:tcPr>
                <w:p w14:paraId="3C93E1ED">
                  <w:pPr>
                    <w:keepNext w:val="0"/>
                    <w:keepLines w:val="0"/>
                    <w:widowControl/>
                    <w:suppressLineNumbers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工程本身占地</w:t>
                  </w:r>
                </w:p>
              </w:tc>
              <w:tc>
                <w:tcPr>
                  <w:tcW w:w="423" w:type="pct"/>
                  <w:noWrap/>
                  <w:vAlign w:val="center"/>
                </w:tcPr>
                <w:p w14:paraId="1049EB6A">
                  <w:pPr>
                    <w:pStyle w:val="89"/>
                    <w:jc w:val="center"/>
                    <w:rPr>
                      <w:rFonts w:hint="default" w:ascii="Times New Roman" w:hAnsi="Times New Roman" w:eastAsia="宋体" w:cs="Times New Roman"/>
                      <w:color w:val="auto"/>
                      <w:spacing w:val="-4"/>
                      <w:kern w:val="2"/>
                      <w:sz w:val="18"/>
                      <w:szCs w:val="18"/>
                      <w:highlight w:val="none"/>
                      <w:lang w:val="en-US" w:eastAsia="zh-CN" w:bidi="ar-SA"/>
                    </w:rPr>
                  </w:pPr>
                  <w:r>
                    <w:rPr>
                      <w:rFonts w:hint="eastAsia" w:cs="Times New Roman"/>
                      <w:color w:val="auto"/>
                      <w:spacing w:val="-4"/>
                      <w:kern w:val="2"/>
                      <w:sz w:val="18"/>
                      <w:szCs w:val="18"/>
                      <w:highlight w:val="none"/>
                      <w:lang w:val="en-US" w:eastAsia="zh-CN" w:bidi="ar-SA"/>
                    </w:rPr>
                    <w:t>19.94</w:t>
                  </w:r>
                </w:p>
              </w:tc>
              <w:tc>
                <w:tcPr>
                  <w:tcW w:w="431" w:type="pct"/>
                  <w:noWrap/>
                  <w:vAlign w:val="center"/>
                </w:tcPr>
                <w:p w14:paraId="19CB5613">
                  <w:pPr>
                    <w:pStyle w:val="89"/>
                    <w:jc w:val="center"/>
                    <w:rPr>
                      <w:rFonts w:hint="default" w:ascii="Times New Roman" w:hAnsi="Times New Roman" w:eastAsia="宋体" w:cs="Times New Roman"/>
                      <w:color w:val="auto"/>
                      <w:spacing w:val="-4"/>
                      <w:kern w:val="2"/>
                      <w:sz w:val="18"/>
                      <w:szCs w:val="18"/>
                      <w:highlight w:val="none"/>
                      <w:lang w:val="en-US" w:eastAsia="zh-CN" w:bidi="ar-SA"/>
                    </w:rPr>
                  </w:pPr>
                  <w:r>
                    <w:rPr>
                      <w:rFonts w:hint="eastAsia" w:cs="Times New Roman"/>
                      <w:color w:val="auto"/>
                      <w:spacing w:val="-4"/>
                      <w:kern w:val="2"/>
                      <w:sz w:val="18"/>
                      <w:szCs w:val="18"/>
                      <w:highlight w:val="none"/>
                      <w:lang w:val="en-US" w:eastAsia="zh-CN" w:bidi="ar-SA"/>
                    </w:rPr>
                    <w:t>2.85</w:t>
                  </w:r>
                </w:p>
              </w:tc>
              <w:tc>
                <w:tcPr>
                  <w:tcW w:w="664" w:type="pct"/>
                  <w:noWrap/>
                  <w:vAlign w:val="center"/>
                </w:tcPr>
                <w:p w14:paraId="3BBEC78F">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13.49</w:t>
                  </w:r>
                </w:p>
              </w:tc>
              <w:tc>
                <w:tcPr>
                  <w:tcW w:w="797" w:type="pct"/>
                  <w:noWrap/>
                  <w:vAlign w:val="center"/>
                </w:tcPr>
                <w:p w14:paraId="0DE66DD6">
                  <w:pPr>
                    <w:pStyle w:val="89"/>
                    <w:jc w:val="center"/>
                    <w:rPr>
                      <w:rFonts w:hint="default" w:ascii="Times New Roman" w:hAnsi="Times New Roman" w:eastAsia="宋体" w:cs="Times New Roman"/>
                      <w:color w:val="auto"/>
                      <w:spacing w:val="-4"/>
                      <w:kern w:val="2"/>
                      <w:sz w:val="18"/>
                      <w:szCs w:val="18"/>
                      <w:highlight w:val="none"/>
                      <w:lang w:val="en-US" w:eastAsia="zh-CN" w:bidi="ar-SA"/>
                    </w:rPr>
                  </w:pPr>
                  <w:r>
                    <w:rPr>
                      <w:rFonts w:hint="eastAsia" w:cs="Times New Roman"/>
                      <w:color w:val="auto"/>
                      <w:spacing w:val="-4"/>
                      <w:kern w:val="2"/>
                      <w:sz w:val="18"/>
                      <w:szCs w:val="18"/>
                      <w:highlight w:val="none"/>
                      <w:lang w:val="en-US" w:eastAsia="zh-CN" w:bidi="ar-SA"/>
                    </w:rPr>
                    <w:t>1.65</w:t>
                  </w:r>
                </w:p>
              </w:tc>
              <w:tc>
                <w:tcPr>
                  <w:tcW w:w="819" w:type="pct"/>
                  <w:tcBorders>
                    <w:right w:val="single" w:color="auto" w:sz="4" w:space="0"/>
                  </w:tcBorders>
                  <w:shd w:val="clear" w:color="auto" w:fill="auto"/>
                  <w:noWrap/>
                  <w:vAlign w:val="center"/>
                </w:tcPr>
                <w:p w14:paraId="14020CB5">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1.80</w:t>
                  </w:r>
                </w:p>
              </w:tc>
              <w:tc>
                <w:tcPr>
                  <w:tcW w:w="639" w:type="pct"/>
                  <w:tcBorders>
                    <w:right w:val="single" w:color="auto" w:sz="4" w:space="0"/>
                  </w:tcBorders>
                  <w:shd w:val="clear" w:color="auto" w:fill="auto"/>
                  <w:noWrap/>
                  <w:vAlign w:val="center"/>
                </w:tcPr>
                <w:p w14:paraId="526B663D">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kern w:val="2"/>
                      <w:sz w:val="18"/>
                      <w:szCs w:val="18"/>
                      <w:highlight w:val="none"/>
                      <w:lang w:val="en-US" w:eastAsia="zh-CN" w:bidi="ar-SA"/>
                    </w:rPr>
                  </w:pPr>
                  <w:r>
                    <w:rPr>
                      <w:rFonts w:hint="eastAsia" w:ascii="Times New Roman" w:hAnsi="Times New Roman" w:cs="Times New Roman"/>
                      <w:kern w:val="2"/>
                      <w:sz w:val="18"/>
                      <w:szCs w:val="18"/>
                      <w:highlight w:val="none"/>
                      <w:lang w:val="en-US" w:eastAsia="zh-CN" w:bidi="ar-SA"/>
                    </w:rPr>
                    <w:t>1.65</w:t>
                  </w:r>
                </w:p>
              </w:tc>
              <w:tc>
                <w:tcPr>
                  <w:tcW w:w="366" w:type="pct"/>
                  <w:tcBorders>
                    <w:right w:val="single" w:color="auto" w:sz="4" w:space="0"/>
                  </w:tcBorders>
                  <w:shd w:val="clear" w:color="auto" w:fill="auto"/>
                  <w:noWrap/>
                  <w:vAlign w:val="center"/>
                </w:tcPr>
                <w:p w14:paraId="41D2B35B">
                  <w:pPr>
                    <w:pStyle w:val="89"/>
                    <w:jc w:val="center"/>
                    <w:rPr>
                      <w:rFonts w:hint="default" w:ascii="Times New Roman" w:hAnsi="Times New Roman" w:eastAsia="宋体" w:cs="Times New Roman"/>
                      <w:color w:val="auto"/>
                      <w:spacing w:val="-4"/>
                      <w:kern w:val="2"/>
                      <w:sz w:val="18"/>
                      <w:szCs w:val="18"/>
                      <w:highlight w:val="none"/>
                      <w:lang w:val="en-US" w:eastAsia="zh-CN" w:bidi="ar-SA"/>
                    </w:rPr>
                  </w:pPr>
                  <w:r>
                    <w:rPr>
                      <w:rFonts w:hint="eastAsia" w:cs="Times New Roman"/>
                      <w:color w:val="auto"/>
                      <w:spacing w:val="-4"/>
                      <w:kern w:val="2"/>
                      <w:sz w:val="18"/>
                      <w:szCs w:val="18"/>
                      <w:highlight w:val="none"/>
                      <w:lang w:val="en-US" w:eastAsia="zh-CN" w:bidi="ar-SA"/>
                    </w:rPr>
                    <w:t>41.38</w:t>
                  </w:r>
                </w:p>
              </w:tc>
            </w:tr>
            <w:tr w14:paraId="0AE0D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restart"/>
                  <w:tcBorders>
                    <w:left w:val="single" w:color="auto" w:sz="4" w:space="0"/>
                  </w:tcBorders>
                  <w:noWrap/>
                  <w:vAlign w:val="center"/>
                </w:tcPr>
                <w:p w14:paraId="09CEA6F5">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临时占地</w:t>
                  </w:r>
                </w:p>
              </w:tc>
              <w:tc>
                <w:tcPr>
                  <w:tcW w:w="481" w:type="pct"/>
                  <w:shd w:val="clear" w:color="auto" w:fill="auto"/>
                  <w:noWrap/>
                  <w:vAlign w:val="center"/>
                </w:tcPr>
                <w:p w14:paraId="2E19913B">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kern w:val="0"/>
                      <w:sz w:val="18"/>
                      <w:szCs w:val="18"/>
                      <w:highlight w:val="none"/>
                      <w:lang w:val="en-US" w:eastAsia="zh-CN" w:bidi="ar"/>
                    </w:rPr>
                    <w:t>临时施工道路</w:t>
                  </w:r>
                </w:p>
              </w:tc>
              <w:tc>
                <w:tcPr>
                  <w:tcW w:w="423" w:type="pct"/>
                  <w:noWrap/>
                  <w:vAlign w:val="center"/>
                </w:tcPr>
                <w:p w14:paraId="55AFC25D">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3.60</w:t>
                  </w:r>
                </w:p>
              </w:tc>
              <w:tc>
                <w:tcPr>
                  <w:tcW w:w="431" w:type="pct"/>
                  <w:noWrap/>
                  <w:vAlign w:val="center"/>
                </w:tcPr>
                <w:p w14:paraId="1A294580">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664" w:type="pct"/>
                  <w:noWrap/>
                  <w:vAlign w:val="center"/>
                </w:tcPr>
                <w:p w14:paraId="08E3BA4A">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0.90</w:t>
                  </w:r>
                </w:p>
              </w:tc>
              <w:tc>
                <w:tcPr>
                  <w:tcW w:w="797" w:type="pct"/>
                  <w:noWrap/>
                  <w:vAlign w:val="center"/>
                </w:tcPr>
                <w:p w14:paraId="0C8CC630">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819" w:type="pct"/>
                  <w:tcBorders>
                    <w:right w:val="single" w:color="auto" w:sz="4" w:space="0"/>
                  </w:tcBorders>
                  <w:shd w:val="clear" w:color="auto" w:fill="auto"/>
                  <w:noWrap/>
                  <w:vAlign w:val="center"/>
                </w:tcPr>
                <w:p w14:paraId="39C0E470">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639" w:type="pct"/>
                  <w:tcBorders>
                    <w:right w:val="single" w:color="auto" w:sz="4" w:space="0"/>
                  </w:tcBorders>
                  <w:shd w:val="clear" w:color="auto" w:fill="auto"/>
                  <w:noWrap/>
                  <w:vAlign w:val="center"/>
                </w:tcPr>
                <w:p w14:paraId="3A12F59C">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366" w:type="pct"/>
                  <w:tcBorders>
                    <w:right w:val="single" w:color="auto" w:sz="4" w:space="0"/>
                  </w:tcBorders>
                  <w:shd w:val="clear" w:color="auto" w:fill="auto"/>
                  <w:noWrap/>
                  <w:vAlign w:val="center"/>
                </w:tcPr>
                <w:p w14:paraId="379C3649">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4.50</w:t>
                  </w:r>
                </w:p>
              </w:tc>
            </w:tr>
            <w:tr w14:paraId="64F97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vAlign w:val="center"/>
                </w:tcPr>
                <w:p w14:paraId="5A50CADF">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78D9E607">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kern w:val="0"/>
                      <w:sz w:val="18"/>
                      <w:szCs w:val="18"/>
                      <w:highlight w:val="none"/>
                      <w:lang w:val="en-US" w:eastAsia="zh-CN" w:bidi="ar"/>
                    </w:rPr>
                    <w:t>施工生产生活区</w:t>
                  </w:r>
                </w:p>
              </w:tc>
              <w:tc>
                <w:tcPr>
                  <w:tcW w:w="423" w:type="pct"/>
                  <w:vAlign w:val="center"/>
                </w:tcPr>
                <w:p w14:paraId="0AEF73BC">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431" w:type="pct"/>
                  <w:vAlign w:val="center"/>
                </w:tcPr>
                <w:p w14:paraId="294BD2DC">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0F94FB79">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543EF955">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1.05</w:t>
                  </w:r>
                </w:p>
              </w:tc>
              <w:tc>
                <w:tcPr>
                  <w:tcW w:w="0" w:type="auto"/>
                  <w:vAlign w:val="center"/>
                </w:tcPr>
                <w:p w14:paraId="2C3460BA">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088EFBB5">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tcBorders>
                    <w:right w:val="single" w:color="auto" w:sz="4" w:space="0"/>
                  </w:tcBorders>
                  <w:vAlign w:val="center"/>
                </w:tcPr>
                <w:p w14:paraId="43B6ADC0">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1.05</w:t>
                  </w:r>
                </w:p>
              </w:tc>
            </w:tr>
            <w:tr w14:paraId="7C036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vAlign w:val="center"/>
                </w:tcPr>
                <w:p w14:paraId="60A0C88B">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0DECB96F">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施工材料</w:t>
                  </w:r>
                  <w:r>
                    <w:rPr>
                      <w:rFonts w:hint="default" w:ascii="Times New Roman" w:hAnsi="Times New Roman" w:eastAsia="宋体" w:cs="Times New Roman"/>
                      <w:color w:val="auto"/>
                      <w:spacing w:val="0"/>
                      <w:kern w:val="0"/>
                      <w:sz w:val="18"/>
                      <w:szCs w:val="18"/>
                      <w:highlight w:val="none"/>
                      <w:lang w:val="en-US" w:eastAsia="zh-CN" w:bidi="ar"/>
                    </w:rPr>
                    <w:t>堆放场</w:t>
                  </w:r>
                </w:p>
              </w:tc>
              <w:tc>
                <w:tcPr>
                  <w:tcW w:w="423" w:type="pct"/>
                  <w:vAlign w:val="center"/>
                </w:tcPr>
                <w:p w14:paraId="3E4B331F">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3.00</w:t>
                  </w:r>
                </w:p>
              </w:tc>
              <w:tc>
                <w:tcPr>
                  <w:tcW w:w="431" w:type="pct"/>
                  <w:vAlign w:val="center"/>
                </w:tcPr>
                <w:p w14:paraId="365D9F56">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525A1EEC">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37C555DE">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02DFAF3A">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4A1848D0">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tcBorders>
                    <w:right w:val="single" w:color="auto" w:sz="4" w:space="0"/>
                  </w:tcBorders>
                  <w:vAlign w:val="center"/>
                </w:tcPr>
                <w:p w14:paraId="233B84DD">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3.00</w:t>
                  </w:r>
                </w:p>
              </w:tc>
            </w:tr>
            <w:tr w14:paraId="61B4B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vAlign w:val="center"/>
                </w:tcPr>
                <w:p w14:paraId="2FFFEF2A">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6EB0210E">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kern w:val="0"/>
                      <w:sz w:val="18"/>
                      <w:szCs w:val="18"/>
                      <w:highlight w:val="none"/>
                      <w:lang w:val="en-US" w:eastAsia="zh-CN" w:bidi="ar"/>
                    </w:rPr>
                    <w:t>表土暂存场</w:t>
                  </w:r>
                </w:p>
              </w:tc>
              <w:tc>
                <w:tcPr>
                  <w:tcW w:w="423" w:type="pct"/>
                  <w:vAlign w:val="center"/>
                </w:tcPr>
                <w:p w14:paraId="0DD63908">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431" w:type="pct"/>
                  <w:vAlign w:val="center"/>
                </w:tcPr>
                <w:p w14:paraId="6EBD4541">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36A80442">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27854AC7">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20BAD9C2">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3901A4A8">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4.80</w:t>
                  </w:r>
                </w:p>
              </w:tc>
              <w:tc>
                <w:tcPr>
                  <w:tcW w:w="0" w:type="auto"/>
                  <w:tcBorders>
                    <w:right w:val="single" w:color="auto" w:sz="4" w:space="0"/>
                  </w:tcBorders>
                  <w:vAlign w:val="center"/>
                </w:tcPr>
                <w:p w14:paraId="421288C1">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4.80</w:t>
                  </w:r>
                </w:p>
              </w:tc>
            </w:tr>
            <w:tr w14:paraId="0DCE3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vAlign w:val="center"/>
                </w:tcPr>
                <w:p w14:paraId="5F03A10C">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573E9A84">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default" w:ascii="Times New Roman" w:hAnsi="Times New Roman" w:eastAsia="宋体" w:cs="Times New Roman"/>
                      <w:color w:val="auto"/>
                      <w:spacing w:val="0"/>
                      <w:kern w:val="0"/>
                      <w:sz w:val="18"/>
                      <w:szCs w:val="18"/>
                      <w:highlight w:val="none"/>
                      <w:lang w:val="en-US" w:eastAsia="zh-CN" w:bidi="ar"/>
                    </w:rPr>
                    <w:t>弃渣场</w:t>
                  </w:r>
                </w:p>
              </w:tc>
              <w:tc>
                <w:tcPr>
                  <w:tcW w:w="423" w:type="pct"/>
                  <w:shd w:val="clear" w:color="auto" w:fill="auto"/>
                  <w:vAlign w:val="center"/>
                </w:tcPr>
                <w:p w14:paraId="6C6BC5D8">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431" w:type="pct"/>
                  <w:shd w:val="clear" w:color="auto" w:fill="auto"/>
                  <w:vAlign w:val="center"/>
                </w:tcPr>
                <w:p w14:paraId="5ACBADEE">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0796CD7E">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6189327F">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273CD67A">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03431529">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22.19</w:t>
                  </w:r>
                </w:p>
              </w:tc>
              <w:tc>
                <w:tcPr>
                  <w:tcW w:w="0" w:type="auto"/>
                  <w:tcBorders>
                    <w:right w:val="single" w:color="auto" w:sz="4" w:space="0"/>
                  </w:tcBorders>
                  <w:shd w:val="clear" w:color="auto" w:fill="auto"/>
                  <w:vAlign w:val="center"/>
                </w:tcPr>
                <w:p w14:paraId="7C1D35B4">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22.19</w:t>
                  </w:r>
                </w:p>
              </w:tc>
            </w:tr>
            <w:tr w14:paraId="7D71C6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5" w:type="pct"/>
                  <w:vMerge w:val="continue"/>
                  <w:tcBorders>
                    <w:left w:val="single" w:color="auto" w:sz="4" w:space="0"/>
                  </w:tcBorders>
                  <w:vAlign w:val="center"/>
                </w:tcPr>
                <w:p w14:paraId="6C5A5E4B">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p>
              </w:tc>
              <w:tc>
                <w:tcPr>
                  <w:tcW w:w="0" w:type="auto"/>
                  <w:shd w:val="clear" w:color="auto" w:fill="auto"/>
                  <w:vAlign w:val="center"/>
                </w:tcPr>
                <w:p w14:paraId="46FCBD77">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小计</w:t>
                  </w:r>
                </w:p>
              </w:tc>
              <w:tc>
                <w:tcPr>
                  <w:tcW w:w="423" w:type="pct"/>
                  <w:vAlign w:val="center"/>
                </w:tcPr>
                <w:p w14:paraId="64FFE167">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6.60</w:t>
                  </w:r>
                </w:p>
              </w:tc>
              <w:tc>
                <w:tcPr>
                  <w:tcW w:w="431" w:type="pct"/>
                  <w:vAlign w:val="center"/>
                </w:tcPr>
                <w:p w14:paraId="1AB010DA">
                  <w:pPr>
                    <w:pStyle w:val="89"/>
                    <w:spacing w:line="240" w:lineRule="auto"/>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12386EF9">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0.90</w:t>
                  </w:r>
                </w:p>
              </w:tc>
              <w:tc>
                <w:tcPr>
                  <w:tcW w:w="0" w:type="auto"/>
                  <w:vAlign w:val="center"/>
                </w:tcPr>
                <w:p w14:paraId="1FE983A3">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1.05</w:t>
                  </w:r>
                </w:p>
              </w:tc>
              <w:tc>
                <w:tcPr>
                  <w:tcW w:w="0" w:type="auto"/>
                  <w:vAlign w:val="center"/>
                </w:tcPr>
                <w:p w14:paraId="748D5E82">
                  <w:pPr>
                    <w:pStyle w:val="7"/>
                    <w:keepNext w:val="0"/>
                    <w:widowControl/>
                    <w:shd w:val="clear" w:color="auto" w:fill="auto"/>
                    <w:adjustRightInd/>
                    <w:snapToGrid/>
                    <w:spacing w:line="240" w:lineRule="auto"/>
                    <w:ind w:firstLine="0" w:firstLineChars="0"/>
                    <w:jc w:val="center"/>
                    <w:rPr>
                      <w:rFonts w:hint="eastAsia" w:ascii="Times New Roman" w:hAnsi="Times New Roman" w:eastAsia="宋体" w:cs="Times New Roman"/>
                      <w:color w:val="auto"/>
                      <w:spacing w:val="0"/>
                      <w:kern w:val="0"/>
                      <w:sz w:val="18"/>
                      <w:szCs w:val="18"/>
                      <w:highlight w:val="none"/>
                      <w:lang w:val="en-US" w:eastAsia="zh-CN" w:bidi="ar"/>
                    </w:rPr>
                  </w:pPr>
                </w:p>
              </w:tc>
              <w:tc>
                <w:tcPr>
                  <w:tcW w:w="0" w:type="auto"/>
                  <w:vAlign w:val="center"/>
                </w:tcPr>
                <w:p w14:paraId="6125CD83">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26.99</w:t>
                  </w:r>
                </w:p>
              </w:tc>
              <w:tc>
                <w:tcPr>
                  <w:tcW w:w="0" w:type="auto"/>
                  <w:tcBorders>
                    <w:right w:val="single" w:color="auto" w:sz="4" w:space="0"/>
                  </w:tcBorders>
                  <w:vAlign w:val="center"/>
                </w:tcPr>
                <w:p w14:paraId="3399E535">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35.33</w:t>
                  </w:r>
                </w:p>
              </w:tc>
            </w:tr>
            <w:tr w14:paraId="258B1B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7" w:type="pct"/>
                  <w:gridSpan w:val="2"/>
                  <w:tcBorders>
                    <w:left w:val="single" w:color="auto" w:sz="4" w:space="0"/>
                    <w:bottom w:val="single" w:color="auto" w:sz="4" w:space="0"/>
                  </w:tcBorders>
                  <w:vAlign w:val="center"/>
                </w:tcPr>
                <w:p w14:paraId="7E91E4C6">
                  <w:pPr>
                    <w:pStyle w:val="7"/>
                    <w:spacing w:line="240" w:lineRule="auto"/>
                    <w:ind w:firstLine="60" w:firstLineChars="0"/>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合计</w:t>
                  </w:r>
                </w:p>
              </w:tc>
              <w:tc>
                <w:tcPr>
                  <w:tcW w:w="423" w:type="pct"/>
                  <w:tcBorders>
                    <w:bottom w:val="single" w:color="auto" w:sz="4" w:space="0"/>
                  </w:tcBorders>
                  <w:vAlign w:val="center"/>
                </w:tcPr>
                <w:p w14:paraId="49A94B39">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26.54</w:t>
                  </w:r>
                </w:p>
              </w:tc>
              <w:tc>
                <w:tcPr>
                  <w:tcW w:w="431" w:type="pct"/>
                  <w:tcBorders>
                    <w:bottom w:val="single" w:color="auto" w:sz="4" w:space="0"/>
                  </w:tcBorders>
                  <w:vAlign w:val="center"/>
                </w:tcPr>
                <w:p w14:paraId="732916BD">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2.85</w:t>
                  </w:r>
                </w:p>
              </w:tc>
              <w:tc>
                <w:tcPr>
                  <w:tcW w:w="0" w:type="auto"/>
                  <w:tcBorders>
                    <w:bottom w:val="single" w:color="auto" w:sz="4" w:space="0"/>
                  </w:tcBorders>
                  <w:vAlign w:val="center"/>
                </w:tcPr>
                <w:p w14:paraId="2A7F6A61">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14.39</w:t>
                  </w:r>
                </w:p>
              </w:tc>
              <w:tc>
                <w:tcPr>
                  <w:tcW w:w="0" w:type="auto"/>
                  <w:tcBorders>
                    <w:bottom w:val="single" w:color="auto" w:sz="4" w:space="0"/>
                  </w:tcBorders>
                  <w:vAlign w:val="center"/>
                </w:tcPr>
                <w:p w14:paraId="34E3D805">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2.70</w:t>
                  </w:r>
                </w:p>
              </w:tc>
              <w:tc>
                <w:tcPr>
                  <w:tcW w:w="0" w:type="auto"/>
                  <w:tcBorders>
                    <w:bottom w:val="single" w:color="auto" w:sz="4" w:space="0"/>
                  </w:tcBorders>
                  <w:vAlign w:val="center"/>
                </w:tcPr>
                <w:p w14:paraId="4078DCDB">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1.80</w:t>
                  </w:r>
                </w:p>
              </w:tc>
              <w:tc>
                <w:tcPr>
                  <w:tcW w:w="0" w:type="auto"/>
                  <w:tcBorders>
                    <w:bottom w:val="single" w:color="auto" w:sz="4" w:space="0"/>
                  </w:tcBorders>
                  <w:vAlign w:val="center"/>
                </w:tcPr>
                <w:p w14:paraId="0521AD51">
                  <w:pPr>
                    <w:pStyle w:val="7"/>
                    <w:keepNext w:val="0"/>
                    <w:widowControl/>
                    <w:shd w:val="clear" w:color="auto" w:fill="auto"/>
                    <w:adjustRightInd/>
                    <w:snapToGrid/>
                    <w:spacing w:line="240" w:lineRule="auto"/>
                    <w:ind w:firstLine="0" w:firstLineChars="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pacing w:val="0"/>
                      <w:kern w:val="0"/>
                      <w:sz w:val="18"/>
                      <w:szCs w:val="18"/>
                      <w:highlight w:val="none"/>
                      <w:lang w:val="en-US" w:eastAsia="zh-CN" w:bidi="ar"/>
                    </w:rPr>
                    <w:t>28.64</w:t>
                  </w:r>
                </w:p>
              </w:tc>
              <w:tc>
                <w:tcPr>
                  <w:tcW w:w="0" w:type="auto"/>
                  <w:tcBorders>
                    <w:bottom w:val="single" w:color="auto" w:sz="4" w:space="0"/>
                    <w:right w:val="single" w:color="auto" w:sz="4" w:space="0"/>
                  </w:tcBorders>
                  <w:vAlign w:val="center"/>
                </w:tcPr>
                <w:p w14:paraId="1AB0E527">
                  <w:pPr>
                    <w:pStyle w:val="89"/>
                    <w:spacing w:line="240" w:lineRule="auto"/>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cs="Times New Roman"/>
                      <w:color w:val="auto"/>
                      <w:spacing w:val="0"/>
                      <w:kern w:val="0"/>
                      <w:sz w:val="18"/>
                      <w:szCs w:val="18"/>
                      <w:highlight w:val="none"/>
                      <w:lang w:val="en-US" w:eastAsia="zh-CN" w:bidi="ar"/>
                    </w:rPr>
                    <w:t>76.71</w:t>
                  </w:r>
                </w:p>
              </w:tc>
            </w:tr>
          </w:tbl>
          <w:p w14:paraId="06DABCA9">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kern w:val="0"/>
                <w:sz w:val="24"/>
                <w:szCs w:val="24"/>
                <w:highlight w:val="none"/>
                <w:lang w:val="en-US" w:eastAsia="zh-CN" w:bidi="ar-SA"/>
              </w:rPr>
              <w:t>三、</w:t>
            </w:r>
            <w:r>
              <w:rPr>
                <w:rFonts w:hint="default" w:ascii="Times New Roman" w:hAnsi="Times New Roman" w:cs="Times New Roman"/>
                <w:b/>
                <w:bCs/>
                <w:sz w:val="24"/>
                <w:szCs w:val="24"/>
                <w:highlight w:val="none"/>
                <w:lang w:val="en-US" w:eastAsia="zh-CN"/>
              </w:rPr>
              <w:t>土石方平衡</w:t>
            </w:r>
          </w:p>
          <w:p w14:paraId="12A898A5">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rPr>
              <w:t>开挖方</w:t>
            </w:r>
            <w:r>
              <w:rPr>
                <w:rFonts w:hint="eastAsia" w:cs="Times New Roman"/>
                <w:color w:val="auto"/>
                <w:sz w:val="24"/>
                <w:szCs w:val="24"/>
                <w:highlight w:val="none"/>
                <w:lang w:val="en-US" w:eastAsia="zh-CN"/>
              </w:rPr>
              <w:t>48497.19</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vertAlign w:val="baseline"/>
                <w:lang w:eastAsia="zh-CN"/>
              </w:rPr>
              <w:t>，</w:t>
            </w:r>
            <w:r>
              <w:rPr>
                <w:rFonts w:hint="default" w:ascii="Times New Roman" w:hAnsi="Times New Roman" w:cs="Times New Roman"/>
                <w:color w:val="auto"/>
                <w:sz w:val="24"/>
                <w:szCs w:val="24"/>
                <w:highlight w:val="none"/>
                <w:vertAlign w:val="baseline"/>
                <w:lang w:val="en-US" w:eastAsia="zh-CN"/>
              </w:rPr>
              <w:t>利用</w:t>
            </w:r>
            <w:r>
              <w:rPr>
                <w:rFonts w:hint="default" w:ascii="Times New Roman" w:hAnsi="Times New Roman" w:cs="Times New Roman"/>
                <w:color w:val="auto"/>
                <w:sz w:val="24"/>
                <w:szCs w:val="24"/>
                <w:highlight w:val="none"/>
              </w:rPr>
              <w:t>方</w:t>
            </w:r>
            <w:r>
              <w:rPr>
                <w:rFonts w:hint="eastAsia" w:cs="Times New Roman"/>
                <w:color w:val="auto"/>
                <w:sz w:val="24"/>
                <w:szCs w:val="24"/>
                <w:highlight w:val="none"/>
                <w:lang w:val="en-US" w:eastAsia="zh-CN"/>
              </w:rPr>
              <w:t>1980.00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，回填方</w:t>
            </w:r>
            <w:r>
              <w:rPr>
                <w:rFonts w:hint="eastAsia" w:cs="Times New Roman"/>
                <w:color w:val="auto"/>
                <w:sz w:val="24"/>
                <w:szCs w:val="24"/>
                <w:highlight w:val="none"/>
                <w:lang w:val="en-US" w:eastAsia="zh-CN"/>
              </w:rPr>
              <w:t>3663.00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，借</w:t>
            </w:r>
            <w:r>
              <w:rPr>
                <w:rFonts w:hint="default" w:ascii="Times New Roman" w:hAnsi="Times New Roman" w:cs="Times New Roman"/>
                <w:color w:val="auto"/>
                <w:sz w:val="24"/>
                <w:szCs w:val="24"/>
                <w:highlight w:val="none"/>
                <w:lang w:val="en-US" w:eastAsia="zh-CN"/>
              </w:rPr>
              <w:t>方</w:t>
            </w:r>
            <w:r>
              <w:rPr>
                <w:rFonts w:hint="eastAsia" w:cs="Times New Roman"/>
                <w:color w:val="auto"/>
                <w:sz w:val="24"/>
                <w:szCs w:val="24"/>
                <w:highlight w:val="none"/>
                <w:lang w:val="en-US" w:eastAsia="zh-CN"/>
              </w:rPr>
              <w:t>1683.00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，工程产生弃</w:t>
            </w:r>
            <w:r>
              <w:rPr>
                <w:rFonts w:hint="default" w:ascii="Times New Roman" w:hAnsi="Times New Roman" w:cs="Times New Roman"/>
                <w:color w:val="auto"/>
                <w:sz w:val="24"/>
                <w:szCs w:val="24"/>
                <w:highlight w:val="none"/>
                <w:lang w:val="en-US" w:eastAsia="zh-CN"/>
              </w:rPr>
              <w:t>方</w:t>
            </w:r>
            <w:r>
              <w:rPr>
                <w:rFonts w:hint="eastAsia" w:cs="Times New Roman"/>
                <w:color w:val="auto"/>
                <w:sz w:val="24"/>
                <w:szCs w:val="24"/>
                <w:highlight w:val="none"/>
                <w:lang w:val="en-US" w:eastAsia="zh-CN"/>
              </w:rPr>
              <w:t>46517.19</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其中土方余方</w:t>
            </w:r>
            <w:r>
              <w:rPr>
                <w:rFonts w:hint="eastAsia" w:cs="Times New Roman"/>
                <w:color w:val="auto"/>
                <w:sz w:val="24"/>
                <w:szCs w:val="24"/>
                <w:highlight w:val="none"/>
                <w:lang w:val="en-US" w:eastAsia="zh-CN"/>
              </w:rPr>
              <w:t>38457.99</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就近填塘；表土</w:t>
            </w:r>
            <w:r>
              <w:rPr>
                <w:rFonts w:hint="eastAsia" w:cs="Times New Roman"/>
                <w:color w:val="auto"/>
                <w:sz w:val="24"/>
                <w:szCs w:val="24"/>
                <w:highlight w:val="none"/>
                <w:lang w:val="en-US" w:eastAsia="zh-CN"/>
              </w:rPr>
              <w:t>8059.20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临时堆存在表土暂存场，</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土地改良。临时工程表土暂存</w:t>
            </w:r>
            <w:r>
              <w:rPr>
                <w:rFonts w:hint="eastAsia" w:cs="Times New Roman"/>
                <w:color w:val="auto"/>
                <w:sz w:val="24"/>
                <w:szCs w:val="24"/>
                <w:highlight w:val="none"/>
                <w:lang w:val="en-US" w:eastAsia="zh-CN"/>
              </w:rPr>
              <w:t>8059.20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临时工程占地范围内，施工结束后用于临时占地生态修复。本项目在枯水期开挖水田和坑塘水面，不产生淤泥。</w:t>
            </w:r>
          </w:p>
          <w:p w14:paraId="1C5A5AD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 xml:space="preserve">  土石方平衡表</w:t>
            </w:r>
          </w:p>
          <w:tbl>
            <w:tblPr>
              <w:tblStyle w:val="25"/>
              <w:tblW w:w="4511"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08"/>
              <w:gridCol w:w="1871"/>
              <w:gridCol w:w="4179"/>
            </w:tblGrid>
            <w:tr w14:paraId="3DB189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vAlign w:val="center"/>
                </w:tcPr>
                <w:p w14:paraId="60EFA105">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项目</w:t>
                  </w:r>
                </w:p>
              </w:tc>
              <w:tc>
                <w:tcPr>
                  <w:tcW w:w="1160" w:type="pct"/>
                  <w:vAlign w:val="center"/>
                </w:tcPr>
                <w:p w14:paraId="64012929">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数量</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p>
              </w:tc>
              <w:tc>
                <w:tcPr>
                  <w:tcW w:w="2593" w:type="pct"/>
                  <w:vAlign w:val="center"/>
                </w:tcPr>
                <w:p w14:paraId="1B94FCC3">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备注</w:t>
                  </w:r>
                </w:p>
              </w:tc>
            </w:tr>
            <w:tr w14:paraId="49CD25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33887279">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挖方</w:t>
                  </w:r>
                </w:p>
              </w:tc>
              <w:tc>
                <w:tcPr>
                  <w:tcW w:w="1160" w:type="pct"/>
                  <w:shd w:val="clear" w:color="auto" w:fill="auto"/>
                  <w:vAlign w:val="center"/>
                </w:tcPr>
                <w:p w14:paraId="149C5A09">
                  <w:pPr>
                    <w:adjustRightInd w:val="0"/>
                    <w:snapToGrid w:val="0"/>
                    <w:jc w:val="center"/>
                    <w:rPr>
                      <w:rFonts w:hint="default" w:ascii="Times New Roman" w:hAnsi="Times New Roman" w:eastAsia="宋体" w:cs="Times New Roman"/>
                      <w:kern w:val="24"/>
                      <w:szCs w:val="21"/>
                      <w:highlight w:val="none"/>
                      <w:lang w:val="en-US" w:eastAsia="zh-CN"/>
                    </w:rPr>
                  </w:pPr>
                  <w:r>
                    <w:rPr>
                      <w:rFonts w:hint="eastAsia" w:cs="Times New Roman"/>
                      <w:kern w:val="24"/>
                      <w:szCs w:val="21"/>
                      <w:highlight w:val="none"/>
                      <w:lang w:val="en-US" w:eastAsia="zh-CN"/>
                    </w:rPr>
                    <w:t>48497.19</w:t>
                  </w:r>
                </w:p>
              </w:tc>
              <w:tc>
                <w:tcPr>
                  <w:tcW w:w="2593" w:type="pct"/>
                  <w:shd w:val="clear" w:color="auto" w:fill="auto"/>
                  <w:vAlign w:val="center"/>
                </w:tcPr>
                <w:p w14:paraId="4D36C916">
                  <w:pPr>
                    <w:adjustRightInd w:val="0"/>
                    <w:snapToGrid w:val="0"/>
                    <w:jc w:val="center"/>
                    <w:rPr>
                      <w:rFonts w:hint="default" w:ascii="Times New Roman" w:hAnsi="Times New Roman" w:cs="Times New Roman"/>
                      <w:kern w:val="24"/>
                      <w:szCs w:val="21"/>
                      <w:highlight w:val="none"/>
                    </w:rPr>
                  </w:pPr>
                </w:p>
              </w:tc>
            </w:tr>
            <w:tr w14:paraId="57916E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0FD46951">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利用方</w:t>
                  </w:r>
                </w:p>
              </w:tc>
              <w:tc>
                <w:tcPr>
                  <w:tcW w:w="1160" w:type="pct"/>
                  <w:shd w:val="clear" w:color="auto" w:fill="auto"/>
                  <w:vAlign w:val="center"/>
                </w:tcPr>
                <w:p w14:paraId="62D8FA8D">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1980.00</w:t>
                  </w:r>
                </w:p>
              </w:tc>
              <w:tc>
                <w:tcPr>
                  <w:tcW w:w="2593" w:type="pct"/>
                  <w:shd w:val="clear" w:color="auto" w:fill="auto"/>
                  <w:vAlign w:val="center"/>
                </w:tcPr>
                <w:p w14:paraId="3910E0EB">
                  <w:pPr>
                    <w:adjustRightInd w:val="0"/>
                    <w:snapToGrid w:val="0"/>
                    <w:jc w:val="center"/>
                    <w:rPr>
                      <w:rFonts w:hint="default" w:ascii="Times New Roman" w:hAnsi="Times New Roman" w:cs="Times New Roman"/>
                      <w:bCs/>
                      <w:szCs w:val="21"/>
                      <w:highlight w:val="none"/>
                    </w:rPr>
                  </w:pPr>
                </w:p>
              </w:tc>
            </w:tr>
            <w:tr w14:paraId="1896C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41E4C2A5">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填方</w:t>
                  </w:r>
                </w:p>
              </w:tc>
              <w:tc>
                <w:tcPr>
                  <w:tcW w:w="1160" w:type="pct"/>
                  <w:shd w:val="clear" w:color="auto" w:fill="auto"/>
                  <w:vAlign w:val="center"/>
                </w:tcPr>
                <w:p w14:paraId="000C198D">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3663.00</w:t>
                  </w:r>
                </w:p>
              </w:tc>
              <w:tc>
                <w:tcPr>
                  <w:tcW w:w="2593" w:type="pct"/>
                  <w:shd w:val="clear" w:color="auto" w:fill="auto"/>
                  <w:vAlign w:val="center"/>
                </w:tcPr>
                <w:p w14:paraId="6B3CDA7C">
                  <w:pPr>
                    <w:adjustRightInd w:val="0"/>
                    <w:snapToGrid w:val="0"/>
                    <w:jc w:val="center"/>
                    <w:rPr>
                      <w:rFonts w:hint="default" w:ascii="Times New Roman" w:hAnsi="Times New Roman" w:cs="Times New Roman"/>
                      <w:bCs/>
                      <w:szCs w:val="21"/>
                      <w:highlight w:val="none"/>
                    </w:rPr>
                  </w:pPr>
                </w:p>
              </w:tc>
            </w:tr>
            <w:tr w14:paraId="542EBF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6C051344">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借方</w:t>
                  </w:r>
                </w:p>
              </w:tc>
              <w:tc>
                <w:tcPr>
                  <w:tcW w:w="1160" w:type="pct"/>
                  <w:shd w:val="clear" w:color="auto" w:fill="auto"/>
                  <w:vAlign w:val="center"/>
                </w:tcPr>
                <w:p w14:paraId="19C108EC">
                  <w:pPr>
                    <w:adjustRightInd w:val="0"/>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1683.00</w:t>
                  </w:r>
                </w:p>
              </w:tc>
              <w:tc>
                <w:tcPr>
                  <w:tcW w:w="2593" w:type="pct"/>
                  <w:shd w:val="clear" w:color="auto" w:fill="auto"/>
                  <w:vAlign w:val="center"/>
                </w:tcPr>
                <w:p w14:paraId="1D800AE5">
                  <w:pPr>
                    <w:adjustRightInd w:val="0"/>
                    <w:snapToGrid w:val="0"/>
                    <w:jc w:val="center"/>
                    <w:rPr>
                      <w:rFonts w:hint="default" w:ascii="Times New Roman" w:hAnsi="Times New Roman" w:cs="Times New Roman"/>
                      <w:bCs/>
                      <w:szCs w:val="21"/>
                      <w:highlight w:val="none"/>
                    </w:rPr>
                  </w:pPr>
                </w:p>
              </w:tc>
            </w:tr>
            <w:tr w14:paraId="34A098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5" w:type="pct"/>
                  <w:shd w:val="clear" w:color="auto" w:fill="auto"/>
                  <w:vAlign w:val="center"/>
                </w:tcPr>
                <w:p w14:paraId="1938C79F">
                  <w:pPr>
                    <w:adjustRightInd w:val="0"/>
                    <w:snapToGrid w:val="0"/>
                    <w:jc w:val="center"/>
                    <w:rPr>
                      <w:rFonts w:hint="default" w:ascii="Times New Roman" w:hAnsi="Times New Roman" w:cs="Times New Roman"/>
                      <w:kern w:val="24"/>
                      <w:szCs w:val="21"/>
                      <w:highlight w:val="none"/>
                    </w:rPr>
                  </w:pPr>
                  <w:r>
                    <w:rPr>
                      <w:rFonts w:hint="default" w:ascii="Times New Roman" w:hAnsi="Times New Roman" w:cs="Times New Roman"/>
                      <w:kern w:val="24"/>
                      <w:szCs w:val="21"/>
                      <w:highlight w:val="none"/>
                    </w:rPr>
                    <w:t>弃方</w:t>
                  </w:r>
                </w:p>
              </w:tc>
              <w:tc>
                <w:tcPr>
                  <w:tcW w:w="1160" w:type="pct"/>
                  <w:shd w:val="clear" w:color="auto" w:fill="auto"/>
                  <w:vAlign w:val="center"/>
                </w:tcPr>
                <w:p w14:paraId="324EDE01">
                  <w:pPr>
                    <w:adjustRightInd w:val="0"/>
                    <w:snapToGrid w:val="0"/>
                    <w:jc w:val="center"/>
                    <w:rPr>
                      <w:rFonts w:hint="default" w:ascii="Times New Roman" w:hAnsi="Times New Roman" w:eastAsia="宋体" w:cs="Times New Roman"/>
                      <w:kern w:val="24"/>
                      <w:szCs w:val="21"/>
                      <w:highlight w:val="none"/>
                      <w:lang w:val="en-US" w:eastAsia="zh-CN"/>
                    </w:rPr>
                  </w:pPr>
                  <w:r>
                    <w:rPr>
                      <w:rFonts w:hint="eastAsia" w:cs="Times New Roman"/>
                      <w:kern w:val="24"/>
                      <w:szCs w:val="21"/>
                      <w:highlight w:val="none"/>
                      <w:lang w:val="en-US" w:eastAsia="zh-CN"/>
                    </w:rPr>
                    <w:t>46517.19</w:t>
                  </w:r>
                </w:p>
              </w:tc>
              <w:tc>
                <w:tcPr>
                  <w:tcW w:w="2593" w:type="pct"/>
                  <w:shd w:val="clear" w:color="auto" w:fill="auto"/>
                  <w:vAlign w:val="center"/>
                </w:tcPr>
                <w:p w14:paraId="16A78B88">
                  <w:pPr>
                    <w:adjustRightInd w:val="0"/>
                    <w:snapToGrid w:val="0"/>
                    <w:jc w:val="both"/>
                    <w:rPr>
                      <w:rFonts w:hint="default" w:ascii="Times New Roman" w:hAnsi="Times New Roman" w:cs="Times New Roman"/>
                      <w:szCs w:val="21"/>
                      <w:highlight w:val="none"/>
                    </w:rPr>
                  </w:pPr>
                  <w:r>
                    <w:rPr>
                      <w:rFonts w:hint="default" w:ascii="Times New Roman" w:hAnsi="Times New Roman" w:cs="Times New Roman"/>
                      <w:szCs w:val="21"/>
                      <w:highlight w:val="none"/>
                    </w:rPr>
                    <w:t>土方余方</w:t>
                  </w:r>
                  <w:r>
                    <w:rPr>
                      <w:rFonts w:hint="eastAsia" w:cs="Times New Roman"/>
                      <w:szCs w:val="21"/>
                      <w:highlight w:val="none"/>
                      <w:lang w:val="en-US" w:eastAsia="zh-CN"/>
                    </w:rPr>
                    <w:t>38457.99</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就近填塘；表土</w:t>
                  </w:r>
                  <w:r>
                    <w:rPr>
                      <w:rFonts w:hint="eastAsia" w:cs="Times New Roman"/>
                      <w:szCs w:val="21"/>
                      <w:highlight w:val="none"/>
                      <w:lang w:val="en-US" w:eastAsia="zh-CN"/>
                    </w:rPr>
                    <w:t>8059.20</w:t>
                  </w:r>
                  <w:r>
                    <w:rPr>
                      <w:rFonts w:hint="default" w:ascii="Times New Roman" w:hAnsi="Times New Roman" w:cs="Times New Roman"/>
                      <w:szCs w:val="21"/>
                      <w:highlight w:val="none"/>
                      <w:lang w:eastAsia="zh-CN"/>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临时堆存在表土暂存场，全部由庆安县庆禾农业发展有限公司外运并进行综合利用，重点用于土地改良</w:t>
                  </w:r>
                </w:p>
              </w:tc>
            </w:tr>
          </w:tbl>
          <w:p w14:paraId="16323E15">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kern w:val="0"/>
                <w:sz w:val="24"/>
                <w:szCs w:val="24"/>
                <w:highlight w:val="none"/>
                <w:lang w:val="en-US" w:eastAsia="zh-CN" w:bidi="ar-SA"/>
              </w:rPr>
            </w:pPr>
          </w:p>
          <w:p w14:paraId="056D6DBC">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32992" behindDoc="0" locked="0" layoutInCell="1" allowOverlap="1">
                      <wp:simplePos x="0" y="0"/>
                      <wp:positionH relativeFrom="column">
                        <wp:posOffset>1792605</wp:posOffset>
                      </wp:positionH>
                      <wp:positionV relativeFrom="paragraph">
                        <wp:posOffset>255270</wp:posOffset>
                      </wp:positionV>
                      <wp:extent cx="857250" cy="304800"/>
                      <wp:effectExtent l="4445" t="4445" r="14605" b="14605"/>
                      <wp:wrapNone/>
                      <wp:docPr id="86" name="矩形 86"/>
                      <wp:cNvGraphicFramePr/>
                      <a:graphic xmlns:a="http://schemas.openxmlformats.org/drawingml/2006/main">
                        <a:graphicData uri="http://schemas.microsoft.com/office/word/2010/wordprocessingShape">
                          <wps:wsp>
                            <wps:cNvSpPr/>
                            <wps:spPr>
                              <a:xfrm>
                                <a:off x="3109595" y="4839335"/>
                                <a:ext cx="857250" cy="30480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6F55E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开挖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15pt;margin-top:20.1pt;height:24pt;width:67.5pt;z-index:251732992;v-text-anchor:middle;mso-width-relative:page;mso-height-relative:page;" filled="f" stroked="t" coordsize="21600,21600" o:gfxdata="UEsDBAoAAAAAAIdO4kAAAAAAAAAAAAAAAAAEAAAAZHJzL1BLAwQUAAAACACHTuJA++qN3tcAAAAJ&#10;AQAADwAAAGRycy9kb3ducmV2LnhtbE2Py07DMBBF90j8gzVI7KgdU5E0ZFIJJBCrSn18gBtPk4h4&#10;HMVOW/h6zAqWM3N059xqfXWDONMUes8I2UKBIG687blFOOzfHgoQIRq2ZvBMCF8UYF3f3lSmtP7C&#10;WzrvYitSCIfSIHQxjqWUoenImbDwI3G6nfzkTEzj1Eo7mUsKd4PUSj1JZ3pOHzoz0mtHzedudghu&#10;893b/ZzTJn7499y+rNxWW8T7u0w9g4h0jX8w/OondaiT09HPbIMYEHShHxOKsFQaRAKWWZ4WR4Si&#10;0CDrSv5vUP8AUEsDBBQAAAAIAIdO4kDdls5ybwIAAMsEAAAOAAAAZHJzL2Uyb0RvYy54bWytVMtu&#10;EzEU3SPxD5b3dCZNUpKokypqVIRU0UoFsXY8nowlv7CdTMrPILHjI/o5iN/g2DN9UFh0QRbOte/J&#10;ub7H5+b07KAV2QsfpDUVHR2VlAjDbS3NtqKfPl68mVESIjM1U9aIit6KQM+Wr1+ddm4hjm1rVS08&#10;AYkJi85VtI3RLYoi8FZoFo6sEwbJxnrNIrZ+W9SedWDXqjguy5Ois7523nIRAk7XfZIOjP4lhLZp&#10;JBdry3damNizeqFYREuhlS7QZb5t0wger5omiEhURdFpzCuKIN6ktViessXWM9dKPlyBveQKz3rS&#10;TBoUfaBas8jIzsu/qLTk3gbbxCNuddE3khVBF6PymTY3LXMi9wKpg3sQPfw/Wv5hf+2JrCs6O6HE&#10;MI0X//Xtx8+77wQHUKdzYQHQjbv2wy4gTK0eGq/TN5ogh4qOR+V8Op9SclvRyWw8H4+nvbriEAkH&#10;YDZ9ezyF7hyAcTmZlVn94pHI+RDfCatJCirq8XhZU7a/DBHFAb2HpLrGXkil8gMqQ7qKnowzPYMp&#10;G5gBlbRDY8FsKWFqC7fz6DNjsErW6deJJ/jt5lx5smfJI/mTLo5qf8BS6TULbY/LqQGmDNBJp16Z&#10;FMXD5jDItbH1LST2tvdecPxCguqShXjNPMwGSTCO8QpLoyz6sENESWv913+dJzw8gCwlHcyLJr/s&#10;mBeUqPcG7piPJpPk9ryZQHds/NPM5mnG7PS5Re8jDL7jOUz4qO7Dxlv9GVO7SlWRYoajdi/nsDmP&#10;/VBh7rlYrTIMDncsXpobxxN5/2arXbSNzM+ZhOrVGfSDx7PuwzymIXq6z6jH/6D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vqjd7XAAAACQEAAA8AAAAAAAAAAQAgAAAAIgAAAGRycy9kb3ducmV2&#10;LnhtbFBLAQIUABQAAAAIAIdO4kDdls5ybwIAAMsEAAAOAAAAAAAAAAEAIAAAACYBAABkcnMvZTJv&#10;RG9jLnhtbFBLBQYAAAAABgAGAFkBAAAHBgAAAAA=&#10;">
                      <v:fill on="f" focussize="0,0"/>
                      <v:stroke weight="0.5pt" color="#000000 [3213]" joinstyle="round"/>
                      <v:imagedata o:title=""/>
                      <o:lock v:ext="edit" aspectratio="f"/>
                      <v:textbox>
                        <w:txbxContent>
                          <w:p w14:paraId="4B6F55E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开挖</w:t>
                            </w:r>
                          </w:p>
                        </w:txbxContent>
                      </v:textbox>
                    </v:rect>
                  </w:pict>
                </mc:Fallback>
              </mc:AlternateContent>
            </w:r>
          </w:p>
          <w:p w14:paraId="7A7DE557">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35040" behindDoc="0" locked="0" layoutInCell="1" allowOverlap="1">
                      <wp:simplePos x="0" y="0"/>
                      <wp:positionH relativeFrom="column">
                        <wp:posOffset>2221230</wp:posOffset>
                      </wp:positionH>
                      <wp:positionV relativeFrom="paragraph">
                        <wp:posOffset>242570</wp:posOffset>
                      </wp:positionV>
                      <wp:extent cx="635" cy="457200"/>
                      <wp:effectExtent l="48895" t="0" r="64770" b="0"/>
                      <wp:wrapNone/>
                      <wp:docPr id="88" name="直接箭头连接符 88"/>
                      <wp:cNvGraphicFramePr/>
                      <a:graphic xmlns:a="http://schemas.openxmlformats.org/drawingml/2006/main">
                        <a:graphicData uri="http://schemas.microsoft.com/office/word/2010/wordprocessingShape">
                          <wps:wsp>
                            <wps:cNvCnPr/>
                            <wps:spPr>
                              <a:xfrm>
                                <a:off x="3976370" y="500126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4.9pt;margin-top:19.1pt;height:36pt;width:0.05pt;z-index:251735040;mso-width-relative:page;mso-height-relative:page;" filled="f" stroked="t" coordsize="21600,21600" o:gfxdata="UEsDBAoAAAAAAIdO4kAAAAAAAAAAAAAAAAAEAAAAZHJzL1BLAwQUAAAACACHTuJAf7yJqdgAAAAK&#10;AQAADwAAAGRycy9kb3ducmV2LnhtbE2PPU/DMBCGdyT+g3VIbNROCihJ41RAYWBsKFVHNzZxRHyO&#10;YjdN/z3HBNt9PHrvuXI9u55NZgydRwnJQgAz2HjdYSth9/F2lwELUaFWvUcj4WICrKvrq1IV2p9x&#10;a6Y6toxCMBRKgo1xKDgPjTVOhYUfDNLuy49ORWrHlutRnSnc9TwV4pE71SFdsGowL9Y03/XJScjq&#10;94fL62Y6HJb5vLOb5/3nU5JKeXuTiBWwaOb4B8OvPqlDRU5Hf0IdWC9heZ+TeqQiS4ERQIMc2JHI&#10;RKTAq5L/f6H6AVBLAwQUAAAACACHTuJALrSK4QYCAADWAwAADgAAAGRycy9lMm9Eb2MueG1srVPB&#10;jtMwEL0j8Q+W7zRpS9slarqHluWCoBLwAVPHSSw5tjX2Nu1P8ANInIATcNo7XwPLZzB2wy4slz2Q&#10;gzP2zLyZ9zxenh86zfYSvbKm5ONRzpk0wlbKNCV/8/ri0RlnPoCpQFsjS36Unp+vHj5Y9q6QE9ta&#10;XUlkBGJ80buStyG4Isu8aGUHfmSdNOSsLXYQaItNViH0hN7pbJLn86y3WDm0QnpPp5uTkw+IeB9A&#10;W9dKyI0Vl5004YSKUkMgSr5VzvNV6raupQgv69rLwHTJiWlIKxUhexfXbLWEokFwrRJDC3CfFu5w&#10;6kAZKnoDtYEA7BLVP1CdEmi9rcNI2C47EUmKEItxfkebVy04mbiQ1N7diO7/H6x4sd8iU1XJz+je&#10;DXR049fvrn68/Xj99cv3D1c/v72P9udPjPwkVu98QTlrs8Vh590WI/NDjV38Eyd2KPn0yWI+XZDM&#10;x5LP8nw8mQ9iy0NgggLm0xlngryPZwuaiwie3aI49OGZtB2LRsl9QFBNG9bWGLpTi+OkNuyf+3BK&#10;/J0QWzD2QmlN51Bow/pUizoRQONa05iQ2Tmi7E3DGeiG3oEImBC91aqK2THZY7Nba2R7iNOTvqHN&#10;v8Ji6Q349hSXXDEMigBKPzUVC0dHsgKi7Yd8bYht1PKkXrR2tjomUdM5XXfSYxjNOE9/7lP27XNc&#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vImp2AAAAAoBAAAPAAAAAAAAAAEAIAAAACIAAABk&#10;cnMvZG93bnJldi54bWxQSwECFAAUAAAACACHTuJALrSK4QYCAADWAwAADgAAAAAAAAABACAAAAAn&#10;AQAAZHJzL2Uyb0RvYy54bWxQSwUGAAAAAAYABgBZAQAAnwU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2097405</wp:posOffset>
                      </wp:positionH>
                      <wp:positionV relativeFrom="paragraph">
                        <wp:posOffset>299720</wp:posOffset>
                      </wp:positionV>
                      <wp:extent cx="857250" cy="304800"/>
                      <wp:effectExtent l="0" t="0" r="0" b="0"/>
                      <wp:wrapNone/>
                      <wp:docPr id="87" name="矩形 87"/>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0AF0C8C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48497.19</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15pt;margin-top:23.6pt;height:24pt;width:67.5pt;z-index:251734016;v-text-anchor:middle;mso-width-relative:page;mso-height-relative:page;" filled="f" stroked="f" coordsize="21600,21600" o:gfxdata="UEsDBAoAAAAAAIdO4kAAAAAAAAAAAAAAAAAEAAAAZHJzL1BLAwQUAAAACACHTuJApzB/T9oAAAAJ&#10;AQAADwAAAGRycy9kb3ducmV2LnhtbE2Py07DMBBF90j8gzVI7KidpC0Q4lRqBWKFIKUCsXPjIbaI&#10;xyF2X3+PWcFyZo7unFstjq5nexyD9SQhmwhgSK3XljoJm9eHqxtgISrSqveEEk4YYFGfn1Wq1P5A&#10;De7XsWMphEKpJJgYh5Lz0Bp0Kkz8gJRun350KqZx7Lge1SGFu57nQsy5U5bSB6MGXBlsv9Y7J+Fp&#10;87LUtnk2p+/H1f1b9j7YZfMh5eVFJu6ARTzGPxh+9ZM61Mlp63ekA+slFIUoEiphep0DS8B0PkuL&#10;rYTbWQ68rvj/BvUPUEsDBBQAAAAIAIdO4kCIjfpOUQIAAJYEAAAOAAAAZHJzL2Uyb0RvYy54bWyt&#10;VM1uEzEQviPxDpbvdJM2bUPUTRU1KkKqaKWAODteO2vJf9hONuVlkLjxEDwO4jX47N22UeHQA5fd&#10;Gc/sN/6+mdmLy73RZCdCVM7WdHw0okRY7hplNzX99PH6zZSSmJhtmHZW1PReRHo5f/3qovMzcexa&#10;pxsRCEBsnHW+pm1KflZVkbfCsHjkvLAIShcMS3DDpmoC64BudHU8Gp1VnQuND46LGHG67IN0QAwv&#10;AXRSKi6Wjm+NsKlHDUKzBEqxVT7SebmtlIKnWymjSETXFExTeaII7HV+VvMLNtsE5lvFhyuwl1zh&#10;GSfDlEXRR6glS4xsg/oLyigeXHQyHXFnqp5IUQQsxqNn2qxa5kXhAqmjfxQ9/j9Y/mF3F4hqajo9&#10;p8Qyg47//vbj18/vBAdQp/NxhqSVvwuDF2FmqnsZTH6DBNkXRe8fFRX7RDgOp6fnx6fQmiN0MppM&#10;R0Xx6uljH2J6J5wh2ahpQMOKjmx3ExMKIvUhJdey7lppXZqmLelqenZS4BkGUWIAUMl4kIl2QwnT&#10;G0w4T6EgHnyaEZcstmTHMBbRadVkqqilLV6Zck8yW2m/3g/M1665h1rB9WMUPb9WgLphMd2xgLkB&#10;U2xWusVDaofrucGipHXh67/Ocz7aiSglHeYQ9/myZUFQot9bNPrteDLJg1ucCeSEEw4j68OI3Zor&#10;B05j7LDnxcz5ST+YMjjzGQu4yFURYpajdq/S4Fylfj+wwlwsFiUNw+pZurErzzN434rFNjmpSpey&#10;UL06g34Y1yLosFp5Hw79kvX0O5n/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cwf0/aAAAACQEA&#10;AA8AAAAAAAAAAQAgAAAAIgAAAGRycy9kb3ducmV2LnhtbFBLAQIUABQAAAAIAIdO4kCIjfpOUQIA&#10;AJYEAAAOAAAAAAAAAAEAIAAAACkBAABkcnMvZTJvRG9jLnhtbFBLBQYAAAAABgAGAFkBAADsBQAA&#10;AAA=&#10;">
                      <v:fill on="f" focussize="0,0"/>
                      <v:stroke on="f" weight="0.5pt"/>
                      <v:imagedata o:title=""/>
                      <o:lock v:ext="edit" aspectratio="f"/>
                      <v:textbox>
                        <w:txbxContent>
                          <w:p w14:paraId="0AF0C8C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48497.19</w:t>
                            </w:r>
                          </w:p>
                        </w:txbxContent>
                      </v:textbox>
                    </v:rect>
                  </w:pict>
                </mc:Fallback>
              </mc:AlternateContent>
            </w:r>
          </w:p>
          <w:p w14:paraId="02106774">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kern w:val="0"/>
                <w:sz w:val="24"/>
                <w:szCs w:val="24"/>
                <w:highlight w:val="none"/>
                <w:lang w:val="en-US" w:eastAsia="zh-CN" w:bidi="ar-SA"/>
              </w:rPr>
            </w:pPr>
          </w:p>
          <w:p w14:paraId="375656FD">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41184" behindDoc="0" locked="0" layoutInCell="1" allowOverlap="1">
                      <wp:simplePos x="0" y="0"/>
                      <wp:positionH relativeFrom="column">
                        <wp:posOffset>3354705</wp:posOffset>
                      </wp:positionH>
                      <wp:positionV relativeFrom="paragraph">
                        <wp:posOffset>17145</wp:posOffset>
                      </wp:positionV>
                      <wp:extent cx="857250" cy="447675"/>
                      <wp:effectExtent l="0" t="0" r="0" b="0"/>
                      <wp:wrapNone/>
                      <wp:docPr id="94" name="矩形 94"/>
                      <wp:cNvGraphicFramePr/>
                      <a:graphic xmlns:a="http://schemas.openxmlformats.org/drawingml/2006/main">
                        <a:graphicData uri="http://schemas.microsoft.com/office/word/2010/wordprocessingShape">
                          <wps:wsp>
                            <wps:cNvSpPr/>
                            <wps:spPr>
                              <a:xfrm>
                                <a:off x="0" y="0"/>
                                <a:ext cx="857250" cy="447675"/>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77DD1321">
                                  <w:pPr>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弃方</w:t>
                                  </w:r>
                                </w:p>
                                <w:p w14:paraId="53AF8CF0">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46517.19</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15pt;margin-top:1.35pt;height:35.25pt;width:67.5pt;z-index:251741184;v-text-anchor:middle;mso-width-relative:page;mso-height-relative:page;" filled="f" stroked="f" coordsize="21600,21600" o:gfxdata="UEsDBAoAAAAAAIdO4kAAAAAAAAAAAAAAAAAEAAAAZHJzL1BLAwQUAAAACACHTuJAd76j9dgAAAAI&#10;AQAADwAAAGRycy9kb3ducmV2LnhtbE2PS0/DMBCE70j8B2uRuFHnIdIqZFOpFYgTgpQKxM2NTRwR&#10;r0Psvv49ywmOoxnNfFMtT24QBzOF3hNCOktAGGq97qlD2L4+3CxAhKhIq8GTQTibAMv68qJSpfZH&#10;asxhEzvBJRRKhWBjHEspQ2uNU2HmR0PsffrJqchy6qSe1JHL3SCzJCmkUz3xglWjWVvTfm32DuFp&#10;+7LSffNsz9+P6/u39H3sV80H4vVVmtyBiOYU/8Lwi8/oUDPTzu9JBzEg3GaLnKMI2RwE+0WRs94h&#10;zPMMZF3J/wfqH1BLAwQUAAAACACHTuJAV4wm41ACAACWBAAADgAAAGRycy9lMm9Eb2MueG1srVTN&#10;bhMxEL4j8Q6W73STkP5F3VRRoyKkikYqiLPjtbOW/IftZFNeBokbD8HjIF6Dz95tGxUOPXBxZjyz&#10;n+f7ZiYXl3ujyU6EqJyt6fhoRImw3DXKbmr66eP1mzNKYmK2YdpZUdN7Eenl/PWri87PxMS1Tjci&#10;EIDYOOt8TduU/KyqIm+FYfHIeWERlC4YluCGTdUE1gHd6GoyGp1UnQuND46LGHG77IN0QAwvAXRS&#10;Ki6Wjm+NsKlHDUKzBEqxVT7SealWSsHTrZRRJKJrCqapnHgE9jqf1fyCzTaB+VbxoQT2khKecTJM&#10;WTz6CLVkiZFtUH9BGcWDi06mI+5M1RMpioDFePRMm7uWeVG4QOroH0WP/w+Wf9itAlFNTc+nlFhm&#10;0PHf3378+vmd4ALqdD7OkHTnV2HwIsxMdS+Dyb8gQfZF0ftHRcU+EY7Ls+PTyTG05ghNp6cnp8cZ&#10;s3r62IeY3glnSDZqGtCwoiPb3cTUpz6k5Lesu1Za457NtCVdTU/eFniGQZQYALxkPMhEu6GE6Q0m&#10;nKdQEA8+zYhLFluyYxiL6LRqhrK0RXWZck8yW2m/3g/M1665h1rB9WMUPb9WgLphMa1YwNyAKTYr&#10;3eKQ2qE8N1iUtC58/dd9zkc7EaWkwxyini9bFgQl+r1Fo8/H02ke3OJMISeccBhZH0bs1lw5cBpj&#10;hz0vZs5P+sGUwZnPWMBFfhUhZjne7lUanKvU7wdWmIvFoqRhWD1LN/bO8wzet2KxTU6q0qUsVK/O&#10;oB/GtfR5WK28D4d+yXr6O5n/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e+o/XYAAAACAEAAA8A&#10;AAAAAAAAAQAgAAAAIgAAAGRycy9kb3ducmV2LnhtbFBLAQIUABQAAAAIAIdO4kBXjCbjUAIAAJYE&#10;AAAOAAAAAAAAAAEAIAAAACcBAABkcnMvZTJvRG9jLnhtbFBLBQYAAAAABgAGAFkBAADpBQAAAAA=&#10;">
                      <v:fill on="f" focussize="0,0"/>
                      <v:stroke on="f" weight="0.5pt"/>
                      <v:imagedata o:title=""/>
                      <o:lock v:ext="edit" aspectratio="f"/>
                      <v:textbox>
                        <w:txbxContent>
                          <w:p w14:paraId="77DD1321">
                            <w:pPr>
                              <w:jc w:val="both"/>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弃方</w:t>
                            </w:r>
                          </w:p>
                          <w:p w14:paraId="53AF8CF0">
                            <w:pPr>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46517.19</w:t>
                            </w:r>
                          </w:p>
                        </w:txbxContent>
                      </v:textbox>
                    </v:rect>
                  </w:pict>
                </mc:Fallback>
              </mc:AlternateContent>
            </w:r>
            <w:r>
              <w:rPr>
                <w:sz w:val="24"/>
              </w:rPr>
              <mc:AlternateContent>
                <mc:Choice Requires="wps">
                  <w:drawing>
                    <wp:anchor distT="0" distB="0" distL="114300" distR="114300" simplePos="0" relativeHeight="251738112" behindDoc="0" locked="0" layoutInCell="1" allowOverlap="1">
                      <wp:simplePos x="0" y="0"/>
                      <wp:positionH relativeFrom="column">
                        <wp:posOffset>1116330</wp:posOffset>
                      </wp:positionH>
                      <wp:positionV relativeFrom="paragraph">
                        <wp:posOffset>64770</wp:posOffset>
                      </wp:positionV>
                      <wp:extent cx="2257425" cy="9525"/>
                      <wp:effectExtent l="0" t="0" r="0" b="0"/>
                      <wp:wrapNone/>
                      <wp:docPr id="91" name="直接箭头连接符 91"/>
                      <wp:cNvGraphicFramePr/>
                      <a:graphic xmlns:a="http://schemas.openxmlformats.org/drawingml/2006/main">
                        <a:graphicData uri="http://schemas.microsoft.com/office/word/2010/wordprocessingShape">
                          <wps:wsp>
                            <wps:cNvCnPr/>
                            <wps:spPr>
                              <a:xfrm flipV="1">
                                <a:off x="0" y="0"/>
                                <a:ext cx="2257425" cy="9525"/>
                              </a:xfrm>
                              <a:prstGeom prst="straightConnector1">
                                <a:avLst/>
                              </a:prstGeom>
                              <a:ln w="6350">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7.9pt;margin-top:5.1pt;height:0.75pt;width:177.75pt;z-index:251738112;mso-width-relative:page;mso-height-relative:page;" filled="f" stroked="t" coordsize="21600,21600" o:gfxdata="UEsDBAoAAAAAAIdO4kAAAAAAAAAAAAAAAAAEAAAAZHJzL1BLAwQUAAAACACHTuJA9x9BRdcAAAAJ&#10;AQAADwAAAGRycy9kb3ducmV2LnhtbE2PQU/DMAyF70j8h8hIXBBLummMlaY7gJAmbts4cExb01Yk&#10;TtV4W+HXY07s5mc/PX+v2EzBqxOOqY9kIZsZUEh1bHpqLbwfXu8fQSV21DgfCS18Y4JNeX1VuLyJ&#10;Z9rhac+tkhBKubPQMQ+51qnuMLg0iwOS3D7jGByLHFvdjO4s4cHruTEPOrie5EPnBnzusP7aH4OF&#10;l2nN27uPH7PzfmumQ8XprV1be3uTmSdQjBP/m+EPX9ChFKYqHqlJyoteLQWdZTBzUGJYLrIFqEoW&#10;2Qp0WejLBuUvUEsDBBQAAAAIAIdO4kDur5gpCQIAAO0DAAAOAAAAZHJzL2Uyb0RvYy54bWytU72O&#10;EzEQ7pF4B8s92SSQg1tlc0XC0SCIxE8/8Xp3LflPHl82eQleAIkKqA6q63kaOB6DsTcEuGuuwIU1&#10;nvF8M9/n8fxsZzTbyoDK2YpPRmPOpBWuVrat+JvX5w+ecIYRbA3aWVnxvUR+trh/b977Uk5d53Qt&#10;AyMQi2XvK97F6MuiQNFJAzhyXloKNi4YiHQMbVEH6And6GI6Hp8UvQu1D05IRPKuhiA/IIa7ALqm&#10;UUKunLgw0sYBNUgNkShhpzzyRe62aaSIL5sGZWS64sQ05p2KkL1Je7GYQ9kG8J0ShxbgLi3c4GRA&#10;WSp6hFpBBHYR1C0oo0Rw6Jo4Es4UA5GsCLGYjG9o86oDLzMXkhr9UXT8f7DixXYdmKorfjrhzIKh&#10;F79+f/Xj3afrr1++f7z6+e1Dsi8/M4qTWL3HknKWdh0OJ/TrkJjvmmBYo5V/S1OVtSB2bJel3h+l&#10;lrvIBDmn09njR9MZZ4JipzOyCK4YUBKaDxifSWdYMiqOMYBqu7h01tKbujBUgO1zjEPi74SUbN25&#10;0pr8UGrL+oqfPJzRgwugcW1oTMg0niijbTkD3dI/EDHkntFpVafslIyh3Sx1YFtI05PXoc1/rqXS&#10;K8BuuJdD6RqUnYT6qa1Z3HuS1dJ3GvwRlL7tJ/bakghJ4kHUZG1cvc9aZz9NQZbpMLFpzP4+5+w/&#10;v3Tx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cfQUXXAAAACQEAAA8AAAAAAAAAAQAgAAAAIgAA&#10;AGRycy9kb3ducmV2LnhtbFBLAQIUABQAAAAIAIdO4kDur5gpCQIAAO0DAAAOAAAAAAAAAAEAIAAA&#10;ACYBAABkcnMvZTJvRG9jLnhtbFBLBQYAAAAABgAGAFkBAAChBQAAAAA=&#10;">
                      <v:fill on="f" focussize="0,0"/>
                      <v:stroke weight="0.5pt" color="#000000 [3213]" joinstyle="round"/>
                      <v:imagedata o:title=""/>
                      <o:lock v:ext="edit" aspectratio="f"/>
                    </v:shape>
                  </w:pict>
                </mc:Fallback>
              </mc:AlternateContent>
            </w:r>
            <w:r>
              <w:rPr>
                <w:sz w:val="24"/>
              </w:rPr>
              <mc:AlternateContent>
                <mc:Choice Requires="wps">
                  <w:drawing>
                    <wp:anchor distT="0" distB="0" distL="114300" distR="114300" simplePos="0" relativeHeight="251740160" behindDoc="0" locked="0" layoutInCell="1" allowOverlap="1">
                      <wp:simplePos x="0" y="0"/>
                      <wp:positionH relativeFrom="column">
                        <wp:posOffset>973455</wp:posOffset>
                      </wp:positionH>
                      <wp:positionV relativeFrom="paragraph">
                        <wp:posOffset>140970</wp:posOffset>
                      </wp:positionV>
                      <wp:extent cx="857250" cy="304800"/>
                      <wp:effectExtent l="0" t="0" r="0" b="0"/>
                      <wp:wrapNone/>
                      <wp:docPr id="93" name="矩形 93"/>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05F8BCF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1980.00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65pt;margin-top:11.1pt;height:24pt;width:67.5pt;z-index:251740160;v-text-anchor:middle;mso-width-relative:page;mso-height-relative:page;" filled="f" stroked="f" coordsize="21600,21600" o:gfxdata="UEsDBAoAAAAAAIdO4kAAAAAAAAAAAAAAAAAEAAAAZHJzL1BLAwQUAAAACACHTuJAmCSGSNgAAAAJ&#10;AQAADwAAAGRycy9kb3ducmV2LnhtbE2Py07DMBBF90j8gzVI7KgdV0AU4lRqBWKFIKUCsXPjIbaI&#10;7RC7r79nWMHyzhzdOVMvjn5ge5ySi0FBMRPAMHTRuNAr2Lw+XJXAUtbB6CEGVHDCBIvm/KzWlYmH&#10;0OJ+nXtGJSFVWoHNeaw4T51Fr9Msjhho9xknrzPFqedm0gcq9wOXQtxwr12gC1aPuLLYfa13XsHT&#10;5mVpXPtsT9+Pq/u34n10y/ZDqcuLQtwBy3jMfzD86pM6NOS0jbtgEhsoX8/nhCqQUgIjQJYlDbYK&#10;boUE3tT8/wfND1BLAwQUAAAACACHTuJAs+2VM1ECAACWBAAADgAAAGRycy9lMm9Eb2MueG1srVTN&#10;bhMxEL4j8Q6W73STJi1p1E0VNSpCqmilgjg7XjtryX/YTjblZZC48RA8DuI1+OzdtlHh0AOX3RnP&#10;7Df+vpnZ84u90WQnQlTO1nR8NKJEWO4aZTc1/fTx6s2MkpiYbZh2VtT0XkR6sXj96rzzc3HsWqcb&#10;EQhAbJx3vqZtSn5eVZG3wrB45LywCEoXDEtww6ZqAuuAbnR1PBqdVp0LjQ+OixhxuuqDdEAMLwF0&#10;UiouVo5vjbCpRw1CswRKsVU+0kW5rZSCpxspo0hE1xRMU3miCOx1flaLczbfBOZbxYcrsJdc4Rkn&#10;w5RF0UeoFUuMbIP6C8ooHlx0Mh1xZ6qeSFEELMajZ9rctcyLwgVSR/8oevx/sPzD7jYQ1dT0bEKJ&#10;ZQYd//3tx6+f3wkOoE7n4xxJd/42DF6EmanuZTD5DRJkXxS9f1RU7BPhOJydvD0+gdYcocloOhsV&#10;xaunj32I6Z1whmSjpgENKzqy3XVMKIjUh5Rcy7orpXVpmrakq+nppMAzDKLEAKCS8SAT7YYSpjeY&#10;cJ5CQTz4NCOuWGzJjmEsotOqyVRRS1u8MuWeZLbSfr0fmK9dcw+1guvHKHp+pQB1zWK6ZQFzA6bY&#10;rHSDh9QO13ODRUnrwtd/ned8tBNRSjrMIe7zZcuCoES/t2j02Xg6zYNbnCnkhBMOI+vDiN2aSwdO&#10;Y+yw58XM+Uk/mDI48xkLuMxVEWKWo3av0uBcpn4/sMJcLJclDcPqWbq2d55n8L4Vy21yUpUuZaF6&#10;dQb9MK5F0GG18j4c+iXr6Xey+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YJIZI2AAAAAkBAAAP&#10;AAAAAAAAAAEAIAAAACIAAABkcnMvZG93bnJldi54bWxQSwECFAAUAAAACACHTuJAs+2VM1ECAACW&#10;BAAADgAAAAAAAAABACAAAAAnAQAAZHJzL2Uyb0RvYy54bWxQSwUGAAAAAAYABgBZAQAA6gUAAAAA&#10;">
                      <v:fill on="f" focussize="0,0"/>
                      <v:stroke on="f" weight="0.5pt"/>
                      <v:imagedata o:title=""/>
                      <o:lock v:ext="edit" aspectratio="f"/>
                      <v:textbox>
                        <w:txbxContent>
                          <w:p w14:paraId="05F8BCF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1980.00</w:t>
                            </w:r>
                          </w:p>
                        </w:txbxContent>
                      </v:textbox>
                    </v:rect>
                  </w:pict>
                </mc:Fallback>
              </mc:AlternateContent>
            </w:r>
            <w:r>
              <w:rPr>
                <w:sz w:val="24"/>
              </w:rPr>
              <mc:AlternateContent>
                <mc:Choice Requires="wps">
                  <w:drawing>
                    <wp:anchor distT="0" distB="0" distL="114300" distR="114300" simplePos="0" relativeHeight="251739136" behindDoc="0" locked="0" layoutInCell="1" allowOverlap="1">
                      <wp:simplePos x="0" y="0"/>
                      <wp:positionH relativeFrom="column">
                        <wp:posOffset>3373755</wp:posOffset>
                      </wp:positionH>
                      <wp:positionV relativeFrom="paragraph">
                        <wp:posOffset>64770</wp:posOffset>
                      </wp:positionV>
                      <wp:extent cx="635" cy="457200"/>
                      <wp:effectExtent l="48895" t="0" r="64770" b="0"/>
                      <wp:wrapNone/>
                      <wp:docPr id="92" name="直接箭头连接符 92"/>
                      <wp:cNvGraphicFramePr/>
                      <a:graphic xmlns:a="http://schemas.openxmlformats.org/drawingml/2006/main">
                        <a:graphicData uri="http://schemas.microsoft.com/office/word/2010/wordprocessingShape">
                          <wps:wsp>
                            <wps:cNvCnPr/>
                            <wps:spPr>
                              <a:xfrm>
                                <a:off x="0" y="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65.65pt;margin-top:5.1pt;height:36pt;width:0.05pt;z-index:251739136;mso-width-relative:page;mso-height-relative:page;" filled="f" stroked="t" coordsize="21600,21600" o:gfxdata="UEsDBAoAAAAAAIdO4kAAAAAAAAAAAAAAAAAEAAAAZHJzL1BLAwQUAAAACACHTuJAjAuA/tcAAAAJ&#10;AQAADwAAAGRycy9kb3ducmV2LnhtbE2PwU7DMAyG70i8Q2QkbixpytAoTSdgcOC4MtCOWROaisap&#10;mqzr3h5zgqP9//r8uVzPvmeTHWMXUEG2EMAsNsF02CrYvb/erIDFpNHoPqBVcLYR1tXlRakLE064&#10;tVOdWkYQjIVW4FIaCs5j46zXcREGi5R9hdHrROPYcjPqE8F9z6UQd9zrDumC04N9drb5ro9ewap+&#10;W55fNtN+n9/PO7d5+vx4zKRS11eZeACW7Jz+yvCrT+pQkdMhHNFE1itY5llOVQqEBEYFWtwCOxBd&#10;SuBVyf9/UP0AUEsDBBQAAAAIAIdO4kD/kirb+AEAAMoDAAAOAAAAZHJzL2Uyb0RvYy54bWytU82O&#10;0zAQviPxDpbvNG1hF4ia7qFluSCoBDzA1HESS/7T2Nu0L8ELIHECTiynvfM0sDwGYyd0YbnsgRyS&#10;8Yznm/m+mSzO9kazncSgnK34bDLlTFrhamXbir99c/7gCWchgq1BOysrfpCBny3v31v0vpRz1zld&#10;S2QEYkPZ+4p3MfqyKILopIEwcV5aCjYODUQ6YlvUCD2hG13Mp9PTondYe3RChkDe9RDkIyLeBdA1&#10;jRJy7cSFkTYOqCg1RKIUOuUDX+Zum0aK+KppgoxMV5yYxvymImRv07tYLqBsEXynxNgC3KWFW5wM&#10;KEtFj1BriMAuUP0DZZRAF1wTJ8KZYiCSFSEWs+ktbV534GXmQlIHfxQ9/D9Y8XK3Qabqij+dc2bB&#10;0MSv31/9ePfp+uvl949XP799SPaXz4ziJFbvQ0k5K7vB8RT8BhPzfYMmfYkT22eBD0eB5T4yQc7T&#10;hyecCfI/OnlMu5AAi5tMjyE+l86wZFQ8RATVdnHlrKU5OpxlhWH3IsQh8XdCKmvdudKa/FBqy/pc&#10;i4YsgFa0odUg03iiGWzLGeiWdl9EzIjBaVWn7JQcsN2uNLIdpI3Jz9jmX9dS6TWEbriXQ+kalBGU&#10;fmZrFg+epARE14/52hLbpN+gWLK2rj5kIbOfRpz1GNcx7dCf55x98wsu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MC4D+1wAAAAkBAAAPAAAAAAAAAAEAIAAAACIAAABkcnMvZG93bnJldi54bWxQ&#10;SwECFAAUAAAACACHTuJA/5Iq2/gBAADKAwAADgAAAAAAAAABACAAAAAmAQAAZHJzL2Uyb0RvYy54&#10;bWxQSwUGAAAAAAYABgBZAQAAkAU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37088" behindDoc="0" locked="0" layoutInCell="1" allowOverlap="1">
                      <wp:simplePos x="0" y="0"/>
                      <wp:positionH relativeFrom="column">
                        <wp:posOffset>1116330</wp:posOffset>
                      </wp:positionH>
                      <wp:positionV relativeFrom="paragraph">
                        <wp:posOffset>64770</wp:posOffset>
                      </wp:positionV>
                      <wp:extent cx="635" cy="457200"/>
                      <wp:effectExtent l="48895" t="0" r="64770" b="0"/>
                      <wp:wrapNone/>
                      <wp:docPr id="90" name="直接箭头连接符 90"/>
                      <wp:cNvGraphicFramePr/>
                      <a:graphic xmlns:a="http://schemas.openxmlformats.org/drawingml/2006/main">
                        <a:graphicData uri="http://schemas.microsoft.com/office/word/2010/wordprocessingShape">
                          <wps:wsp>
                            <wps:cNvCnPr/>
                            <wps:spPr>
                              <a:xfrm>
                                <a:off x="0" y="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7.9pt;margin-top:5.1pt;height:36pt;width:0.05pt;z-index:251737088;mso-width-relative:page;mso-height-relative:page;" filled="f" stroked="t" coordsize="21600,21600" o:gfxdata="UEsDBAoAAAAAAIdO4kAAAAAAAAAAAAAAAAAEAAAAZHJzL1BLAwQUAAAACACHTuJAW9K03tgAAAAJ&#10;AQAADwAAAGRycy9kb3ducmV2LnhtbE2PwU7DMAyG70i8Q2QkbixpUNnWNZ2AwYHjykA7Zq3XVDRJ&#10;1WRd9/Z4J7j5l399/pyvJ9uxEYfQeqcgmQlg6Cpft65RsPt8f1gAC1G7WnfeoYILBlgXtze5zmp/&#10;dlscy9gwgriQaQUmxj7jPFQGrQ4z36Oj3dEPVkeKQ8PrQZ8JbjsuhXjiVreOLhjd46vB6qc8WQWL&#10;8iO9vG3G/f5xOe3M5uX76zmRSt3fJWIFLOIU/8pw1Sd1KMjp4E+uDqyjPE9JPdIgJLBrYZ4ugR2I&#10;LiXwIuf/Pyh+AVBLAwQUAAAACACHTuJAT03aE/cBAADKAwAADgAAAGRycy9lMm9Eb2MueG1srVPN&#10;ctMwEL4zwztodCdOCi3FE6eHhHJhIDPAA2xk2daM/malxslL8ALMcAJOlFPvPE0pj8FKNimUSw/4&#10;YK9W+r7d79N6frYzmm0lBuVsxWeTKWfSClcr21b83dvzR6echQi2Bu2srPheBn62ePhg3vtSHrnO&#10;6VoiIxIbyt5XvIvRl0URRCcNhInz0tJm49BApCW2RY3QE7vRxdF0elL0DmuPTsgQKLsaNvnIiPch&#10;dE2jhFw5cWGkjQMrSg2RJIVO+cAXudumkSK+bpogI9MVJ6Uxv6kIxZv0LhZzKFsE3ykxtgD3aeGO&#10;JgPKUtED1QoisAtU/1AZJdAF18SJcKYYhGRHSMVsesebNx14mbWQ1cEfTA//j1a82q6Rqbriz8gS&#10;C4Zu/ObD1Y/3n2++XV5/uvr5/WOKv35htE9m9T6UhFnaNY6r4NeYlO8aNOlLmtguG7w/GCx3kQlK&#10;njw+5kxQ/snxU5qFRFjcIj2G+EI6w1JQ8RARVNvFpbOW7tHhLDsM25chDsDfgFTWunOlNeWh1Jb1&#10;uRYpEkAj2tBoUGg8yQy25Qx0S7MvImbG4LSqEzqBA7abpUa2hTQx+Rnb/OtYKr2C0A3n8lY6BmUE&#10;pZ/bmsW9JysB0fUjXltSm/wbHEvRxtX7bGTO0xVnP8ZxTDP05zqjb3/Bx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b0rTe2AAAAAkBAAAPAAAAAAAAAAEAIAAAACIAAABkcnMvZG93bnJldi54bWxQ&#10;SwECFAAUAAAACACHTuJAT03aE/cBAADKAwAADgAAAAAAAAABACAAAAAnAQAAZHJzL2Uyb0RvYy54&#10;bWxQSwUGAAAAAAYABgBZAQAAkAUAAAAA&#10;">
                      <v:fill on="f" focussize="0,0"/>
                      <v:stroke weight="0.5pt" color="#000000 [3213]" joinstyle="round" endarrow="open"/>
                      <v:imagedata o:title=""/>
                      <o:lock v:ext="edit" aspectratio="f"/>
                    </v:shape>
                  </w:pict>
                </mc:Fallback>
              </mc:AlternateContent>
            </w:r>
          </w:p>
          <w:p w14:paraId="5F851356">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45280" behindDoc="0" locked="0" layoutInCell="1" allowOverlap="1">
                      <wp:simplePos x="0" y="0"/>
                      <wp:positionH relativeFrom="column">
                        <wp:posOffset>4135755</wp:posOffset>
                      </wp:positionH>
                      <wp:positionV relativeFrom="paragraph">
                        <wp:posOffset>201295</wp:posOffset>
                      </wp:positionV>
                      <wp:extent cx="635" cy="457200"/>
                      <wp:effectExtent l="48895" t="0" r="64770" b="0"/>
                      <wp:wrapNone/>
                      <wp:docPr id="100" name="直接箭头连接符 100"/>
                      <wp:cNvGraphicFramePr/>
                      <a:graphic xmlns:a="http://schemas.openxmlformats.org/drawingml/2006/main">
                        <a:graphicData uri="http://schemas.microsoft.com/office/word/2010/wordprocessingShape">
                          <wps:wsp>
                            <wps:cNvCnPr/>
                            <wps:spPr>
                              <a:xfrm>
                                <a:off x="0" y="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5.65pt;margin-top:15.85pt;height:36pt;width:0.05pt;z-index:251745280;mso-width-relative:page;mso-height-relative:page;" filled="f" stroked="t" coordsize="21600,21600" o:gfxdata="UEsDBAoAAAAAAIdO4kAAAAAAAAAAAAAAAAAEAAAAZHJzL1BLAwQUAAAACACHTuJAGp6/F9kAAAAK&#10;AQAADwAAAGRycy9kb3ducmV2LnhtbE2Py07DMBBF90j8gzVI7Kjthj4IcSqgsGBJKKhLNzZxRDyO&#10;YjdN/55hBcuZObpzbrGZfMdGO8Q2oAI5E8As1sG02CjYvb/crIHFpNHoLqBVcLYRNuXlRaFzE074&#10;ZscqNYxCMOZagUupzzmPtbNex1noLdLtKwxeJxqHhptBnyjcd3wuxJJ73SJ9cLq3T87W39XRK1hX&#10;r4vz83bc77O7aee2j58fD3Ku1PWVFPfAkp3SHwy/+qQOJTkdwhFNZJ2C5UJmhCrI5AoYAbS4BXYg&#10;UmQr4GXB/1cofwBQSwMEFAAAAAgAh07iQMUjv3r3AQAAzAMAAA4AAABkcnMvZTJvRG9jLnhtbK1T&#10;zY7TMBC+I/EOlu806cIuKGq6h5blgqAS8ABTx0ks+U9jb9O+BC+AxAk4Aae98zSwPAZjJ3RhueyB&#10;HJLxeOYbf5+/LM73RrOdxKCcrfl8VnImrXCNsl3N37y+ePCEsxDBNqCdlTU/yMDPl/fvLQZfyRPX&#10;O91IZARiQzX4mvcx+qooguilgTBzXlrabB0aiLTErmgQBkI3ujgpy7NicNh4dEKGQNn1uMknRLwL&#10;oGtbJeTaiUsjbRxRUWqIRCn0yge+zKdtWyniy7YNMjJdc2Ia85uGULxN72K5gKpD8L0S0xHgLke4&#10;xcmAsjT0CLWGCOwS1T9QRgl0wbVxJpwpRiJZEWIxL29p86oHLzMXkjr4o+jh/8GKF7sNMtWQE0rS&#10;xIKhK79+d/Xj7cfrr1++f7j6+e19ij9/YqmA5Bp8qKhrZTc4rYLfYOK+b9GkL7Fi+yzx4Six3Ecm&#10;KHn28JQzQflHp4/JDQmwuOn0GOIz6QxLQc1DRFBdH1fOWrpJh/OsMeyehzg2/m5IY627UFpTHipt&#10;2ZBnESUBZNKWzEGh8UQ02I4z0B25X0TMiMFp1aTu1Byw2640sh0kz+RnOuZfZWn0GkI/1uWtVAZV&#10;BKWf2obFgyctAdENU7+2xDbpNyqWoq1rDlnInKdLznpMhkwu+nOdu29+wu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Gp6/F9kAAAAKAQAADwAAAAAAAAABACAAAAAiAAAAZHJzL2Rvd25yZXYueG1s&#10;UEsBAhQAFAAAAAgAh07iQMUjv3r3AQAAzAMAAA4AAAAAAAAAAQAgAAAAKAEAAGRycy9lMm9Eb2Mu&#10;eG1sUEsFBgAAAAAGAAYAWQEAAJEFA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3964305</wp:posOffset>
                      </wp:positionH>
                      <wp:positionV relativeFrom="paragraph">
                        <wp:posOffset>296545</wp:posOffset>
                      </wp:positionV>
                      <wp:extent cx="857250" cy="304800"/>
                      <wp:effectExtent l="0" t="0" r="0" b="0"/>
                      <wp:wrapNone/>
                      <wp:docPr id="99" name="矩形 99"/>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4480B3F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8059.20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15pt;margin-top:23.35pt;height:24pt;width:67.5pt;z-index:251746304;v-text-anchor:middle;mso-width-relative:page;mso-height-relative:page;" filled="f" stroked="f" coordsize="21600,21600" o:gfxdata="UEsDBAoAAAAAAIdO4kAAAAAAAAAAAAAAAAAEAAAAZHJzL1BLAwQUAAAACACHTuJAfl99WNsAAAAJ&#10;AQAADwAAAGRycy9kb3ducmV2LnhtbE2Py07DMBBF90j8gzVI7KiTEpI2ZFKpFYgVgpSqiJ0bD7FF&#10;bIfYff09ZgXLmTm6c261OJmeHWj02lmEdJIAI9s6qW2HsHl7vJkB80FYKXpnCeFMHhb15UUlSumO&#10;tqHDOnQshlhfCgQVwlBy7ltFRviJG8jG26cbjQhxHDsuR3GM4abn0yTJuRHaxg9KDLRS1H6t9wbh&#10;efO6lLp5Uefvp9XDNn0f9LL5QLy+SpN7YIFO4Q+GX/2oDnV02rm9lZ71CPk0u40oQpYXwCJQ3M3j&#10;YocwzwrgdcX/N6h/AFBLAwQUAAAACACHTuJADgQxN1ECAACWBAAADgAAAGRycy9lMm9Eb2MueG1s&#10;rVTNbhMxEL4j8Q6W73STNC1p1E0VNSpCqmilgjg7XjtryX/YTjblZZC48RA8DuI1+OzdtlHh0AOX&#10;3RnP7Df+vpnZ84u90WQnQlTO1nR8NKJEWO4aZTc1/fTx6s2MkpiYbZh2VtT0XkR6sXj96rzzczFx&#10;rdONCAQgNs47X9M2JT+vqshbYVg8cl5YBKULhiW4YVM1gXVAN7qajEanVedC44PjIkacrvogHRDD&#10;SwCdlIqLleNbI2zqUYPQLIFSbJWPdFFuK6Xg6UbKKBLRNQXTVJ4oAnudn9XinM03gflW8eEK7CVX&#10;eMbJMGVR9BFqxRIj26D+gjKKBxedTEfcmaonUhQBi/HomTZ3LfOicIHU0T+KHv8fLP+wuw1ENTU9&#10;O6PEMoOO//7249fP7wQHUKfzcY6kO38bBi/CzFT3Mpj8BgmyL4rePyoq9olwHM5O3k5OoDVH6Hg0&#10;nY2K4tXTxz7E9E44Q7JR04CGFR3Z7jomFETqQ0quZd2V0ro0TVvS1fT0uMAzDKLEAKCS8SAT7YYS&#10;pjeYcJ5CQTz4NCOuWGzJjmEsotOqyVRRS1u8MuWeZLbSfr0fmK9dcw+1guvHKHp+pQB1zWK6ZQFz&#10;A6bYrHSDh9QO13ODRUnrwtd/ned8tBNRSjrMIe7zZcuCoES/t2j02Xg6zYNbnCnkhBMOI+vDiN2a&#10;SwdOY+yw58XM+Uk/mDI48xkLuMxVEWKWo3av0uBcpn4/sMJcLJclDcPqWbq2d55n8L4Vy21yUpUu&#10;ZaF6dQb9MK5F0GG18j4c+iXr6Xey+A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X31Y2wAAAAkB&#10;AAAPAAAAAAAAAAEAIAAAACIAAABkcnMvZG93bnJldi54bWxQSwECFAAUAAAACACHTuJADgQxN1EC&#10;AACWBAAADgAAAAAAAAABACAAAAAqAQAAZHJzL2Uyb0RvYy54bWxQSwUGAAAAAAYABgBZAQAA7QUA&#10;AAAA&#10;">
                      <v:fill on="f" focussize="0,0"/>
                      <v:stroke on="f" weight="0.5pt"/>
                      <v:imagedata o:title=""/>
                      <o:lock v:ext="edit" aspectratio="f"/>
                      <v:textbox>
                        <w:txbxContent>
                          <w:p w14:paraId="4480B3F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8059.20</w:t>
                            </w:r>
                          </w:p>
                        </w:txbxContent>
                      </v:textbox>
                    </v:rect>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2364105</wp:posOffset>
                      </wp:positionH>
                      <wp:positionV relativeFrom="paragraph">
                        <wp:posOffset>280670</wp:posOffset>
                      </wp:positionV>
                      <wp:extent cx="857250" cy="304800"/>
                      <wp:effectExtent l="0" t="0" r="0" b="0"/>
                      <wp:wrapNone/>
                      <wp:docPr id="96" name="矩形 96"/>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01EEC7FD">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38457.99</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15pt;margin-top:22.1pt;height:24pt;width:67.5pt;z-index:251744256;v-text-anchor:middle;mso-width-relative:page;mso-height-relative:page;" filled="f" stroked="f" coordsize="21600,21600" o:gfxdata="UEsDBAoAAAAAAIdO4kAAAAAAAAAAAAAAAAAEAAAAZHJzL1BLAwQUAAAACACHTuJAK1464toAAAAJ&#10;AQAADwAAAGRycy9kb3ducmV2LnhtbE2Py07DMBBF90j8gzVI7Kgdt9AS4lRqBWKFStoKxM6Nh8Qi&#10;tkPsvv6eYQXLmTm6c24xP7mOHXCINngF2UgAQ18HY32jYLt5upkBi0l7o7vgUcEZI8zLy4tC5yYc&#10;fYWHdWoYhfiYawVtSn3OeaxbdDqOQo+ebp9hcDrRODTcDPpI4a7jUog77rT19KHVPS5brL/We6fg&#10;Zfu6MLZatefv5+XjW/be20X1odT1VSYegCU8pT8YfvVJHUpy2oW9N5F1CsZTOSZUwWQigRFwK6a0&#10;2Cm4lxJ4WfD/DcofUEsDBBQAAAAIAIdO4kBNGn/cUQIAAJYEAAAOAAAAZHJzL2Uyb0RvYy54bWyt&#10;VM1uEzEQviPxDpbvdJM2LWnUTRU1CkKqaKWCODteO2vJf9hONuVlkLjxEDwO4jX47N22UeHQA5fd&#10;Gc/sN/6+mdmLy73RZCdCVM7WdHw0okRY7hplNzX99HH1ZkpJTMw2TDsranovIr2cv3510fmZOHat&#10;040IBCA2zjpf0zYlP6uqyFthWDxyXlgEpQuGJbhhUzWBdUA3ujoejc6qzoXGB8dFjDhd9kE6IIaX&#10;ADopFRdLx7dG2NSjBqFZAqXYKh/pvNxWSsHTjZRRJKJrCqapPFEE9jo/q/kFm20C863iwxXYS67w&#10;jJNhyqLoI9SSJUa2Qf0FZRQPLjqZjrgzVU+kKAIW49Ezbe5a5kXhAqmjfxQ9/j9Y/mF3G4hqanp+&#10;RollBh3//e3Hr5/fCQ6gTufjDEl3/jYMXoSZqe5lMPkNEmRfFL1/VFTsE+E4nJ6+PT6F1hyhk9Fk&#10;OiqKV08f+xDTO+EMyUZNAxpWdGS765hQEKkPKbmWdSuldWmatqSr6dlJgWcYRIkBQCXjQSbaDSVM&#10;bzDhPIWCePBpRlyy2JIdw1hEp1WTqaKWtnhlyj3JbKX9ej8wX7vmHmoF149R9HylAHXNYrplAXMD&#10;ptisdIOH1A7Xc4NFSevC13+d53y0E1FKOswh7vNly4KgRL+3aPT5eDLJg1ucCeSEEw4j68OI3Zor&#10;B05j7LDnxcz5ST+YMjjzGQu4yFURYpajdq/S4Fylfj+wwlwsFiUNw+pZurZ3nmfwvhWLbXJSlS5l&#10;oXp1Bv0wrkXQYbXyPhz6JevpdzL/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teOuLaAAAACQEA&#10;AA8AAAAAAAAAAQAgAAAAIgAAAGRycy9kb3ducmV2LnhtbFBLAQIUABQAAAAIAIdO4kBNGn/cUQIA&#10;AJYEAAAOAAAAAAAAAAEAIAAAACkBAABkcnMvZTJvRG9jLnhtbFBLBQYAAAAABgAGAFkBAADsBQAA&#10;AAA=&#10;">
                      <v:fill on="f" focussize="0,0"/>
                      <v:stroke on="f" weight="0.5pt"/>
                      <v:imagedata o:title=""/>
                      <o:lock v:ext="edit" aspectratio="f"/>
                      <v:textbox>
                        <w:txbxContent>
                          <w:p w14:paraId="01EEC7FD">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38457.99</w:t>
                            </w:r>
                          </w:p>
                        </w:txbxContent>
                      </v:textbox>
                    </v:rect>
                  </w:pict>
                </mc:Fallback>
              </mc:AlternateContent>
            </w:r>
            <w:r>
              <w:rPr>
                <w:sz w:val="24"/>
              </w:rPr>
              <mc:AlternateContent>
                <mc:Choice Requires="wps">
                  <w:drawing>
                    <wp:anchor distT="0" distB="0" distL="114300" distR="114300" simplePos="0" relativeHeight="251743232" behindDoc="0" locked="0" layoutInCell="1" allowOverlap="1">
                      <wp:simplePos x="0" y="0"/>
                      <wp:positionH relativeFrom="column">
                        <wp:posOffset>2506980</wp:posOffset>
                      </wp:positionH>
                      <wp:positionV relativeFrom="paragraph">
                        <wp:posOffset>204470</wp:posOffset>
                      </wp:positionV>
                      <wp:extent cx="635" cy="457200"/>
                      <wp:effectExtent l="48895" t="0" r="64770" b="0"/>
                      <wp:wrapNone/>
                      <wp:docPr id="98" name="直接箭头连接符 98"/>
                      <wp:cNvGraphicFramePr/>
                      <a:graphic xmlns:a="http://schemas.openxmlformats.org/drawingml/2006/main">
                        <a:graphicData uri="http://schemas.microsoft.com/office/word/2010/wordprocessingShape">
                          <wps:wsp>
                            <wps:cNvCnPr/>
                            <wps:spPr>
                              <a:xfrm>
                                <a:off x="0" y="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7.4pt;margin-top:16.1pt;height:36pt;width:0.05pt;z-index:251743232;mso-width-relative:page;mso-height-relative:page;" filled="f" stroked="t" coordsize="21600,21600" o:gfxdata="UEsDBAoAAAAAAIdO4kAAAAAAAAAAAAAAAAAEAAAAZHJzL1BLAwQUAAAACACHTuJAS4hpmdgAAAAK&#10;AQAADwAAAGRycy9kb3ducmV2LnhtbE2PPU/DMBCGdyT+g3VIbNSOW1AT4lRAYWAkFNTRjU0cEZ+j&#10;2E3Tf88xwXYfj957rtzMvmeTHWMXUEG2EMAsNsF02CrYvb/crIHFpNHoPqBVcLYRNtXlRakLE074&#10;Zqc6tYxCMBZagUtpKDiPjbNex0UYLNLuK4xeJ2rHlptRnyjc91wKcce97pAuOD3YJ2eb7/roFazr&#10;19vz83ba75f5vHPbx8+Ph0wqdX2ViXtgyc7pD4ZffVKHipwO4Ygmsl7BMl+ReqJCSmAE0CAHdiBS&#10;rCTwquT/X6h+AFBLAwQUAAAACACHTuJADT/7hvgBAADKAwAADgAAAGRycy9lMm9Eb2MueG1srVPN&#10;btNAEL4j8Q6rvRMnhZZixekhoVwQRAIeYLJe2yvtn2a3cfISvAASJ+BEOfXO05TyGMyuTQrl0gM+&#10;2LMzO9/M9814frYzmm0lBuVsxWeTKWfSClcr21b83dvzR6echQi2Bu2srPheBn62ePhg3vtSHrnO&#10;6VoiIxAbyt5XvIvRl0URRCcNhInz0lKwcWgg0hHbokboCd3o4mg6PSl6h7VHJ2QI5F0NQT4i4n0A&#10;XdMoIVdOXBhp44CKUkMkSqFTPvBF7rZppIivmybIyHTFiWnMbypC9ia9i8UcyhbBd0qMLcB9WrjD&#10;yYCyVPQAtYII7ALVP1BGCXTBNXEinCkGIlkRYjGb3tHmTQdeZi4kdfAH0cP/gxWvtmtkqq74M5q7&#10;BUMTv/lw9eP955tvl9efrn5+/5jsr18YxUms3oeScpZ2jeMp+DUm5rsGTfoSJ7bLAu8PAstdZIKc&#10;J4+PORPkf3L8lHYhARa3mR5DfCGdYcmoeIgIqu3i0llLc3Q4ywrD9mWIQ+LvhFTWunOlNfmh1Jb1&#10;uRYNWQCtaEOrQabxRDPYljPQLe2+iJgRg9OqTtkpOWC7WWpkW0gbk5+xzb+updIrCN1wL4fSNSgj&#10;KP3c1izuPUkJiK4f87Ultkm/QbFkbVy9z0JmP4046zGuY9qhP885+/YXXP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4hpmdgAAAAKAQAADwAAAAAAAAABACAAAAAiAAAAZHJzL2Rvd25yZXYueG1s&#10;UEsBAhQAFAAAAAgAh07iQA0/+4b4AQAAygMAAA4AAAAAAAAAAQAgAAAAJwEAAGRycy9lMm9Eb2Mu&#10;eG1sUEsFBgAAAAAGAAYAWQEAAJEFA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42208" behindDoc="0" locked="0" layoutInCell="1" allowOverlap="1">
                      <wp:simplePos x="0" y="0"/>
                      <wp:positionH relativeFrom="column">
                        <wp:posOffset>2506980</wp:posOffset>
                      </wp:positionH>
                      <wp:positionV relativeFrom="paragraph">
                        <wp:posOffset>204470</wp:posOffset>
                      </wp:positionV>
                      <wp:extent cx="1619885" cy="635"/>
                      <wp:effectExtent l="0" t="0" r="0" b="0"/>
                      <wp:wrapNone/>
                      <wp:docPr id="95" name="直接箭头连接符 95"/>
                      <wp:cNvGraphicFramePr/>
                      <a:graphic xmlns:a="http://schemas.openxmlformats.org/drawingml/2006/main">
                        <a:graphicData uri="http://schemas.microsoft.com/office/word/2010/wordprocessingShape">
                          <wps:wsp>
                            <wps:cNvCnPr/>
                            <wps:spPr>
                              <a:xfrm flipV="1">
                                <a:off x="0" y="0"/>
                                <a:ext cx="1619885" cy="635"/>
                              </a:xfrm>
                              <a:prstGeom prst="straightConnector1">
                                <a:avLst/>
                              </a:prstGeom>
                              <a:ln w="6350">
                                <a:solidFill>
                                  <a:schemeClr val="tx1"/>
                                </a:solidFill>
                                <a:headEnd type="non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7.4pt;margin-top:16.1pt;height:0.05pt;width:127.55pt;z-index:251742208;mso-width-relative:page;mso-height-relative:page;" filled="f" stroked="t" coordsize="21600,21600" o:gfxdata="UEsDBAoAAAAAAIdO4kAAAAAAAAAAAAAAAAAEAAAAZHJzL1BLAwQUAAAACACHTuJAqh5Ju9gAAAAJ&#10;AQAADwAAAGRycy9kb3ducmV2LnhtbE2PS0/DQAyE70j8h5WRuKB2t2lVsSGbHkBIFbc+Dhw3iZtE&#10;7CPKum3g1+Oe4GaPRzOfi83knbjgmPoYDCzmCgSGOjZ9aA0cD++zZxCJbGisiwENfGOCTXl/V9i8&#10;ideww8ueWsEhIeXWQEc05FKmukNv0zwOGPh2iqO3xOvYyma0Vw73TmZKraW3feCGzg742mH9tT97&#10;A2+Tpu3T54/aObdV06Gi9NFqYx4fFuoFBOFEf2a44TM6lMxUxXNoknAGlnrF6MRDloFgw3qlNYjq&#10;JixBloX8/0H5C1BLAwQUAAAACACHTuJATGvAlgYCAADsAwAADgAAAGRycy9lMm9Eb2MueG1srVO9&#10;jhMxEO6ReAfLPdnkEFEuyuaKC0eDIBI//cRr71rynzy+bPISvAASFVDBVdfzNHA8BmNvCHDXXMEW&#10;1nhm55v5vhkvznbWsK2MqL2r+WQ05kw64Rvt2pq/eX3xaMYZJnANGO9kzfcS+dny4YNFH+byxHfe&#10;NDIyAnE470PNu5TCvKpQdNICjnyQjoLKRwuJrrGtmgg9oVtTnYzH06r3sQnRC4lI3tUQ5AfEeB9A&#10;r5QWcuXFpZUuDahRGkhECTsdkC9Lt0pJkV4qhTIxU3NimspJRcje5LNaLmDeRgidFocW4D4t3OJk&#10;QTsqeoRaQQJ2GfUdKKtF9OhVGglvq4FIUYRYTMa3tHnVQZCFC0mN4Sg6/j9Y8WK7jkw3NT99wpkD&#10;SxO/eX/9492nm6uv3z9e//z2IdtfPjOKk1h9wDnlnLt1PNwwrGNmvlPRMmV0eEtbVbQgdmxXpN4f&#10;pZa7xAQ5J9PJ6WxGJQXFpo8LdjWAZLAQMT2T3rJs1BxTBN126dw7RyP1cSgA2+eYqA1K/J2Qk52/&#10;0MaUyRrH+oJP8xZA26poS8i0gRijazkD09IzECmWltEb3eTsjIOx3ZybyLaQl6d8WQKq9s9vufQK&#10;sBv+K6FhrToJzVPXsLQPpKqj1zT4E2hz10+wxhF6VnjQNFsb3+yL1MVPS1DqHxY2b9nf95L955Eu&#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qHkm72AAAAAkBAAAPAAAAAAAAAAEAIAAAACIAAABk&#10;cnMvZG93bnJldi54bWxQSwECFAAUAAAACACHTuJATGvAlgYCAADsAwAADgAAAAAAAAABACAAAAAn&#10;AQAAZHJzL2Uyb0RvYy54bWxQSwUGAAAAAAYABgBZAQAAnwUAAAAA&#10;">
                      <v:fill on="f" focussize="0,0"/>
                      <v:stroke weight="0.5pt" color="#000000 [3213]" joinstyle="round"/>
                      <v:imagedata o:title=""/>
                      <o:lock v:ext="edit" aspectratio="f"/>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668655</wp:posOffset>
                      </wp:positionH>
                      <wp:positionV relativeFrom="paragraph">
                        <wp:posOffset>210820</wp:posOffset>
                      </wp:positionV>
                      <wp:extent cx="857250" cy="304800"/>
                      <wp:effectExtent l="4445" t="4445" r="14605" b="14605"/>
                      <wp:wrapNone/>
                      <wp:docPr id="89" name="矩形 89"/>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01D443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65pt;margin-top:16.6pt;height:24pt;width:67.5pt;z-index:251736064;v-text-anchor:middle;mso-width-relative:page;mso-height-relative:page;" filled="f" stroked="t" coordsize="21600,21600" o:gfxdata="UEsDBAoAAAAAAIdO4kAAAAAAAAAAAAAAAAAEAAAAZHJzL1BLAwQUAAAACACHTuJABt8P/NYAAAAJ&#10;AQAADwAAAGRycy9kb3ducmV2LnhtbE2PwU7DMAyG75P2DpGRuG1JU2CjNJ00JBCnSdt4gKwxbUXj&#10;VE26DZ4ec4Ljb3/6/bncXH0vzjjGLpCBbKlAINXBddQYeD++LNYgYrLkbB8IDXxhhE01n5W2cOFC&#10;ezwfUiO4hGJhDbQpDYWUsW7R27gMAxLvPsLobeI4NtKN9sLlvpdaqQfpbUd8obUDPrdYfx4mb8Dv&#10;vjt3nFa4S2/hdeW2j36vnTG3N5l6ApHwmv5g+NVndajY6RQmclH0nNV9zqiBPNcgGNB3igcnA+tM&#10;g6xK+f+D6gdQSwMEFAAAAAgAh07iQClyE+NhAgAAvwQAAA4AAABkcnMvZTJvRG9jLnhtbK1UzW4T&#10;MRC+I/EOlu90kzYtadRNFTUqQqpopYA4O147a8l/2E425WWQuPEQfRzEa/DZu/2hcOiBHJwZz+w3&#10;+30zs2fne6PJToSonK3p+GBEibDcNcpuavrp4+WbKSUxMdsw7ayo6a2I9Hz++tVZ52fi0LVONyIQ&#10;gNg463xN25T8rKoib4Vh8cB5YRGULhiW4IZN1QTWAd3o6nA0Oqk6FxofHBcx4nbZB+mAGF4C6KRU&#10;XCwd3xphU48ahGYJlGKrfKTz8rZSCp6upYwiEV1TME3lRBHY63xW8zM22wTmW8WHV2AveYVnnAxT&#10;FkUfoJYsMbIN6i8oo3hw0cl0wJ2peiJFEbAYj55ps2qZF4ULpI7+QfT4/2D5h91NIKqp6fSUEssM&#10;Ov7r24+fd98JLqBO5+MMSSt/EwYvwsxU9zKY/A8SZF8UvX1QVOwT4bicHr89PIbWHKGj0WQ6KopX&#10;jw/7ENM74QzJRk0DGlZ0ZLurmFAQqfcpuZZ1l0rr0jRtSVfTk6MCzzCIEgOASsaDTLQbSpjeYMJ5&#10;CgUxOq2a/HTGiWGzvtCB7Fiei/LLZFHtj7Rcesli2+eV0JCmLbKzNr0a2Ur79X6QaO2aW8gaXD9v&#10;0fNLBagrFtMNCxgwSIIVTNc4pHbg4QaLktaFr/+6z/noO6KUdBhYkPyyZUFQot9bTMTpeDLJE16c&#10;CXSHE55G1k8jdmsuHLiPseyeFzPnJ31vyuDMZ2zqIldFiFmO2r2cg3OR+kXCrnOxWJQ0TLVn6cqu&#10;PM/gfc8W2+SkKu3MQvXqDPphrovuww7mxXnql6zH7878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bfD/zWAAAACQEAAA8AAAAAAAAAAQAgAAAAIgAAAGRycy9kb3ducmV2LnhtbFBLAQIUABQAAAAI&#10;AIdO4kApchPjYQIAAL8EAAAOAAAAAAAAAAEAIAAAACUBAABkcnMvZTJvRG9jLnhtbFBLBQYAAAAA&#10;BgAGAFkBAAD4BQAAAAA=&#10;">
                      <v:fill on="f" focussize="0,0"/>
                      <v:stroke weight="0.5pt" color="#000000 [3213]" joinstyle="round"/>
                      <v:imagedata o:title=""/>
                      <o:lock v:ext="edit" aspectratio="f"/>
                      <v:textbox>
                        <w:txbxContent>
                          <w:p w14:paraId="101D443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利用</w:t>
                            </w:r>
                          </w:p>
                        </w:txbxContent>
                      </v:textbox>
                    </v:rect>
                  </w:pict>
                </mc:Fallback>
              </mc:AlternateContent>
            </w:r>
          </w:p>
          <w:p w14:paraId="54F68AA7">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50400" behindDoc="0" locked="0" layoutInCell="1" allowOverlap="1">
                      <wp:simplePos x="0" y="0"/>
                      <wp:positionH relativeFrom="column">
                        <wp:posOffset>954405</wp:posOffset>
                      </wp:positionH>
                      <wp:positionV relativeFrom="paragraph">
                        <wp:posOffset>296545</wp:posOffset>
                      </wp:positionV>
                      <wp:extent cx="857250" cy="304800"/>
                      <wp:effectExtent l="0" t="0" r="0" b="0"/>
                      <wp:wrapNone/>
                      <wp:docPr id="103" name="矩形 103"/>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43E5FA1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1980.00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15pt;margin-top:23.35pt;height:24pt;width:67.5pt;z-index:251750400;v-text-anchor:middle;mso-width-relative:page;mso-height-relative:page;" filled="f" stroked="f" coordsize="21600,21600" o:gfxdata="UEsDBAoAAAAAAIdO4kAAAAAAAAAAAAAAAAAEAAAAZHJzL1BLAwQUAAAACACHTuJArAuLhtkAAAAJ&#10;AQAADwAAAGRycy9kb3ducmV2LnhtbE2Py07DMBBF90j8gzVI7Kid0hchTqVWIFaopK2K2LmxiS3i&#10;cYjd198zrGB5Z47unCnmZ9+yo+mjCyghGwhgBuugHTYStpvnuxmwmBRq1QY0Ei4mwry8vipUrsMJ&#10;K3Ncp4ZRCcZcSbApdTnnsbbGqzgInUHafYbeq0Sxb7ju1YnKfcuHQky4Vw7pglWdWVpTf60PXsLr&#10;9m2hXbWyl++X5dMue+/covqQ8vYmE4/AkjmnPxh+9UkdSnLahwPqyFrKY3FPqITRZAqMgOFsTIO9&#10;hIfRFHhZ8P8flD9QSwMEFAAAAAgAh07iQEYdOJpSAgAAmAQAAA4AAABkcnMvZTJvRG9jLnhtbK1U&#10;S27bMBDdF+gdCO4byYmTpkbkwIiRokDQBEiLrmmKtAjwV5K2nF6mQHc9RI5T9Bp9pJTESLvIohtp&#10;hjN6w/dmRmfnO6PJVoSonG3o5KCmRFjuWmXXDf386fLNKSUxMdsy7axo6J2I9Hz++tVZ72fi0HVO&#10;tyIQgNg4631Du5T8rKoi74Rh8cB5YRGULhiW4IZ11QbWA93o6rCuT6rehdYHx0WMOF0OQToihpcA&#10;OikVF0vHN0bYNKAGoVkCpdgpH+m83FZKwdO1lFEkohsKpqk8UQT2Kj+r+RmbrQPzneLjFdhLrvCM&#10;k2HKougj1JIlRjZB/QVlFA8uOpkOuDPVQKQoAhaT+pk2tx3zonCB1NE/ih7/Hyz/uL0JRLWYhPqI&#10;EssMWv77+89f9z9IPoE+vY8zpN36mzB6EWYmu5PB5DdokF3R9O5RU7FLhOPw9Pjt4THU5ggd1dPT&#10;umhePX3sQ0zvhTMkGw0NaFlRkm2vYkJBpD6k5FrWXSqtS9u0JX1DT44KPMMoSowAKhkPOtGuKWF6&#10;jRnnKRTEvU8z4pLFjmwZBiM6rdpMFbW0xStTHkhmK+1Wu5H5yrV30Cu4YZCi55cKUFcsphsWMDlg&#10;it1K13hI7XA9N1qUdC58+9d5zkdDEaWkxyTiPl83LAhK9AeLVr+bTKd5dIszhZxwwn5ktR+xG3Ph&#10;wGmCLfa8mDk/6QdTBme+YAUXuSpCzHLUHlQanYs0bAiWmIvFoqRhXD1LV/bW8ww+tGKxSU6q0qUs&#10;1KDOqB8Gtgg6LlfeiH2/ZD39UO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wLi4bZAAAACQEA&#10;AA8AAAAAAAAAAQAgAAAAIgAAAGRycy9kb3ducmV2LnhtbFBLAQIUABQAAAAIAIdO4kBGHTiaUgIA&#10;AJgEAAAOAAAAAAAAAAEAIAAAACgBAABkcnMvZTJvRG9jLnhtbFBLBQYAAAAABgAGAFkBAADsBQAA&#10;AAA=&#10;">
                      <v:fill on="f" focussize="0,0"/>
                      <v:stroke on="f" weight="0.5pt"/>
                      <v:imagedata o:title=""/>
                      <o:lock v:ext="edit" aspectratio="f"/>
                      <v:textbox>
                        <w:txbxContent>
                          <w:p w14:paraId="43E5FA1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1980.00</w:t>
                            </w:r>
                          </w:p>
                        </w:txbxContent>
                      </v:textbox>
                    </v:rect>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1087755</wp:posOffset>
                      </wp:positionH>
                      <wp:positionV relativeFrom="paragraph">
                        <wp:posOffset>220345</wp:posOffset>
                      </wp:positionV>
                      <wp:extent cx="9525" cy="587375"/>
                      <wp:effectExtent l="47625" t="0" r="57150" b="3175"/>
                      <wp:wrapNone/>
                      <wp:docPr id="104" name="直接箭头连接符 104"/>
                      <wp:cNvGraphicFramePr/>
                      <a:graphic xmlns:a="http://schemas.openxmlformats.org/drawingml/2006/main">
                        <a:graphicData uri="http://schemas.microsoft.com/office/word/2010/wordprocessingShape">
                          <wps:wsp>
                            <wps:cNvCnPr>
                              <a:endCxn id="105" idx="0"/>
                            </wps:cNvCnPr>
                            <wps:spPr>
                              <a:xfrm flipH="1">
                                <a:off x="0" y="0"/>
                                <a:ext cx="9525" cy="587375"/>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85.65pt;margin-top:17.35pt;height:46.25pt;width:0.75pt;z-index:251749376;mso-width-relative:page;mso-height-relative:page;" filled="f" stroked="t" coordsize="21600,21600" o:gfxdata="UEsDBAoAAAAAAIdO4kAAAAAAAAAAAAAAAAAEAAAAZHJzL1BLAwQUAAAACACHTuJADZ0h99kAAAAK&#10;AQAADwAAAGRycy9kb3ducmV2LnhtbE2Pz07CQBDG7ya8w2ZMvBjYtigltVtiTCR6IELxAZbu2Ba7&#10;s013Kfj2Die9zZf55fuTry62EyMOvnWkIJ5FIJAqZ1qqFXzuX6dLED5oMrpzhAp+0MOqmNzkOjPu&#10;TDscy1ALNiGfaQVNCH0mpa8atNrPXI/Evy83WB1YDrU0gz6zue1kEkULaXVLnNDoHl8arL7Lk1Xg&#10;NuvnbSzHfTm+tR/98X29fLy3St3dxtETiICX8AfDtT5Xh4I7HdyJjBcd6zSeM6pg/pCCuAJpwlsO&#10;fCRpArLI5f8JxS9QSwMEFAAAAAgAh07iQBAlQz4TAgAAAAQAAA4AAABkcnMvZTJvRG9jLnhtbK1T&#10;zW4TMRC+I/EOlu9k05S0Jcqmh4TCAUEk4AEmXu+uJf9p7GaTl+AFkDgBJ+DUO08D5TEYe5eUlksP&#10;7GE1tme+me/z5/n5zmi2lRiUsyU/Go05k1a4Stmm5G/fXDw64yxEsBVoZ2XJ9zLw88XDB/POz+TE&#10;tU5XEhmB2DDrfMnbGP2sKIJopYEwcl5aOqwdGoi0xKaoEDpCN7qYjMcnReew8uiEDIF2V/0hHxDx&#10;PoCurpWQKycujbSxR0WpIRKl0Cof+CJPW9dSxFd1HWRkuuTENOY/NaF4k/7FYg6zBsG3SgwjwH1G&#10;uMPJgLLU9AC1ggjsEtU/UEYJdMHVcSScKXoiWRFicTS+o83rFrzMXEjq4A+ih/8HK15u18hURU4Y&#10;P+bMgqErv35/9fPdp+tvX398vPr1/UOKv3xmKYHk6nyYUdXSrjERlrZa7uyAMOUU7AZdi1uZaRF8&#10;X7Or0bBaK/+c2mbZSAiW69j+cCtyF5mgzSfTCeEKOpienR6fTtMQBcwSSBrAY4jPpDMsBSUPEUE1&#10;bVw6a+n2HfYNYPsixL7wT0Eqtu5CaZ1NoC3rSn5yPCVrCCBj12QoCo0ncYJtOAPd0IsREfPIwWlV&#10;peqEE7DZLDWyLSSf5W8Y81Zaar2C0PZ5+ah3YASln9qKxb0n/QHRdUO9tsT2RrwUbVy1X2Mik1Zk&#10;jKzHYOLkvL/XOevm4S5+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2dIffZAAAACgEAAA8AAAAA&#10;AAAAAQAgAAAAIgAAAGRycy9kb3ducmV2LnhtbFBLAQIUABQAAAAIAIdO4kAQJUM+EwIAAAAEAAAO&#10;AAAAAAAAAAEAIAAAACgBAABkcnMvZTJvRG9jLnhtbFBLBQYAAAAABgAGAFkBAACtBQAAAAA=&#10;">
                      <v:fill on="f" focussize="0,0"/>
                      <v:stroke weight="0.5pt" color="#000000 [3213]" joinstyle="round" endarrow="open"/>
                      <v:imagedata o:title=""/>
                      <o:lock v:ext="edit" aspectratio="f"/>
                    </v:shape>
                  </w:pict>
                </mc:Fallback>
              </mc:AlternateContent>
            </w:r>
          </w:p>
          <w:p w14:paraId="533E51B7">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53472" behindDoc="0" locked="0" layoutInCell="1" allowOverlap="1">
                      <wp:simplePos x="0" y="0"/>
                      <wp:positionH relativeFrom="column">
                        <wp:posOffset>30480</wp:posOffset>
                      </wp:positionH>
                      <wp:positionV relativeFrom="paragraph">
                        <wp:posOffset>102870</wp:posOffset>
                      </wp:positionV>
                      <wp:extent cx="790575" cy="600075"/>
                      <wp:effectExtent l="0" t="0" r="0" b="0"/>
                      <wp:wrapNone/>
                      <wp:docPr id="106" name="矩形 106"/>
                      <wp:cNvGraphicFramePr/>
                      <a:graphic xmlns:a="http://schemas.openxmlformats.org/drawingml/2006/main">
                        <a:graphicData uri="http://schemas.microsoft.com/office/word/2010/wordprocessingShape">
                          <wps:wsp>
                            <wps:cNvSpPr/>
                            <wps:spPr>
                              <a:xfrm>
                                <a:off x="0" y="0"/>
                                <a:ext cx="790575" cy="600075"/>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5C4B019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借方1683.00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pt;margin-top:8.1pt;height:47.25pt;width:62.25pt;z-index:251753472;v-text-anchor:middle;mso-width-relative:page;mso-height-relative:page;" filled="f" stroked="f" coordsize="21600,21600" o:gfxdata="UEsDBAoAAAAAAIdO4kAAAAAAAAAAAAAAAAAEAAAAZHJzL1BLAwQUAAAACACHTuJAl6rl4dgAAAAI&#10;AQAADwAAAGRycy9kb3ducmV2LnhtbE2PzU7DMBCE70i8g7VI3KidgAqEOJVagTghmlKBuLnxEkfE&#10;6xC7f2/P9gS3nZ3VzLfl7OB7scMxdoE0ZBMFAqkJtqNWw/rt6eoOREyGrOkDoYYjRphV52elKWzY&#10;U427VWoFh1AsjAaX0lBIGRuH3sRJGJDY+wqjN4nl2Eo7mj2H+17mSk2lNx1xgzMDLhw236ut1/Cy&#10;Xs5tV7+648/z4vE9+xi6ef2p9eVFph5AJDykv2M44TM6VMy0CVuyUfQabhg88XqagzjZ+f01iA0P&#10;mboFWZXy/wPVL1BLAwQUAAAACACHTuJATuZ+YlICAACYBAAADgAAAGRycy9lMm9Eb2MueG1srVTN&#10;bhMxEL4j8Q6W73Q3IWlp1KSKGhUhVbRSQZwdr5215D9sJ5vyMkjceIg+DuI1+OzdtlHh0AMXZ8Yz&#10;+3m+b2Zydr43muxEiMrZOR0d1ZQIy12j7GZOP3+6fPOOkpiYbZh2VszpnYj0fPH61VnnZ2LsWqcb&#10;EQhAbJx1fk7blPysqiJvhWHxyHlhEZQuGJbghk3VBNYB3ehqXNfHVedC44PjIkbcrvogHRDDSwCd&#10;lIqLleNbI2zqUYPQLIFSbJWPdFGqlVLwdC1lFInoOQXTVE48Anudz2pxxmabwHyr+FACe0kJzzgZ&#10;piwefYRascTINqi/oIziwUUn0xF3puqJFEXAYlQ/0+a2ZV4ULpA6+kfR4/+D5R93N4GoBpNQH1Ni&#10;mUHLf3//+ev+B8k30KfzcYa0W38TBi/CzGT3Mpj8CxpkXzS9e9RU7BPhuDw5racnU0o4Qsd1XcMG&#10;SvX0sQ8xvRfOkGzMaUDLipJsdxVTn/qQkt+y7lJpjXs205Z0AH07RTM5wyhKjABM40En2g0lTG8w&#10;4zyFgnjwaUZcsdiSHcNgRKdVM5SlLarLlHuS2Ur79X5gvnbNHfQKrh+k6PmlAtQVi+mGBUwOSsFu&#10;pWscUjuU5waLktaFb/+6z/loKKKUdJhE1PN1y4KgRH+waPXpaDLJo1ucyfRkDCccRtaHEbs1Fw6c&#10;Rthiz4uZ85N+MGVw5gtWcJlfRYhZjrd7lQbnIvUbgiXmYrksaRhXz9KVvfU8g/etWG6Tk6p0KQvV&#10;qzPoh4EtfR6WK2/EoV+ynv5QF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6rl4dgAAAAIAQAA&#10;DwAAAAAAAAABACAAAAAiAAAAZHJzL2Rvd25yZXYueG1sUEsBAhQAFAAAAAgAh07iQE7mfmJSAgAA&#10;mAQAAA4AAAAAAAAAAQAgAAAAJwEAAGRycy9lMm9Eb2MueG1sUEsFBgAAAAAGAAYAWQEAAOsFAAAA&#10;AA==&#10;">
                      <v:fill on="f" focussize="0,0"/>
                      <v:stroke on="f" weight="0.5pt"/>
                      <v:imagedata o:title=""/>
                      <o:lock v:ext="edit" aspectratio="f"/>
                      <v:textbox>
                        <w:txbxContent>
                          <w:p w14:paraId="5C4B019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借方1683.00</w:t>
                            </w:r>
                          </w:p>
                        </w:txbxContent>
                      </v:textbox>
                    </v:rect>
                  </w:pict>
                </mc:Fallback>
              </mc:AlternateContent>
            </w:r>
            <w:r>
              <w:rPr>
                <w:sz w:val="24"/>
              </w:rPr>
              <mc:AlternateContent>
                <mc:Choice Requires="wps">
                  <w:drawing>
                    <wp:anchor distT="0" distB="0" distL="114300" distR="114300" simplePos="0" relativeHeight="251752448" behindDoc="0" locked="0" layoutInCell="1" allowOverlap="1">
                      <wp:simplePos x="0" y="0"/>
                      <wp:positionH relativeFrom="column">
                        <wp:posOffset>725805</wp:posOffset>
                      </wp:positionH>
                      <wp:positionV relativeFrom="paragraph">
                        <wp:posOffset>55245</wp:posOffset>
                      </wp:positionV>
                      <wp:extent cx="635" cy="457200"/>
                      <wp:effectExtent l="48895" t="0" r="64770" b="0"/>
                      <wp:wrapNone/>
                      <wp:docPr id="107" name="直接箭头连接符 107"/>
                      <wp:cNvGraphicFramePr/>
                      <a:graphic xmlns:a="http://schemas.openxmlformats.org/drawingml/2006/main">
                        <a:graphicData uri="http://schemas.microsoft.com/office/word/2010/wordprocessingShape">
                          <wps:wsp>
                            <wps:cNvCnPr/>
                            <wps:spPr>
                              <a:xfrm>
                                <a:off x="0" y="0"/>
                                <a:ext cx="635" cy="457200"/>
                              </a:xfrm>
                              <a:prstGeom prst="straightConnector1">
                                <a:avLst/>
                              </a:prstGeom>
                              <a:ln w="63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7.15pt;margin-top:4.35pt;height:36pt;width:0.05pt;z-index:251752448;mso-width-relative:page;mso-height-relative:page;" filled="f" stroked="t" coordsize="21600,21600" o:gfxdata="UEsDBAoAAAAAAIdO4kAAAAAAAAAAAAAAAAAEAAAAZHJzL1BLAwQUAAAACACHTuJAoSmlw9YAAAAI&#10;AQAADwAAAGRycy9kb3ducmV2LnhtbE2PwU7DMBBE70j8g7VI3KjtNtAS4lRA4cCRUFCPbmziiHgd&#10;xW6a/j3bExxHM3r7tlhPvmOjHWIbUIGcCWAW62BabBRsP15vVsBi0mh0F9AqONkI6/LyotC5CUd8&#10;t2OVGkYQjLlW4FLqc85j7azXcRZ6i9R9h8HrRHFouBn0keC+43Mh7rjXLdIFp3v77Gz9Ux28glX1&#10;dnt62Yy73eJ+2rrN09fno5wrdX0lxQOwZKf0N4azPqlDSU77cEATWUdZZguaEmwJ7NzLLAO2pyyW&#10;wMuC/3+g/AVQSwMEFAAAAAgAh07iQG72qGP5AQAAzAMAAA4AAABkcnMvZTJvRG9jLnhtbK1TzY7T&#10;MBC+I/EOlu807cL+KGq6h5blgqAS8ABTx0ks+U9jb9O+BC+AxAk4wZ72ztOwy2MwdkIXlsseyCEZ&#10;j2e+me+byfx8ZzTbSgzK2YrPJlPOpBWuVrat+Lu3F0/OOAsRbA3aWVnxvQz8fPH40bz3pTxyndO1&#10;REYgNpS9r3gXoy+LIohOGggT56Wly8ahgUhHbIsaoSd0o4uj6fSk6B3WHp2QIZB3NVzyEREfAuia&#10;Rgm5cuLSSBsHVJQaIlEKnfKBL3K3TSNFfN00QUamK05MY35TEbI36V0s5lC2CL5TYmwBHtLCPU4G&#10;lKWiB6gVRGCXqP6BMkqgC66JE+FMMRDJihCL2fSeNm868DJzIamDP4ge/h+seLVdI1M1bcL0lDML&#10;hkZ+++H65v3n26tvPz5d//z+Mdlfv7AUQHL1PpSUtbRrHE/BrzFx3zVo0pdYsV2WeH+QWO4iE+Q8&#10;eXrMmSD/s+NT2oYEWNxlegzxhXSGJaPiISKototLZy1N0uEsawzblyEOib8TUlnrLpTW5IdSW9bn&#10;WjRmAbSkDS0HmcYT0WBbzkC3tP0iYkYMTqs6ZafkgO1mqZFtIe1MfsY2/wpLpVcQuiEuX6UwKCMo&#10;/dzWLO49aQmIrh/ztSW2Sb9BsWRtXL3PQmY/DTnrMS5k2qI/zzn77idc/A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hKaXD1gAAAAgBAAAPAAAAAAAAAAEAIAAAACIAAABkcnMvZG93bnJldi54bWxQ&#10;SwECFAAUAAAACACHTuJAbvaoY/kBAADMAwAADgAAAAAAAAABACAAAAAlAQAAZHJzL2Uyb0RvYy54&#10;bWxQSwUGAAAAAAYABgBZAQAAkAUAAAAA&#10;">
                      <v:fill on="f" focussize="0,0"/>
                      <v:stroke weight="0.5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3573780</wp:posOffset>
                      </wp:positionH>
                      <wp:positionV relativeFrom="paragraph">
                        <wp:posOffset>45720</wp:posOffset>
                      </wp:positionV>
                      <wp:extent cx="1513840" cy="1057275"/>
                      <wp:effectExtent l="0" t="0" r="0" b="0"/>
                      <wp:wrapNone/>
                      <wp:docPr id="102" name="矩形 102"/>
                      <wp:cNvGraphicFramePr/>
                      <a:graphic xmlns:a="http://schemas.openxmlformats.org/drawingml/2006/main">
                        <a:graphicData uri="http://schemas.microsoft.com/office/word/2010/wordprocessingShape">
                          <wps:wsp>
                            <wps:cNvSpPr/>
                            <wps:spPr>
                              <a:xfrm>
                                <a:off x="0" y="0"/>
                                <a:ext cx="1513840" cy="1057275"/>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0DF937E7">
                                  <w:pPr>
                                    <w:rPr>
                                      <w:rFonts w:hint="default"/>
                                      <w:color w:val="000000" w:themeColor="text1"/>
                                      <w:lang w:val="en-US"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临时堆存在表土暂存场，全部由庆安县庆禾农业发展有限公司外运并进行综合利用，重点用于土地改良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4pt;margin-top:3.6pt;height:83.25pt;width:119.2pt;z-index:251748352;v-text-anchor:middle;mso-width-relative:page;mso-height-relative:page;" filled="f" stroked="f" coordsize="21600,21600" o:gfxdata="UEsDBAoAAAAAAIdO4kAAAAAAAAAAAAAAAAAEAAAAZHJzL1BLAwQUAAAACACHTuJAE8ky7tkAAAAJ&#10;AQAADwAAAGRycy9kb3ducmV2LnhtbE2PzU7DMBCE70i8g7VI3KidIJoqxKnUCsQJQUpF1Zsbm9gi&#10;XofY/Xt7tie4zWpGM99W85Pv2cGM0QWUkE0EMINt0A47CeuP57sZsJgUatUHNBLOJsK8vr6qVKnD&#10;ERtzWKWOUQnGUkmwKQ0l57G1xqs4CYNB8r7C6FWic+y4HtWRyn3PcyGm3CuHtGDVYJbWtN+rvZfw&#10;un5faNe82fPPy/LpM9sMbtFspby9ycQjsGRO6S8MF3xCh5qYdmGPOrJewsM0J/QkociBkT8TGYkd&#10;BYv7Anhd8f8f1L9QSwMEFAAAAAgAh07iQIvhgbxTAgAAmgQAAA4AAABkcnMvZTJvRG9jLnhtbK1U&#10;zW4TMRC+I/EOlu90s2nSlqibKmoUhFTRSgFxdrx21pL/sJ1syssgceMheBzEa/B5d9tGhUMPXJwZ&#10;z+zn+b6ZyeXVwWiyFyEqZytanowoEZa7WtltRT99XL25oCQmZmumnRUVvReRXs1fv7ps/UyMXeN0&#10;LQIBiI2z1le0ScnPiiLyRhgWT5wXFkHpgmEJbtgWdWAt0I0uxqPRWdG6UPvguIgRt8s+SAfE8BJA&#10;J6XiYun4zgibetQgNEugFBvlI5131UopeLqVMopEdEXBNHUnHoG9yWcxv2SzbWC+UXwogb2khGec&#10;DFMWjz5CLVliZBfUX1BG8eCik+mEO1P0RDpFwKIcPdNm3TAvOi6QOvpH0eP/g+Uf9neBqBqTMBpT&#10;YplBy39/+/Hr53eSb6BP6+MMaWt/FwYvwsxkDzKY/Asa5NBpev+oqTgkwnFZTsvTiwnk5oiVo+n5&#10;+HyaUYunz32I6Z1whmSjogFN67Rk+5uY+tSHlPyadSulNe7ZTFvSVvTsdJrxGYZRYghgGg9C0W4p&#10;YXqLKecpdIhHn2bEJYsN2TOMRnRa1UNZ2qK6TLqnma102BwG7htX30Ox4PpRip6vFKBuWEx3LGB2&#10;UAq2K93ikNqhPDdYlDQufP3Xfc5HSxGlpMUsop4vOxYEJfq9RbPflpOsYOqcCSSEE44jm+OI3Zlr&#10;B04l9tjzzsz5ST+YMjjzGUu4yK8ixCzH271Kg3Od+h3BGnOxWHRpGFjP0o1de57B+1YsdslJ1XUp&#10;C9WrM+iHke36PKxX3oljv8t6+kuZ/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TyTLu2QAAAAkB&#10;AAAPAAAAAAAAAAEAIAAAACIAAABkcnMvZG93bnJldi54bWxQSwECFAAUAAAACACHTuJAi+GBvFMC&#10;AACaBAAADgAAAAAAAAABACAAAAAoAQAAZHJzL2Uyb0RvYy54bWxQSwUGAAAAAAYABgBZAQAA7QUA&#10;AAAA&#10;">
                      <v:fill on="f" focussize="0,0"/>
                      <v:stroke on="f" weight="0.5pt"/>
                      <v:imagedata o:title=""/>
                      <o:lock v:ext="edit" aspectratio="f"/>
                      <v:textbox>
                        <w:txbxContent>
                          <w:p w14:paraId="0DF937E7">
                            <w:pPr>
                              <w:rPr>
                                <w:rFonts w:hint="default"/>
                                <w:color w:val="000000" w:themeColor="text1"/>
                                <w:lang w:val="en-US"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临时堆存在表土暂存场，全部由庆安县庆禾农业发展有限公司外运并进行综合利用，重点用于土地改良</w:t>
                            </w:r>
                          </w:p>
                        </w:txbxContent>
                      </v:textbox>
                    </v:rect>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2087880</wp:posOffset>
                      </wp:positionH>
                      <wp:positionV relativeFrom="paragraph">
                        <wp:posOffset>55245</wp:posOffset>
                      </wp:positionV>
                      <wp:extent cx="857250" cy="304800"/>
                      <wp:effectExtent l="0" t="0" r="0" b="0"/>
                      <wp:wrapNone/>
                      <wp:docPr id="101" name="矩形 101"/>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4DAB31BD">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就近填塘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4pt;margin-top:4.35pt;height:24pt;width:67.5pt;z-index:251747328;v-text-anchor:middle;mso-width-relative:page;mso-height-relative:page;" filled="f" stroked="f" coordsize="21600,21600" o:gfxdata="UEsDBAoAAAAAAIdO4kAAAAAAAAAAAAAAAAAEAAAAZHJzL1BLAwQUAAAACACHTuJAyqN7TNkAAAAI&#10;AQAADwAAAGRycy9kb3ducmV2LnhtbE2PzU7DMBCE70i8g7VI3KiTFtIoZFOpFYgToikViJsbL4lF&#10;bIfY/Xt7lhMcRzOa+aZcnGwvDjQG4x1COklAkGu8Nq5F2L4+3uQgQlROq947QjhTgEV1eVGqQvuj&#10;q+mwia3gEhcKhdDFOBRShqYjq8LED+TY+/SjVZHl2Eo9qiOX215OkySTVhnHC50aaNVR87XZW4Tn&#10;7XqpTf3Snb+fVg9v6ftglvUH4vVVmtyDiHSKf2H4xWd0qJhp5/dOB9EjzKY5o0eEfA6C/dtsxnqH&#10;cJfNQVal/H+g+gFQSwMEFAAAAAgAh07iQPyzVlVRAgAAmAQAAA4AAABkcnMvZTJvRG9jLnhtbK1U&#10;S27bMBDdF+gdCO4byYmTpkbkwIiRokDQBEiLrmmKtAjwV5K2nF6mQHc9RI5T9Bp9pJTESLvIohtp&#10;hjN6w/dmRmfnO6PJVoSonG3o5KCmRFjuWmXXDf386fLNKSUxMdsy7axo6J2I9Hz++tVZ72fi0HVO&#10;tyIQgNg4631Du5T8rKoi74Rh8cB5YRGULhiW4IZ11QbWA93o6rCuT6rehdYHx0WMOF0OQToihpcA&#10;OikVF0vHN0bYNKAGoVkCpdgpH+m83FZKwdO1lFEkohsKpqk8UQT2Kj+r+RmbrQPzneLjFdhLrvCM&#10;k2HKougj1JIlRjZB/QVlFA8uOpkOuDPVQKQoAhaT+pk2tx3zonCB1NE/ih7/Hyz/uL0JRLWYhHpC&#10;iWUGLf/9/eev+x8kn0Cf3scZ0m79TRi9CDOT3clg8hs0yK5oeveoqdglwnF4evz28Bhqc4SO6ulp&#10;XTSvnj72Iab3whmSjYYGtKwoybZXMaEgUh9Sci3rLpXWpW3akr6hJ0cFnmEUJUYAlYwHnWjXlDC9&#10;xozzFAri3qcZccliR7YMgxGdVm2milra4pUpDySzlXar3ch85do76BXcMEjR80sFqCsW0w0LmBww&#10;xW6lazykdrieGy1KOhe+/es856OhiFLSYxJxn68bFgQl+oNFq99NptM8usWZQk44YT+y2o/Yjblw&#10;4IRm4nbFzPlJP5gyOPMFK7jIVRFilqP2oNLoXKRhQ7DEXCwWJQ3j6lm6sreeZ/ChFYtNclKVLmWh&#10;BnVG/TCwRdBxufJG7Psl6+mHMv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yqN7TNkAAAAIAQAA&#10;DwAAAAAAAAABACAAAAAiAAAAZHJzL2Rvd25yZXYueG1sUEsBAhQAFAAAAAgAh07iQPyzVlVRAgAA&#10;mAQAAA4AAAAAAAAAAQAgAAAAKAEAAGRycy9lMm9Eb2MueG1sUEsFBgAAAAAGAAYAWQEAAOsFAAAA&#10;AA==&#10;">
                      <v:fill on="f" focussize="0,0"/>
                      <v:stroke on="f" weight="0.5pt"/>
                      <v:imagedata o:title=""/>
                      <o:lock v:ext="edit" aspectratio="f"/>
                      <v:textbox>
                        <w:txbxContent>
                          <w:p w14:paraId="4DAB31BD">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就近填塘</w:t>
                            </w:r>
                          </w:p>
                        </w:txbxContent>
                      </v:textbox>
                    </v:rect>
                  </w:pict>
                </mc:Fallback>
              </mc:AlternateContent>
            </w:r>
          </w:p>
          <w:p w14:paraId="1941B1C7">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0" w:firstLineChars="200"/>
              <w:textAlignment w:val="auto"/>
              <w:rPr>
                <w:rFonts w:hint="default" w:ascii="Times New Roman" w:hAnsi="Times New Roman" w:cs="Times New Roman"/>
                <w:b/>
                <w:bCs/>
                <w:kern w:val="0"/>
                <w:sz w:val="24"/>
                <w:szCs w:val="24"/>
                <w:highlight w:val="none"/>
                <w:lang w:val="en-US" w:eastAsia="zh-CN" w:bidi="ar-SA"/>
              </w:rPr>
            </w:pPr>
            <w:r>
              <w:rPr>
                <w:sz w:val="24"/>
              </w:rPr>
              <mc:AlternateContent>
                <mc:Choice Requires="wps">
                  <w:drawing>
                    <wp:anchor distT="0" distB="0" distL="114300" distR="114300" simplePos="0" relativeHeight="251751424" behindDoc="0" locked="0" layoutInCell="1" allowOverlap="1">
                      <wp:simplePos x="0" y="0"/>
                      <wp:positionH relativeFrom="column">
                        <wp:posOffset>659130</wp:posOffset>
                      </wp:positionH>
                      <wp:positionV relativeFrom="paragraph">
                        <wp:posOffset>172720</wp:posOffset>
                      </wp:positionV>
                      <wp:extent cx="857250" cy="304800"/>
                      <wp:effectExtent l="4445" t="4445" r="14605" b="14605"/>
                      <wp:wrapNone/>
                      <wp:docPr id="105" name="矩形 105"/>
                      <wp:cNvGraphicFramePr/>
                      <a:graphic xmlns:a="http://schemas.openxmlformats.org/drawingml/2006/main">
                        <a:graphicData uri="http://schemas.microsoft.com/office/word/2010/wordprocessingShape">
                          <wps:wsp>
                            <wps:cNvSpPr/>
                            <wps:spPr>
                              <a:xfrm>
                                <a:off x="0" y="0"/>
                                <a:ext cx="857250" cy="30480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7F219E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回填</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pt;margin-top:13.6pt;height:24pt;width:67.5pt;z-index:251751424;v-text-anchor:middle;mso-width-relative:page;mso-height-relative:page;" filled="f" stroked="t" coordsize="21600,21600" o:gfxdata="UEsDBAoAAAAAAIdO4kAAAAAAAAAAAAAAAAAEAAAAZHJzL1BLAwQUAAAACACHTuJA7XotGNYAAAAJ&#10;AQAADwAAAGRycy9kb3ducmV2LnhtbE2PzW7CMBCE70h9B2sr9QY2Rm0gxEFqpVY9IfHzACZekoh4&#10;HcUO0D59t6f2ODujmW+Lzd134opDbAMZmM8UCKQquJZqA8fD+3QJIiZLznaB0MAXRtiUD5PC5i7c&#10;aIfXfaoFl1DMrYEmpT6XMlYNehtnoUdi7xwGbxPLoZZusDcu953USr1Ib1vihcb2+NZgddmP3oDf&#10;frfuMGa4TZ/hI3OvK7/Tzpinx7lag0h4T39h+MVndCiZ6RRGclF0rNWC0ZMBnWkQHNCLJR9OBrJn&#10;DbIs5P8Pyh9QSwMEFAAAAAgAh07iQPwvKsZiAgAAwQQAAA4AAABkcnMvZTJvRG9jLnhtbK1UzW4T&#10;MRC+I/EOlu90N21aStRNFTUqQqpopYA4O147a8l/2E425WWQuPEQPA7iNfjs3f5QOPRADs6MZ/ab&#10;/b6Z2bPzvdFkJ0JUzjZ0clBTIix3rbKbhn78cPnqlJKYmG2ZdlY09FZEej5/+eKs9zNx6DqnWxEI&#10;QGyc9b6hXUp+VlWRd8KweOC8sAhKFwxLcMOmagPrgW50dVjXJ1XvQuuD4yJG3C6HIB0Rw3MAnZSK&#10;i6XjWyNsGlCD0CyBUuyUj3Re3lZKwdO1lFEkohsKpqmcKAJ7nc9qfsZmm8B8p/j4Cuw5r/CEk2HK&#10;oug91JIlRrZB/QVlFA8uOpkOuDPVQKQoAhaT+ok2q455UbhA6ujvRY//D5a/390EolpMQn1MiWUG&#10;Lf/19fvPH99IvoE+vY8zpK38TRi9CDOT3ctg8j9okH3R9PZeU7FPhOPy9Pj14THU5ggd1dPTumhe&#10;PTzsQ0xvhTMkGw0NaFlRku2uYkJBpN6l5FrWXSqtS9u0JX1DT44KPMMoSowAKhkPOtFuKGF6gxnn&#10;KRTE6LRq89MZJ4bN+kIHsmN5Msovk0W1P9Jy6SWL3ZBXQmOatsjO2gxqZCvt1/tRorVrbyFscMPE&#10;Rc8vFaCuWEw3LGDEIAmWMF3jkNqBhxstSjoXvvzrPuej84hS0mNkQfLzlgVBiX5nMRNvJtNpnvHi&#10;TKE7nPA4sn4csVtz4cB9gnX3vJg5P+k7UwZnPmFXF7kqQsxy1B7kHJ2LNKwStp2LxaKkYa49S1d2&#10;5XkGH3q22CYnVWlnFmpQZ9QPk110H7cwr85jv2Q9fHn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tei0Y1gAAAAkBAAAPAAAAAAAAAAEAIAAAACIAAABkcnMvZG93bnJldi54bWxQSwECFAAUAAAA&#10;CACHTuJA/C8qxmICAADBBAAADgAAAAAAAAABACAAAAAlAQAAZHJzL2Uyb0RvYy54bWxQSwUGAAAA&#10;AAYABgBZAQAA+QUAAAAA&#10;">
                      <v:fill on="f" focussize="0,0"/>
                      <v:stroke weight="0.5pt" color="#000000 [3213]" joinstyle="round"/>
                      <v:imagedata o:title=""/>
                      <o:lock v:ext="edit" aspectratio="f"/>
                      <v:textbox>
                        <w:txbxContent>
                          <w:p w14:paraId="37F219E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回填</w:t>
                            </w:r>
                          </w:p>
                        </w:txbxContent>
                      </v:textbox>
                    </v:rect>
                  </w:pict>
                </mc:Fallback>
              </mc:AlternateContent>
            </w:r>
          </w:p>
          <w:p w14:paraId="5BF0B64E">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kern w:val="0"/>
                <w:sz w:val="24"/>
                <w:szCs w:val="24"/>
                <w:highlight w:val="none"/>
                <w:lang w:val="en-US" w:eastAsia="zh-CN" w:bidi="ar-SA"/>
              </w:rPr>
            </w:pPr>
          </w:p>
          <w:p w14:paraId="6B22B8A8">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kern w:val="0"/>
                <w:sz w:val="24"/>
                <w:szCs w:val="24"/>
                <w:highlight w:val="none"/>
                <w:lang w:val="en-US" w:eastAsia="zh-CN" w:bidi="ar-SA"/>
              </w:rPr>
            </w:pPr>
          </w:p>
          <w:p w14:paraId="153367AA">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jc w:val="center"/>
              <w:textAlignment w:val="auto"/>
              <w:rPr>
                <w:rFonts w:hint="default" w:ascii="Times New Roman" w:hAnsi="Times New Roman" w:cs="Times New Roman"/>
                <w:b/>
                <w:bCs/>
                <w:kern w:val="0"/>
                <w:sz w:val="21"/>
                <w:szCs w:val="21"/>
                <w:highlight w:val="yellow"/>
                <w:lang w:val="en-US" w:eastAsia="zh-CN" w:bidi="ar-SA"/>
              </w:rPr>
            </w:pPr>
            <w:r>
              <w:rPr>
                <w:rFonts w:hint="eastAsia" w:cs="Times New Roman"/>
                <w:b/>
                <w:bCs/>
                <w:kern w:val="0"/>
                <w:sz w:val="21"/>
                <w:szCs w:val="21"/>
                <w:highlight w:val="yellow"/>
                <w:lang w:val="en-US" w:eastAsia="zh-CN" w:bidi="ar-SA"/>
              </w:rPr>
              <w:t>图2—1土石方平衡图（m</w:t>
            </w:r>
            <w:r>
              <w:rPr>
                <w:rFonts w:hint="eastAsia" w:cs="Times New Roman"/>
                <w:b/>
                <w:bCs/>
                <w:kern w:val="0"/>
                <w:sz w:val="21"/>
                <w:szCs w:val="21"/>
                <w:highlight w:val="yellow"/>
                <w:vertAlign w:val="superscript"/>
                <w:lang w:val="en-US" w:eastAsia="zh-CN" w:bidi="ar-SA"/>
              </w:rPr>
              <w:t>3</w:t>
            </w:r>
            <w:r>
              <w:rPr>
                <w:rFonts w:hint="eastAsia" w:cs="Times New Roman"/>
                <w:b/>
                <w:bCs/>
                <w:kern w:val="0"/>
                <w:sz w:val="21"/>
                <w:szCs w:val="21"/>
                <w:highlight w:val="yellow"/>
                <w:lang w:val="en-US" w:eastAsia="zh-CN" w:bidi="ar-SA"/>
              </w:rPr>
              <w:t>）</w:t>
            </w:r>
          </w:p>
          <w:p w14:paraId="178509F3">
            <w:pPr>
              <w:pStyle w:val="116"/>
              <w:keepNext w:val="0"/>
              <w:keepLines w:val="0"/>
              <w:pageBreakBefore w:val="0"/>
              <w:numPr>
                <w:ilvl w:val="0"/>
                <w:numId w:val="0"/>
              </w:numPr>
              <w:shd w:val="clear" w:color="auto" w:fill="auto"/>
              <w:kinsoku/>
              <w:wordWrap/>
              <w:overflowPunct/>
              <w:topLinePunct w:val="0"/>
              <w:autoSpaceDE/>
              <w:autoSpaceDN/>
              <w:bidi w:val="0"/>
              <w:snapToGrid w:val="0"/>
              <w:spacing w:before="0" w:after="0" w:line="500" w:lineRule="exact"/>
              <w:ind w:right="0" w:rightChars="0" w:firstLine="482" w:firstLineChars="200"/>
              <w:textAlignment w:val="auto"/>
              <w:rPr>
                <w:rFonts w:hint="default" w:ascii="Times New Roman" w:hAnsi="Times New Roman" w:cs="Times New Roman"/>
                <w:b/>
                <w:bCs/>
                <w:color w:val="auto"/>
                <w:highlight w:val="none"/>
              </w:rPr>
            </w:pPr>
            <w:r>
              <w:rPr>
                <w:rFonts w:hint="default" w:ascii="Times New Roman" w:hAnsi="Times New Roman" w:cs="Times New Roman"/>
                <w:b/>
                <w:bCs/>
                <w:kern w:val="0"/>
                <w:sz w:val="24"/>
                <w:szCs w:val="24"/>
                <w:highlight w:val="none"/>
                <w:lang w:val="en-US" w:eastAsia="zh-CN" w:bidi="ar-SA"/>
              </w:rPr>
              <w:t>四、工程量统计</w:t>
            </w:r>
          </w:p>
          <w:p w14:paraId="19C348C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表2</w:t>
            </w:r>
            <w:r>
              <w:rPr>
                <w:rFonts w:hint="default" w:ascii="Times New Roman" w:hAnsi="Times New Roman" w:cs="Times New Roman"/>
                <w:b/>
                <w:bCs/>
                <w:color w:val="auto"/>
                <w:sz w:val="21"/>
                <w:szCs w:val="21"/>
                <w:highlight w:val="none"/>
                <w:lang w:eastAsia="zh-CN"/>
              </w:rPr>
              <w:t>—</w:t>
            </w:r>
            <w:r>
              <w:rPr>
                <w:rFonts w:hint="eastAsia"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lang w:val="en-US" w:eastAsia="zh-CN"/>
              </w:rPr>
              <w:t xml:space="preserve">  工程量</w:t>
            </w:r>
            <w:r>
              <w:rPr>
                <w:rFonts w:hint="default" w:ascii="Times New Roman" w:hAnsi="Times New Roman" w:cs="Times New Roman"/>
                <w:b/>
                <w:bCs/>
                <w:color w:val="auto"/>
                <w:sz w:val="21"/>
                <w:szCs w:val="21"/>
                <w:highlight w:val="none"/>
              </w:rPr>
              <w:t>统计表</w:t>
            </w:r>
          </w:p>
          <w:tbl>
            <w:tblPr>
              <w:tblStyle w:val="80"/>
              <w:tblW w:w="4513"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639"/>
              <w:gridCol w:w="3107"/>
              <w:gridCol w:w="2432"/>
              <w:gridCol w:w="1875"/>
            </w:tblGrid>
            <w:tr w14:paraId="1BAAB9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3F4B3CC1">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bidi="ar"/>
                    </w:rPr>
                    <w:t>序号</w:t>
                  </w:r>
                </w:p>
              </w:tc>
              <w:tc>
                <w:tcPr>
                  <w:tcW w:w="1929" w:type="pct"/>
                  <w:noWrap w:val="0"/>
                  <w:vAlign w:val="center"/>
                </w:tcPr>
                <w:p w14:paraId="7C281D58">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bidi="ar"/>
                    </w:rPr>
                    <w:t>工程名称</w:t>
                  </w:r>
                </w:p>
              </w:tc>
              <w:tc>
                <w:tcPr>
                  <w:tcW w:w="1509" w:type="pct"/>
                  <w:noWrap w:val="0"/>
                  <w:vAlign w:val="center"/>
                </w:tcPr>
                <w:p w14:paraId="6182166F">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bidi="ar"/>
                    </w:rPr>
                    <w:t>单位</w:t>
                  </w:r>
                </w:p>
              </w:tc>
              <w:tc>
                <w:tcPr>
                  <w:tcW w:w="1164" w:type="pct"/>
                  <w:noWrap w:val="0"/>
                  <w:vAlign w:val="center"/>
                </w:tcPr>
                <w:p w14:paraId="2C8E0136">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bidi="ar"/>
                    </w:rPr>
                    <w:t>数量</w:t>
                  </w:r>
                </w:p>
              </w:tc>
            </w:tr>
            <w:tr w14:paraId="788D65E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210660F2">
                  <w:pPr>
                    <w:widowControl/>
                    <w:shd w:val="clear" w:color="auto" w:fill="auto"/>
                    <w:spacing w:line="240" w:lineRule="auto"/>
                    <w:jc w:val="center"/>
                    <w:textAlignment w:val="center"/>
                    <w:rPr>
                      <w:rFonts w:hint="default" w:ascii="Times New Roman" w:hAnsi="Times New Roman" w:eastAsia="等线" w:cs="Times New Roman"/>
                      <w:b/>
                      <w:bCs/>
                      <w:color w:val="000000"/>
                      <w:kern w:val="2"/>
                      <w:sz w:val="21"/>
                      <w:szCs w:val="21"/>
                      <w:highlight w:val="none"/>
                      <w:lang w:val="en-US" w:eastAsia="zh-CN" w:bidi="ar-SA"/>
                    </w:rPr>
                  </w:pPr>
                  <w:r>
                    <w:rPr>
                      <w:rFonts w:hint="default" w:ascii="Times New Roman" w:hAnsi="Times New Roman" w:eastAsia="等线" w:cs="Times New Roman"/>
                      <w:b w:val="0"/>
                      <w:bCs w:val="0"/>
                      <w:color w:val="000000"/>
                      <w:kern w:val="2"/>
                      <w:sz w:val="21"/>
                      <w:szCs w:val="21"/>
                      <w:highlight w:val="none"/>
                      <w:lang w:val="en-US" w:eastAsia="zh-CN" w:bidi="ar-SA"/>
                    </w:rPr>
                    <w:t>1</w:t>
                  </w:r>
                </w:p>
              </w:tc>
              <w:tc>
                <w:tcPr>
                  <w:tcW w:w="1929" w:type="pct"/>
                  <w:shd w:val="clear" w:color="auto" w:fill="auto"/>
                  <w:noWrap w:val="0"/>
                  <w:vAlign w:val="center"/>
                </w:tcPr>
                <w:p w14:paraId="75AA4D8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cs="Times New Roman"/>
                      <w:color w:val="000000"/>
                      <w:kern w:val="0"/>
                      <w:sz w:val="21"/>
                      <w:szCs w:val="21"/>
                      <w:highlight w:val="none"/>
                      <w:lang w:bidi="ar"/>
                    </w:rPr>
                    <w:t>土方开挖</w:t>
                  </w:r>
                </w:p>
              </w:tc>
              <w:tc>
                <w:tcPr>
                  <w:tcW w:w="1509" w:type="pct"/>
                  <w:shd w:val="clear" w:color="auto" w:fill="auto"/>
                  <w:noWrap w:val="0"/>
                  <w:vAlign w:val="center"/>
                </w:tcPr>
                <w:p w14:paraId="47891D34">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kern w:val="0"/>
                      <w:sz w:val="21"/>
                      <w:szCs w:val="21"/>
                      <w:highlight w:val="none"/>
                      <w:lang w:eastAsia="zh-CN" w:bidi="ar"/>
                    </w:rPr>
                    <w:t>m</w:t>
                  </w:r>
                  <w:r>
                    <w:rPr>
                      <w:rFonts w:hint="default" w:ascii="Times New Roman" w:hAnsi="Times New Roman" w:cs="Times New Roman"/>
                      <w:spacing w:val="-4"/>
                      <w:kern w:val="52"/>
                      <w:sz w:val="21"/>
                      <w:szCs w:val="21"/>
                      <w:highlight w:val="none"/>
                      <w:vertAlign w:val="superscript"/>
                    </w:rPr>
                    <w:t>3</w:t>
                  </w:r>
                </w:p>
              </w:tc>
              <w:tc>
                <w:tcPr>
                  <w:tcW w:w="1164" w:type="pct"/>
                  <w:shd w:val="clear" w:color="auto" w:fill="auto"/>
                  <w:noWrap w:val="0"/>
                  <w:vAlign w:val="center"/>
                </w:tcPr>
                <w:p w14:paraId="6918BD99">
                  <w:pPr>
                    <w:widowControl/>
                    <w:shd w:val="clear" w:color="auto" w:fill="auto"/>
                    <w:spacing w:line="240" w:lineRule="auto"/>
                    <w:jc w:val="center"/>
                    <w:textAlignment w:val="center"/>
                    <w:rPr>
                      <w:rFonts w:hint="default" w:ascii="Times New Roman" w:hAnsi="Times New Roman" w:eastAsia="等线" w:cs="Times New Roman"/>
                      <w:color w:val="000000"/>
                      <w:kern w:val="0"/>
                      <w:sz w:val="21"/>
                      <w:szCs w:val="21"/>
                      <w:highlight w:val="none"/>
                      <w:lang w:val="en-US" w:eastAsia="zh-CN" w:bidi="ar"/>
                    </w:rPr>
                  </w:pPr>
                  <w:r>
                    <w:rPr>
                      <w:rFonts w:hint="eastAsia" w:cs="Times New Roman"/>
                      <w:kern w:val="24"/>
                      <w:szCs w:val="21"/>
                      <w:highlight w:val="none"/>
                      <w:lang w:val="en-US" w:eastAsia="zh-CN"/>
                    </w:rPr>
                    <w:t>48497.19</w:t>
                  </w:r>
                </w:p>
              </w:tc>
            </w:tr>
            <w:tr w14:paraId="70CD615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4FE25C23">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kern w:val="2"/>
                      <w:sz w:val="21"/>
                      <w:szCs w:val="21"/>
                      <w:highlight w:val="none"/>
                      <w:lang w:val="en-US" w:eastAsia="zh-CN" w:bidi="ar-SA"/>
                    </w:rPr>
                    <w:t>2</w:t>
                  </w:r>
                </w:p>
              </w:tc>
              <w:tc>
                <w:tcPr>
                  <w:tcW w:w="1929" w:type="pct"/>
                  <w:shd w:val="clear" w:color="auto" w:fill="auto"/>
                  <w:noWrap w:val="0"/>
                  <w:vAlign w:val="center"/>
                </w:tcPr>
                <w:p w14:paraId="4D23BA69">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密目网苫盖</w:t>
                  </w:r>
                </w:p>
              </w:tc>
              <w:tc>
                <w:tcPr>
                  <w:tcW w:w="1509" w:type="pct"/>
                  <w:shd w:val="clear" w:color="auto" w:fill="auto"/>
                  <w:noWrap w:val="0"/>
                  <w:vAlign w:val="center"/>
                </w:tcPr>
                <w:p w14:paraId="30C0F4D0">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m</w:t>
                  </w:r>
                  <w:r>
                    <w:rPr>
                      <w:rFonts w:hint="default" w:ascii="Times New Roman" w:hAnsi="Times New Roman" w:eastAsia="宋体" w:cs="Times New Roman"/>
                      <w:color w:val="000000"/>
                      <w:kern w:val="0"/>
                      <w:sz w:val="21"/>
                      <w:szCs w:val="21"/>
                      <w:highlight w:val="none"/>
                      <w:vertAlign w:val="superscript"/>
                      <w:lang w:val="en-US" w:eastAsia="zh-CN" w:bidi="ar"/>
                    </w:rPr>
                    <w:t>2</w:t>
                  </w:r>
                </w:p>
              </w:tc>
              <w:tc>
                <w:tcPr>
                  <w:tcW w:w="1164" w:type="pct"/>
                  <w:shd w:val="clear" w:color="auto" w:fill="auto"/>
                  <w:noWrap w:val="0"/>
                  <w:vAlign w:val="center"/>
                </w:tcPr>
                <w:p w14:paraId="5C884C73">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1353.50</w:t>
                  </w:r>
                </w:p>
              </w:tc>
            </w:tr>
            <w:tr w14:paraId="6CE9A4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0F511F20">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kern w:val="2"/>
                      <w:sz w:val="21"/>
                      <w:szCs w:val="21"/>
                      <w:highlight w:val="none"/>
                      <w:lang w:val="en-US" w:eastAsia="zh-CN" w:bidi="ar-SA"/>
                    </w:rPr>
                    <w:t>3</w:t>
                  </w:r>
                </w:p>
              </w:tc>
              <w:tc>
                <w:tcPr>
                  <w:tcW w:w="1929" w:type="pct"/>
                  <w:shd w:val="clear" w:color="auto" w:fill="auto"/>
                  <w:noWrap w:val="0"/>
                  <w:vAlign w:val="center"/>
                </w:tcPr>
                <w:p w14:paraId="2D1CB4ED">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编织土袋拦挡</w:t>
                  </w:r>
                </w:p>
              </w:tc>
              <w:tc>
                <w:tcPr>
                  <w:tcW w:w="1509" w:type="pct"/>
                  <w:shd w:val="clear" w:color="auto" w:fill="auto"/>
                  <w:noWrap w:val="0"/>
                  <w:vAlign w:val="center"/>
                </w:tcPr>
                <w:p w14:paraId="3C817F08">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eastAsia="zh-CN" w:bidi="ar"/>
                    </w:rPr>
                    <w:t>m</w:t>
                  </w:r>
                  <w:r>
                    <w:rPr>
                      <w:rFonts w:hint="default" w:ascii="Times New Roman" w:hAnsi="Times New Roman" w:cs="Times New Roman"/>
                      <w:spacing w:val="-4"/>
                      <w:kern w:val="52"/>
                      <w:sz w:val="21"/>
                      <w:szCs w:val="21"/>
                      <w:highlight w:val="none"/>
                      <w:vertAlign w:val="superscript"/>
                    </w:rPr>
                    <w:t>3</w:t>
                  </w:r>
                </w:p>
              </w:tc>
              <w:tc>
                <w:tcPr>
                  <w:tcW w:w="1164" w:type="pct"/>
                  <w:shd w:val="clear" w:color="auto" w:fill="auto"/>
                  <w:noWrap w:val="0"/>
                  <w:vAlign w:val="center"/>
                </w:tcPr>
                <w:p w14:paraId="1E2BF718">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179.07</w:t>
                  </w:r>
                </w:p>
              </w:tc>
            </w:tr>
            <w:tr w14:paraId="7FEDEA5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67C567A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kern w:val="2"/>
                      <w:sz w:val="21"/>
                      <w:szCs w:val="21"/>
                      <w:highlight w:val="none"/>
                      <w:lang w:val="en-US" w:eastAsia="zh-CN" w:bidi="ar-SA"/>
                    </w:rPr>
                    <w:t>4</w:t>
                  </w:r>
                </w:p>
              </w:tc>
              <w:tc>
                <w:tcPr>
                  <w:tcW w:w="1929" w:type="pct"/>
                  <w:shd w:val="clear" w:color="auto" w:fill="auto"/>
                  <w:noWrap w:val="0"/>
                  <w:vAlign w:val="center"/>
                </w:tcPr>
                <w:p w14:paraId="5C9E3860">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土质排水沟布设</w:t>
                  </w:r>
                </w:p>
              </w:tc>
              <w:tc>
                <w:tcPr>
                  <w:tcW w:w="1509" w:type="pct"/>
                  <w:shd w:val="clear" w:color="auto" w:fill="auto"/>
                  <w:noWrap w:val="0"/>
                  <w:vAlign w:val="center"/>
                </w:tcPr>
                <w:p w14:paraId="65620CE5">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eastAsia="zh-CN" w:bidi="ar"/>
                    </w:rPr>
                    <w:t>m</w:t>
                  </w:r>
                  <w:r>
                    <w:rPr>
                      <w:rFonts w:hint="default" w:ascii="Times New Roman" w:hAnsi="Times New Roman" w:cs="Times New Roman"/>
                      <w:spacing w:val="-4"/>
                      <w:kern w:val="52"/>
                      <w:sz w:val="21"/>
                      <w:szCs w:val="21"/>
                      <w:highlight w:val="none"/>
                      <w:vertAlign w:val="superscript"/>
                    </w:rPr>
                    <w:t>3</w:t>
                  </w:r>
                </w:p>
              </w:tc>
              <w:tc>
                <w:tcPr>
                  <w:tcW w:w="1164" w:type="pct"/>
                  <w:shd w:val="clear" w:color="auto" w:fill="auto"/>
                  <w:noWrap w:val="0"/>
                  <w:vAlign w:val="center"/>
                </w:tcPr>
                <w:p w14:paraId="64B1311B">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21.06</w:t>
                  </w:r>
                </w:p>
              </w:tc>
            </w:tr>
            <w:tr w14:paraId="755CDF3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396" w:type="pct"/>
                  <w:noWrap w:val="0"/>
                  <w:vAlign w:val="center"/>
                </w:tcPr>
                <w:p w14:paraId="68BEE649">
                  <w:pPr>
                    <w:widowControl/>
                    <w:shd w:val="clear" w:color="auto" w:fill="auto"/>
                    <w:spacing w:line="240" w:lineRule="auto"/>
                    <w:jc w:val="center"/>
                    <w:textAlignment w:val="center"/>
                    <w:rPr>
                      <w:rFonts w:hint="default" w:ascii="Times New Roman" w:hAnsi="Times New Roman" w:eastAsia="等线" w:cs="Times New Roman"/>
                      <w:color w:val="000000"/>
                      <w:kern w:val="2"/>
                      <w:sz w:val="21"/>
                      <w:szCs w:val="21"/>
                      <w:highlight w:val="none"/>
                      <w:lang w:val="en-US" w:eastAsia="zh-CN" w:bidi="ar-SA"/>
                    </w:rPr>
                  </w:pPr>
                  <w:r>
                    <w:rPr>
                      <w:rFonts w:hint="default" w:ascii="Times New Roman" w:hAnsi="Times New Roman" w:eastAsia="等线" w:cs="Times New Roman"/>
                      <w:color w:val="000000"/>
                      <w:kern w:val="2"/>
                      <w:sz w:val="21"/>
                      <w:szCs w:val="21"/>
                      <w:highlight w:val="none"/>
                      <w:lang w:val="en-US" w:eastAsia="zh-CN" w:bidi="ar-SA"/>
                    </w:rPr>
                    <w:t>5</w:t>
                  </w:r>
                </w:p>
              </w:tc>
              <w:tc>
                <w:tcPr>
                  <w:tcW w:w="1929" w:type="pct"/>
                  <w:shd w:val="clear" w:color="auto" w:fill="auto"/>
                  <w:noWrap w:val="0"/>
                  <w:vAlign w:val="center"/>
                </w:tcPr>
                <w:p w14:paraId="4C4124ED">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沉砂池布设</w:t>
                  </w:r>
                </w:p>
              </w:tc>
              <w:tc>
                <w:tcPr>
                  <w:tcW w:w="1509" w:type="pct"/>
                  <w:shd w:val="clear" w:color="auto" w:fill="auto"/>
                  <w:noWrap w:val="0"/>
                  <w:vAlign w:val="center"/>
                </w:tcPr>
                <w:p w14:paraId="69850DD1">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等线" w:cs="Times New Roman"/>
                      <w:color w:val="000000"/>
                      <w:kern w:val="0"/>
                      <w:sz w:val="21"/>
                      <w:szCs w:val="21"/>
                      <w:highlight w:val="none"/>
                      <w:lang w:eastAsia="zh-CN" w:bidi="ar"/>
                    </w:rPr>
                    <w:t>m</w:t>
                  </w:r>
                  <w:r>
                    <w:rPr>
                      <w:rFonts w:hint="default" w:ascii="Times New Roman" w:hAnsi="Times New Roman" w:cs="Times New Roman"/>
                      <w:spacing w:val="-4"/>
                      <w:kern w:val="52"/>
                      <w:sz w:val="21"/>
                      <w:szCs w:val="21"/>
                      <w:highlight w:val="none"/>
                      <w:vertAlign w:val="superscript"/>
                    </w:rPr>
                    <w:t>3</w:t>
                  </w:r>
                </w:p>
              </w:tc>
              <w:tc>
                <w:tcPr>
                  <w:tcW w:w="1164" w:type="pct"/>
                  <w:shd w:val="clear" w:color="auto" w:fill="auto"/>
                  <w:noWrap w:val="0"/>
                  <w:vAlign w:val="center"/>
                </w:tcPr>
                <w:p w14:paraId="43F0424E">
                  <w:pPr>
                    <w:pStyle w:val="7"/>
                    <w:ind w:firstLine="60" w:firstLineChars="0"/>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eastAsia="宋体" w:cs="Times New Roman"/>
                      <w:color w:val="000000"/>
                      <w:kern w:val="0"/>
                      <w:sz w:val="21"/>
                      <w:szCs w:val="21"/>
                      <w:highlight w:val="none"/>
                      <w:lang w:val="en-US" w:eastAsia="zh-CN" w:bidi="ar"/>
                    </w:rPr>
                    <w:t>1.08</w:t>
                  </w:r>
                </w:p>
              </w:tc>
            </w:tr>
          </w:tbl>
          <w:p w14:paraId="27FE757D">
            <w:pPr>
              <w:keepNext w:val="0"/>
              <w:keepLines w:val="0"/>
              <w:pageBreakBefore w:val="0"/>
              <w:kinsoku/>
              <w:wordWrap/>
              <w:overflowPunct/>
              <w:topLinePunct w:val="0"/>
              <w:autoSpaceDE/>
              <w:autoSpaceDN/>
              <w:bidi w:val="0"/>
              <w:adjustRightInd w:val="0"/>
              <w:snapToGrid w:val="0"/>
              <w:spacing w:line="500" w:lineRule="exact"/>
              <w:ind w:firstLine="422" w:firstLineChars="200"/>
              <w:textAlignment w:val="auto"/>
              <w:rPr>
                <w:rFonts w:hint="default" w:ascii="Times New Roman" w:hAnsi="Times New Roman" w:cs="Times New Roman"/>
                <w:b/>
                <w:bCs/>
                <w:color w:val="auto"/>
                <w:sz w:val="24"/>
                <w:highlight w:val="none"/>
              </w:rPr>
            </w:pPr>
            <w:r>
              <w:rPr>
                <w:rFonts w:hint="eastAsia" w:cs="Times New Roman"/>
                <w:b/>
                <w:bCs/>
                <w:color w:val="auto"/>
                <w:highlight w:val="none"/>
                <w:lang w:val="en-US" w:eastAsia="zh-CN"/>
              </w:rPr>
              <w:t>五</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bCs/>
                <w:color w:val="auto"/>
                <w:sz w:val="24"/>
                <w:highlight w:val="none"/>
              </w:rPr>
              <w:t>施工总布置</w:t>
            </w:r>
          </w:p>
          <w:p w14:paraId="11720C7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1、施工生产生活区布置</w:t>
            </w:r>
          </w:p>
          <w:p w14:paraId="1334EDCD">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施工生产生活区:设置1处生产生活区，位于</w:t>
            </w:r>
            <w:r>
              <w:rPr>
                <w:rFonts w:hint="eastAsia" w:cs="Times New Roman"/>
                <w:color w:val="auto"/>
                <w:szCs w:val="21"/>
                <w:highlight w:val="yellow"/>
                <w:lang w:val="en-US" w:eastAsia="zh-CN"/>
              </w:rPr>
              <w:t>改道工程西侧</w:t>
            </w:r>
            <w:r>
              <w:rPr>
                <w:rFonts w:hint="default" w:ascii="Times New Roman" w:hAnsi="Times New Roman" w:cs="Times New Roman"/>
                <w:color w:val="auto"/>
                <w:highlight w:val="none"/>
                <w:lang w:val="en-US" w:eastAsia="zh-CN"/>
              </w:rPr>
              <w:t>。占地面积1.05亩，占地类型为草地。</w:t>
            </w:r>
          </w:p>
          <w:p w14:paraId="10EAC881">
            <w:pPr>
              <w:pStyle w:val="84"/>
              <w:keepNext w:val="0"/>
              <w:keepLines w:val="0"/>
              <w:pageBreakBefore w:val="0"/>
              <w:kinsoku/>
              <w:wordWrap/>
              <w:overflowPunct/>
              <w:topLinePunct w:val="0"/>
              <w:autoSpaceDE/>
              <w:autoSpaceDN/>
              <w:bidi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生产区由施工仓库、</w:t>
            </w:r>
            <w:r>
              <w:rPr>
                <w:rFonts w:hint="default" w:ascii="Times New Roman" w:hAnsi="Times New Roman" w:cs="Times New Roman"/>
                <w:color w:val="auto"/>
                <w:highlight w:val="none"/>
                <w:lang w:val="en-US" w:eastAsia="zh-CN"/>
              </w:rPr>
              <w:t>混凝土拌和系统</w:t>
            </w:r>
            <w:r>
              <w:rPr>
                <w:rFonts w:hint="default" w:ascii="Times New Roman" w:hAnsi="Times New Roman" w:cs="Times New Roman"/>
                <w:color w:val="auto"/>
                <w:highlight w:val="none"/>
              </w:rPr>
              <w:t>组成。施工区不设集中的大型机械修配厂，大型的维修以</w:t>
            </w:r>
            <w:r>
              <w:rPr>
                <w:rFonts w:hint="default" w:ascii="Times New Roman" w:hAnsi="Times New Roman" w:cs="Times New Roman"/>
                <w:color w:val="auto"/>
                <w:highlight w:val="none"/>
                <w:lang w:val="en-US" w:eastAsia="zh-CN"/>
              </w:rPr>
              <w:t>绥化市庆安县</w:t>
            </w:r>
            <w:r>
              <w:rPr>
                <w:rFonts w:hint="default" w:ascii="Times New Roman" w:hAnsi="Times New Roman" w:cs="Times New Roman"/>
                <w:color w:val="auto"/>
                <w:highlight w:val="none"/>
              </w:rPr>
              <w:t>为中心，大修理业务可以外协委托</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不会产生废机油；简单维修在机械设备维修厂进行</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生活区由办公室和临时休息室组成。</w:t>
            </w:r>
          </w:p>
          <w:p w14:paraId="2D883852">
            <w:pPr>
              <w:pStyle w:val="84"/>
              <w:keepNext w:val="0"/>
              <w:keepLines w:val="0"/>
              <w:pageBreakBefore w:val="0"/>
              <w:kinsoku/>
              <w:wordWrap/>
              <w:overflowPunct/>
              <w:topLinePunct w:val="0"/>
              <w:autoSpaceDE/>
              <w:autoSpaceDN/>
              <w:bidi w:val="0"/>
              <w:snapToGrid w:val="0"/>
              <w:spacing w:line="500" w:lineRule="exact"/>
              <w:ind w:firstLine="482"/>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表2</w:t>
            </w:r>
            <w:r>
              <w:rPr>
                <w:rFonts w:hint="default" w:ascii="Times New Roman" w:hAnsi="Times New Roman" w:cs="Times New Roman"/>
                <w:b/>
                <w:bCs/>
                <w:color w:val="auto"/>
                <w:sz w:val="21"/>
                <w:szCs w:val="21"/>
                <w:highlight w:val="none"/>
                <w:lang w:eastAsia="zh-CN"/>
              </w:rPr>
              <w:t>—</w:t>
            </w: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施工生产</w:t>
            </w:r>
            <w:r>
              <w:rPr>
                <w:rFonts w:hint="default" w:ascii="Times New Roman" w:hAnsi="Times New Roman" w:cs="Times New Roman"/>
                <w:b/>
                <w:bCs/>
                <w:color w:val="auto"/>
                <w:sz w:val="21"/>
                <w:szCs w:val="21"/>
                <w:highlight w:val="none"/>
                <w:lang w:val="en-US" w:eastAsia="zh-CN"/>
              </w:rPr>
              <w:t>生活</w:t>
            </w:r>
            <w:r>
              <w:rPr>
                <w:rFonts w:hint="default" w:ascii="Times New Roman" w:hAnsi="Times New Roman" w:cs="Times New Roman"/>
                <w:b/>
                <w:bCs/>
                <w:color w:val="auto"/>
                <w:sz w:val="21"/>
                <w:szCs w:val="21"/>
                <w:highlight w:val="none"/>
              </w:rPr>
              <w:t>区布置表</w:t>
            </w:r>
          </w:p>
          <w:tbl>
            <w:tblPr>
              <w:tblStyle w:val="80"/>
              <w:tblW w:w="4997" w:type="pct"/>
              <w:tblInd w:w="-3"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2609"/>
              <w:gridCol w:w="2444"/>
              <w:gridCol w:w="1320"/>
              <w:gridCol w:w="758"/>
              <w:gridCol w:w="1786"/>
            </w:tblGrid>
            <w:tr w14:paraId="61EB80D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462" w:type="pct"/>
                  <w:tcBorders>
                    <w:bottom w:val="single" w:color="000000" w:sz="4" w:space="0"/>
                    <w:right w:val="single" w:color="000000" w:sz="4" w:space="0"/>
                    <w:tl2br w:val="nil"/>
                  </w:tcBorders>
                  <w:shd w:val="clear" w:color="auto" w:fill="FFFFFF"/>
                  <w:noWrap w:val="0"/>
                  <w:vAlign w:val="center"/>
                </w:tcPr>
                <w:p w14:paraId="0386702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pacing w:val="3"/>
                      <w:sz w:val="21"/>
                      <w:szCs w:val="21"/>
                      <w:highlight w:val="none"/>
                    </w:rPr>
                    <w:t>项目</w:t>
                  </w:r>
                </w:p>
              </w:tc>
              <w:tc>
                <w:tcPr>
                  <w:tcW w:w="1370" w:type="pct"/>
                  <w:tcBorders>
                    <w:left w:val="single" w:color="000000" w:sz="4" w:space="0"/>
                    <w:bottom w:val="single" w:color="000000" w:sz="4" w:space="0"/>
                    <w:right w:val="single" w:color="auto" w:sz="4" w:space="0"/>
                  </w:tcBorders>
                  <w:shd w:val="clear" w:color="auto" w:fill="FFFFFF"/>
                  <w:noWrap w:val="0"/>
                  <w:vAlign w:val="center"/>
                </w:tcPr>
                <w:p w14:paraId="3E38133F">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spacing w:val="7"/>
                      <w:sz w:val="21"/>
                      <w:szCs w:val="21"/>
                      <w:highlight w:val="none"/>
                    </w:rPr>
                    <w:t>建筑面积</w:t>
                  </w:r>
                  <w:r>
                    <w:rPr>
                      <w:rFonts w:hint="default" w:ascii="Times New Roman" w:hAnsi="Times New Roman" w:eastAsia="宋体" w:cs="Times New Roman"/>
                      <w:b w:val="0"/>
                      <w:color w:val="auto"/>
                      <w:spacing w:val="7"/>
                      <w:sz w:val="21"/>
                      <w:szCs w:val="21"/>
                      <w:highlight w:val="none"/>
                      <w:lang w:eastAsia="zh-CN"/>
                    </w:rPr>
                    <w:t>（</w:t>
                  </w:r>
                  <w:r>
                    <w:rPr>
                      <w:rFonts w:hint="default" w:ascii="Times New Roman" w:hAnsi="Times New Roman" w:eastAsia="宋体" w:cs="Times New Roman"/>
                      <w:b w:val="0"/>
                      <w:color w:val="auto"/>
                      <w:spacing w:val="7"/>
                      <w:sz w:val="21"/>
                      <w:szCs w:val="21"/>
                      <w:highlight w:val="none"/>
                      <w:lang w:val="en-US" w:eastAsia="zh-CN"/>
                    </w:rPr>
                    <w:t>m</w:t>
                  </w:r>
                  <w:r>
                    <w:rPr>
                      <w:rFonts w:hint="default" w:ascii="Times New Roman" w:hAnsi="Times New Roman" w:eastAsia="宋体" w:cs="Times New Roman"/>
                      <w:b w:val="0"/>
                      <w:color w:val="auto"/>
                      <w:spacing w:val="7"/>
                      <w:sz w:val="21"/>
                      <w:szCs w:val="21"/>
                      <w:highlight w:val="none"/>
                      <w:vertAlign w:val="superscript"/>
                      <w:lang w:val="en-US" w:eastAsia="zh-CN"/>
                    </w:rPr>
                    <w:t>2</w:t>
                  </w:r>
                  <w:r>
                    <w:rPr>
                      <w:rFonts w:hint="default" w:ascii="Times New Roman" w:hAnsi="Times New Roman" w:eastAsia="宋体" w:cs="Times New Roman"/>
                      <w:b w:val="0"/>
                      <w:color w:val="auto"/>
                      <w:spacing w:val="7"/>
                      <w:sz w:val="21"/>
                      <w:szCs w:val="21"/>
                      <w:highlight w:val="none"/>
                      <w:lang w:eastAsia="zh-CN"/>
                    </w:rPr>
                    <w:t>）</w:t>
                  </w:r>
                </w:p>
              </w:tc>
              <w:tc>
                <w:tcPr>
                  <w:tcW w:w="740" w:type="pct"/>
                  <w:tcBorders>
                    <w:left w:val="single" w:color="auto" w:sz="4" w:space="0"/>
                    <w:bottom w:val="single" w:color="000000" w:sz="4" w:space="0"/>
                    <w:right w:val="single" w:color="000000" w:sz="4" w:space="0"/>
                  </w:tcBorders>
                  <w:shd w:val="clear" w:color="auto" w:fill="FFFFFF"/>
                  <w:noWrap w:val="0"/>
                  <w:vAlign w:val="center"/>
                </w:tcPr>
                <w:p w14:paraId="3EB66F0E">
                  <w:pPr>
                    <w:pStyle w:val="106"/>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Times New Roman" w:cs="Times New Roman"/>
                      <w:b w:val="0"/>
                      <w:color w:val="auto"/>
                      <w:kern w:val="2"/>
                      <w:sz w:val="21"/>
                      <w:szCs w:val="21"/>
                      <w:highlight w:val="none"/>
                      <w:lang w:val="en-US" w:eastAsia="en-US" w:bidi="ar-SA"/>
                    </w:rPr>
                  </w:pPr>
                  <w:r>
                    <w:rPr>
                      <w:rFonts w:hint="default" w:ascii="Times New Roman" w:hAnsi="Times New Roman" w:cs="Times New Roman"/>
                      <w:b w:val="0"/>
                      <w:color w:val="auto"/>
                      <w:spacing w:val="-1"/>
                      <w:sz w:val="21"/>
                      <w:szCs w:val="21"/>
                      <w:highlight w:val="none"/>
                    </w:rPr>
                    <w:t>占地面积</w:t>
                  </w:r>
                  <w:r>
                    <w:rPr>
                      <w:rFonts w:hint="default" w:ascii="Times New Roman" w:hAnsi="Times New Roman" w:eastAsia="宋体" w:cs="Times New Roman"/>
                      <w:b w:val="0"/>
                      <w:color w:val="auto"/>
                      <w:spacing w:val="7"/>
                      <w:sz w:val="21"/>
                      <w:szCs w:val="21"/>
                      <w:highlight w:val="none"/>
                      <w:lang w:eastAsia="zh-CN"/>
                    </w:rPr>
                    <w:t>（</w:t>
                  </w:r>
                  <w:r>
                    <w:rPr>
                      <w:rFonts w:hint="default" w:ascii="Times New Roman" w:hAnsi="Times New Roman" w:eastAsia="宋体" w:cs="Times New Roman"/>
                      <w:b w:val="0"/>
                      <w:color w:val="auto"/>
                      <w:spacing w:val="7"/>
                      <w:sz w:val="21"/>
                      <w:szCs w:val="21"/>
                      <w:highlight w:val="none"/>
                      <w:lang w:val="en-US" w:eastAsia="zh-CN"/>
                    </w:rPr>
                    <w:t>m</w:t>
                  </w:r>
                  <w:r>
                    <w:rPr>
                      <w:rFonts w:hint="default" w:ascii="Times New Roman" w:hAnsi="Times New Roman" w:eastAsia="宋体" w:cs="Times New Roman"/>
                      <w:b w:val="0"/>
                      <w:color w:val="auto"/>
                      <w:spacing w:val="7"/>
                      <w:sz w:val="21"/>
                      <w:szCs w:val="21"/>
                      <w:highlight w:val="none"/>
                      <w:vertAlign w:val="superscript"/>
                      <w:lang w:val="en-US" w:eastAsia="zh-CN"/>
                    </w:rPr>
                    <w:t>2</w:t>
                  </w:r>
                  <w:r>
                    <w:rPr>
                      <w:rFonts w:hint="default" w:ascii="Times New Roman" w:hAnsi="Times New Roman" w:eastAsia="宋体" w:cs="Times New Roman"/>
                      <w:b w:val="0"/>
                      <w:color w:val="auto"/>
                      <w:spacing w:val="7"/>
                      <w:sz w:val="21"/>
                      <w:szCs w:val="21"/>
                      <w:highlight w:val="none"/>
                      <w:lang w:eastAsia="zh-CN"/>
                    </w:rPr>
                    <w:t>）</w:t>
                  </w:r>
                </w:p>
              </w:tc>
              <w:tc>
                <w:tcPr>
                  <w:tcW w:w="425" w:type="pct"/>
                  <w:tcBorders>
                    <w:left w:val="single" w:color="000000" w:sz="4" w:space="0"/>
                    <w:right w:val="single" w:color="000000" w:sz="4" w:space="0"/>
                  </w:tcBorders>
                  <w:shd w:val="clear" w:color="auto" w:fill="FFFFFF"/>
                  <w:noWrap w:val="0"/>
                  <w:vAlign w:val="center"/>
                </w:tcPr>
                <w:p w14:paraId="6D2A586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4"/>
                      <w:sz w:val="21"/>
                      <w:szCs w:val="21"/>
                      <w:highlight w:val="none"/>
                      <w:lang w:val="en-US" w:eastAsia="zh-CN"/>
                    </w:rPr>
                  </w:pPr>
                  <w:r>
                    <w:rPr>
                      <w:rFonts w:hint="default" w:ascii="Times New Roman" w:hAnsi="Times New Roman" w:eastAsia="宋体" w:cs="Times New Roman"/>
                      <w:b w:val="0"/>
                      <w:color w:val="auto"/>
                      <w:spacing w:val="4"/>
                      <w:sz w:val="21"/>
                      <w:szCs w:val="21"/>
                      <w:highlight w:val="none"/>
                      <w:lang w:val="en-US" w:eastAsia="zh-CN"/>
                    </w:rPr>
                    <w:t>处</w:t>
                  </w:r>
                </w:p>
              </w:tc>
              <w:tc>
                <w:tcPr>
                  <w:tcW w:w="1001" w:type="pct"/>
                  <w:tcBorders>
                    <w:left w:val="single" w:color="000000" w:sz="4" w:space="0"/>
                    <w:bottom w:val="single" w:color="000000" w:sz="4" w:space="0"/>
                  </w:tcBorders>
                  <w:shd w:val="clear" w:color="auto" w:fill="FFFFFF"/>
                  <w:noWrap w:val="0"/>
                  <w:vAlign w:val="center"/>
                </w:tcPr>
                <w:p w14:paraId="62B40BE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4"/>
                      <w:sz w:val="21"/>
                      <w:szCs w:val="21"/>
                      <w:highlight w:val="none"/>
                      <w:lang w:val="en-US" w:eastAsia="zh-CN"/>
                    </w:rPr>
                  </w:pPr>
                  <w:r>
                    <w:rPr>
                      <w:rFonts w:hint="default" w:ascii="Times New Roman" w:hAnsi="Times New Roman" w:eastAsia="宋体" w:cs="Times New Roman"/>
                      <w:b w:val="0"/>
                      <w:color w:val="auto"/>
                      <w:spacing w:val="4"/>
                      <w:sz w:val="21"/>
                      <w:szCs w:val="21"/>
                      <w:highlight w:val="none"/>
                      <w:lang w:val="en-US" w:eastAsia="zh-CN"/>
                    </w:rPr>
                    <w:t>总占地面积</w:t>
                  </w:r>
                  <w:r>
                    <w:rPr>
                      <w:rFonts w:hint="default" w:ascii="Times New Roman" w:hAnsi="Times New Roman" w:eastAsia="宋体" w:cs="Times New Roman"/>
                      <w:b w:val="0"/>
                      <w:color w:val="auto"/>
                      <w:spacing w:val="7"/>
                      <w:sz w:val="21"/>
                      <w:szCs w:val="21"/>
                      <w:highlight w:val="none"/>
                      <w:lang w:eastAsia="zh-CN"/>
                    </w:rPr>
                    <w:t>（</w:t>
                  </w:r>
                  <w:r>
                    <w:rPr>
                      <w:rFonts w:hint="default" w:ascii="Times New Roman" w:hAnsi="Times New Roman" w:eastAsia="宋体" w:cs="Times New Roman"/>
                      <w:b w:val="0"/>
                      <w:color w:val="auto"/>
                      <w:spacing w:val="7"/>
                      <w:sz w:val="21"/>
                      <w:szCs w:val="21"/>
                      <w:highlight w:val="none"/>
                      <w:lang w:val="en-US" w:eastAsia="zh-CN"/>
                    </w:rPr>
                    <w:t>m</w:t>
                  </w:r>
                  <w:r>
                    <w:rPr>
                      <w:rFonts w:hint="default" w:ascii="Times New Roman" w:hAnsi="Times New Roman" w:eastAsia="宋体" w:cs="Times New Roman"/>
                      <w:b w:val="0"/>
                      <w:color w:val="auto"/>
                      <w:spacing w:val="7"/>
                      <w:sz w:val="21"/>
                      <w:szCs w:val="21"/>
                      <w:highlight w:val="none"/>
                      <w:vertAlign w:val="superscript"/>
                      <w:lang w:val="en-US" w:eastAsia="zh-CN"/>
                    </w:rPr>
                    <w:t>2</w:t>
                  </w:r>
                  <w:r>
                    <w:rPr>
                      <w:rFonts w:hint="default" w:ascii="Times New Roman" w:hAnsi="Times New Roman" w:eastAsia="宋体" w:cs="Times New Roman"/>
                      <w:b w:val="0"/>
                      <w:color w:val="auto"/>
                      <w:spacing w:val="7"/>
                      <w:sz w:val="21"/>
                      <w:szCs w:val="21"/>
                      <w:highlight w:val="none"/>
                      <w:lang w:eastAsia="zh-CN"/>
                    </w:rPr>
                    <w:t>）</w:t>
                  </w:r>
                </w:p>
              </w:tc>
            </w:tr>
            <w:tr w14:paraId="67CDFB3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956D60C">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bCs/>
                      <w:color w:val="auto"/>
                      <w:spacing w:val="6"/>
                      <w:sz w:val="21"/>
                      <w:szCs w:val="21"/>
                      <w:highlight w:val="none"/>
                    </w:rPr>
                    <w:t>一、生产区（施工工厂）</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D57D40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539EF7B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3A80BD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72417C9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r>
            <w:tr w14:paraId="610900F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3AC7C09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eastAsia="宋体" w:cs="Times New Roman"/>
                      <w:b w:val="0"/>
                      <w:color w:val="auto"/>
                      <w:spacing w:val="8"/>
                      <w:sz w:val="21"/>
                      <w:szCs w:val="21"/>
                      <w:highlight w:val="none"/>
                      <w:lang w:val="en-US" w:eastAsia="zh-CN"/>
                    </w:rPr>
                    <w:t>砼</w:t>
                  </w:r>
                  <w:r>
                    <w:rPr>
                      <w:rFonts w:hint="default" w:ascii="Times New Roman" w:hAnsi="Times New Roman" w:eastAsia="宋体" w:cs="Times New Roman"/>
                      <w:b w:val="0"/>
                      <w:color w:val="auto"/>
                      <w:spacing w:val="8"/>
                      <w:sz w:val="21"/>
                      <w:szCs w:val="21"/>
                      <w:highlight w:val="none"/>
                      <w:lang w:eastAsia="zh-CN"/>
                    </w:rPr>
                    <w:t>拌和</w:t>
                  </w:r>
                  <w:r>
                    <w:rPr>
                      <w:rFonts w:hint="default" w:ascii="Times New Roman" w:hAnsi="Times New Roman" w:cs="Times New Roman"/>
                      <w:b w:val="0"/>
                      <w:color w:val="auto"/>
                      <w:spacing w:val="8"/>
                      <w:sz w:val="21"/>
                      <w:szCs w:val="21"/>
                      <w:highlight w:val="none"/>
                    </w:rPr>
                    <w:t>系统</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B3F16D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09BDA50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4EE613C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7AAE1A9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r>
            <w:tr w14:paraId="2ABA4DA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502B0B85">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8"/>
                      <w:sz w:val="21"/>
                      <w:szCs w:val="21"/>
                      <w:highlight w:val="none"/>
                      <w:lang w:val="en-US" w:eastAsia="zh-CN"/>
                    </w:rPr>
                  </w:pPr>
                  <w:r>
                    <w:rPr>
                      <w:rFonts w:hint="default" w:ascii="Times New Roman" w:hAnsi="Times New Roman" w:eastAsia="宋体" w:cs="Times New Roman"/>
                      <w:b w:val="0"/>
                      <w:color w:val="auto"/>
                      <w:spacing w:val="8"/>
                      <w:sz w:val="21"/>
                      <w:szCs w:val="21"/>
                      <w:highlight w:val="none"/>
                      <w:lang w:val="en-US" w:eastAsia="zh-CN"/>
                    </w:rPr>
                    <w:t>机械设备维修厂</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6820C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4B04912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0B5813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B6F373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r>
            <w:tr w14:paraId="3647B3D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6F65AF2B">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8"/>
                      <w:sz w:val="21"/>
                      <w:szCs w:val="21"/>
                      <w:highlight w:val="none"/>
                      <w:lang w:val="en-US" w:eastAsia="zh-CN"/>
                    </w:rPr>
                  </w:pPr>
                  <w:r>
                    <w:rPr>
                      <w:rFonts w:hint="default" w:ascii="Times New Roman" w:hAnsi="Times New Roman" w:eastAsia="宋体" w:cs="Times New Roman"/>
                      <w:b w:val="0"/>
                      <w:color w:val="auto"/>
                      <w:spacing w:val="8"/>
                      <w:sz w:val="21"/>
                      <w:szCs w:val="21"/>
                      <w:highlight w:val="none"/>
                      <w:lang w:val="en-US" w:eastAsia="zh-CN"/>
                    </w:rPr>
                    <w:t>小计</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495591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2031201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74F47E4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EC6E1D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400</w:t>
                  </w:r>
                </w:p>
              </w:tc>
            </w:tr>
            <w:tr w14:paraId="10D6B6D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2A345304">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bCs/>
                      <w:color w:val="auto"/>
                      <w:spacing w:val="6"/>
                      <w:sz w:val="21"/>
                      <w:szCs w:val="21"/>
                      <w:highlight w:val="none"/>
                    </w:rPr>
                    <w:t>二、生产区（施工仓库）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761FD4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44DD261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EEF441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0A4A1A6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r>
            <w:tr w14:paraId="50927E3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2FC7667F">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lang w:val="en-US"/>
                    </w:rPr>
                  </w:pPr>
                  <w:r>
                    <w:rPr>
                      <w:rFonts w:hint="default" w:ascii="Times New Roman" w:hAnsi="Times New Roman" w:eastAsia="宋体" w:cs="Times New Roman"/>
                      <w:b w:val="0"/>
                      <w:color w:val="auto"/>
                      <w:spacing w:val="6"/>
                      <w:sz w:val="21"/>
                      <w:szCs w:val="21"/>
                      <w:highlight w:val="none"/>
                      <w:lang w:val="en-US" w:eastAsia="zh-CN"/>
                    </w:rPr>
                    <w:t>水泥库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AD1EE4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15BC72D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200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09695DD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1A2075EA">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200</w:t>
                  </w:r>
                </w:p>
              </w:tc>
            </w:tr>
            <w:tr w14:paraId="34052CF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52F3A57">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6"/>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rPr>
                    <w:t>其他库</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704628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100</w:t>
                  </w: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3A0DC6A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sz w:val="21"/>
                      <w:szCs w:val="21"/>
                      <w:highlight w:val="none"/>
                      <w:lang w:val="en-US" w:eastAsia="zh-CN"/>
                    </w:rPr>
                    <w:t>100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CDB2BC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69F6060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100</w:t>
                  </w:r>
                </w:p>
              </w:tc>
            </w:tr>
            <w:tr w14:paraId="752E9AD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30055BE8">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pacing w:val="6"/>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rPr>
                    <w:t>小计</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08B4FD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08EDF2F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294F8D4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5307CC0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700</w:t>
                  </w:r>
                </w:p>
              </w:tc>
            </w:tr>
            <w:tr w14:paraId="2370531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01BB98FD">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rPr>
                    <w:t>三、临时道路</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60D709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6C3DF79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3000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BA2BCE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35999E9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3000</w:t>
                  </w:r>
                </w:p>
              </w:tc>
            </w:tr>
            <w:tr w14:paraId="438BCF1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647BAB01">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rPr>
                    <w:t>四、施工</w:t>
                  </w:r>
                  <w:r>
                    <w:rPr>
                      <w:rFonts w:hint="eastAsia" w:eastAsia="宋体" w:cs="Times New Roman"/>
                      <w:b w:val="0"/>
                      <w:color w:val="auto"/>
                      <w:spacing w:val="6"/>
                      <w:sz w:val="21"/>
                      <w:szCs w:val="21"/>
                      <w:highlight w:val="none"/>
                      <w:lang w:val="en-US" w:eastAsia="zh-CN"/>
                    </w:rPr>
                    <w:t>材料堆放场</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813895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15DF8EA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2000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37F6051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24554D2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2000</w:t>
                  </w:r>
                </w:p>
              </w:tc>
            </w:tr>
            <w:tr w14:paraId="05F78C6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1F7202C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none"/>
                      <w:lang w:val="en-US" w:eastAsia="zh-CN"/>
                    </w:rPr>
                  </w:pPr>
                  <w:r>
                    <w:rPr>
                      <w:rFonts w:hint="default" w:ascii="Times New Roman" w:hAnsi="Times New Roman" w:eastAsia="宋体" w:cs="Times New Roman"/>
                      <w:b w:val="0"/>
                      <w:color w:val="auto"/>
                      <w:spacing w:val="6"/>
                      <w:sz w:val="21"/>
                      <w:szCs w:val="21"/>
                      <w:highlight w:val="none"/>
                      <w:lang w:val="en-US" w:eastAsia="zh-CN"/>
                    </w:rPr>
                    <w:t>五、表土暂存场</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5E3B2C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5DF0B5C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14800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5B8D3DE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18458B1B">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14800</w:t>
                  </w:r>
                </w:p>
              </w:tc>
            </w:tr>
            <w:tr w14:paraId="48CD3A2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1462" w:type="pct"/>
                  <w:tcBorders>
                    <w:top w:val="single" w:color="000000" w:sz="4" w:space="0"/>
                    <w:bottom w:val="single" w:color="000000" w:sz="4" w:space="0"/>
                    <w:right w:val="single" w:color="000000" w:sz="4" w:space="0"/>
                  </w:tcBorders>
                  <w:shd w:val="clear" w:color="auto" w:fill="FFFFFF"/>
                  <w:noWrap w:val="0"/>
                  <w:vAlign w:val="center"/>
                </w:tcPr>
                <w:p w14:paraId="74D5F759">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both"/>
                    <w:textAlignment w:val="auto"/>
                    <w:rPr>
                      <w:rFonts w:hint="default" w:ascii="Times New Roman" w:hAnsi="Times New Roman" w:eastAsia="宋体" w:cs="Times New Roman"/>
                      <w:b w:val="0"/>
                      <w:color w:val="auto"/>
                      <w:spacing w:val="6"/>
                      <w:sz w:val="21"/>
                      <w:szCs w:val="21"/>
                      <w:highlight w:val="none"/>
                      <w:lang w:val="en-US" w:eastAsia="zh-CN"/>
                    </w:rPr>
                  </w:pPr>
                  <w:r>
                    <w:rPr>
                      <w:rFonts w:hint="eastAsia" w:eastAsia="宋体" w:cs="Times New Roman"/>
                      <w:b w:val="0"/>
                      <w:color w:val="auto"/>
                      <w:spacing w:val="6"/>
                      <w:sz w:val="21"/>
                      <w:szCs w:val="21"/>
                      <w:highlight w:val="none"/>
                      <w:lang w:val="en-US" w:eastAsia="zh-CN"/>
                    </w:rPr>
                    <w:t>六、弃渣场</w:t>
                  </w:r>
                </w:p>
              </w:tc>
              <w:tc>
                <w:tcPr>
                  <w:tcW w:w="137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703C0F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color w:val="auto"/>
                      <w:sz w:val="21"/>
                      <w:szCs w:val="21"/>
                      <w:highlight w:val="none"/>
                      <w:lang w:val="en-US" w:eastAsia="zh-CN"/>
                    </w:rPr>
                  </w:pPr>
                </w:p>
              </w:tc>
              <w:tc>
                <w:tcPr>
                  <w:tcW w:w="740" w:type="pct"/>
                  <w:tcBorders>
                    <w:top w:val="single" w:color="000000" w:sz="4" w:space="0"/>
                    <w:left w:val="single" w:color="000000" w:sz="4" w:space="0"/>
                    <w:bottom w:val="single" w:color="000000" w:sz="4" w:space="0"/>
                    <w:right w:val="nil"/>
                  </w:tcBorders>
                  <w:shd w:val="clear" w:color="auto" w:fill="FFFFFF"/>
                  <w:noWrap w:val="0"/>
                  <w:vAlign w:val="center"/>
                </w:tcPr>
                <w:p w14:paraId="3DCD9C07">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3200</w:t>
                  </w:r>
                </w:p>
              </w:tc>
              <w:tc>
                <w:tcPr>
                  <w:tcW w:w="425" w:type="pct"/>
                  <w:tcBorders>
                    <w:top w:val="single" w:color="000000" w:sz="4" w:space="0"/>
                    <w:left w:val="single" w:color="000000" w:sz="4" w:space="0"/>
                    <w:bottom w:val="single" w:color="000000" w:sz="4" w:space="0"/>
                    <w:right w:val="nil"/>
                  </w:tcBorders>
                  <w:shd w:val="clear" w:color="auto" w:fill="FFFFFF"/>
                  <w:noWrap w:val="0"/>
                  <w:vAlign w:val="center"/>
                </w:tcPr>
                <w:p w14:paraId="51BE2022">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w:t>
                  </w:r>
                </w:p>
              </w:tc>
              <w:tc>
                <w:tcPr>
                  <w:tcW w:w="1001" w:type="pct"/>
                  <w:tcBorders>
                    <w:top w:val="single" w:color="000000" w:sz="4" w:space="0"/>
                    <w:left w:val="single" w:color="000000" w:sz="4" w:space="0"/>
                    <w:bottom w:val="single" w:color="000000" w:sz="4" w:space="0"/>
                  </w:tcBorders>
                  <w:shd w:val="clear" w:color="auto" w:fill="FFFFFF"/>
                  <w:noWrap w:val="0"/>
                  <w:vAlign w:val="center"/>
                </w:tcPr>
                <w:p w14:paraId="57F1F08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3200</w:t>
                  </w:r>
                </w:p>
              </w:tc>
            </w:tr>
            <w:tr w14:paraId="4662AA6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1462" w:type="pct"/>
                  <w:tcBorders>
                    <w:top w:val="single" w:color="000000" w:sz="4" w:space="0"/>
                    <w:right w:val="single" w:color="000000" w:sz="4" w:space="0"/>
                  </w:tcBorders>
                  <w:shd w:val="clear" w:color="auto" w:fill="FFFFFF"/>
                  <w:noWrap w:val="0"/>
                  <w:vAlign w:val="center"/>
                </w:tcPr>
                <w:p w14:paraId="51FDD60A">
                  <w:pPr>
                    <w:pStyle w:val="106"/>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bCs/>
                      <w:color w:val="auto"/>
                      <w:spacing w:val="4"/>
                      <w:sz w:val="21"/>
                      <w:szCs w:val="21"/>
                      <w:highlight w:val="none"/>
                    </w:rPr>
                    <w:t>合计</w:t>
                  </w:r>
                </w:p>
              </w:tc>
              <w:tc>
                <w:tcPr>
                  <w:tcW w:w="1370" w:type="pct"/>
                  <w:tcBorders>
                    <w:top w:val="single" w:color="000000" w:sz="4" w:space="0"/>
                    <w:left w:val="single" w:color="000000" w:sz="4" w:space="0"/>
                    <w:right w:val="single" w:color="000000" w:sz="4" w:space="0"/>
                  </w:tcBorders>
                  <w:shd w:val="clear" w:color="auto" w:fill="FFFFFF"/>
                  <w:noWrap w:val="0"/>
                  <w:vAlign w:val="center"/>
                </w:tcPr>
                <w:p w14:paraId="155127C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740" w:type="pct"/>
                  <w:tcBorders>
                    <w:top w:val="single" w:color="000000" w:sz="4" w:space="0"/>
                    <w:left w:val="single" w:color="000000" w:sz="4" w:space="0"/>
                    <w:right w:val="nil"/>
                  </w:tcBorders>
                  <w:shd w:val="clear" w:color="auto" w:fill="FFFFFF"/>
                  <w:noWrap w:val="0"/>
                  <w:vAlign w:val="center"/>
                </w:tcPr>
                <w:p w14:paraId="5F9F04E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425" w:type="pct"/>
                  <w:tcBorders>
                    <w:top w:val="single" w:color="000000" w:sz="4" w:space="0"/>
                    <w:left w:val="single" w:color="000000" w:sz="4" w:space="0"/>
                    <w:right w:val="nil"/>
                  </w:tcBorders>
                  <w:shd w:val="clear" w:color="auto" w:fill="FFFFFF"/>
                  <w:noWrap w:val="0"/>
                  <w:vAlign w:val="center"/>
                </w:tcPr>
                <w:p w14:paraId="209F61F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Times New Roman" w:cs="Times New Roman"/>
                      <w:b w:val="0"/>
                      <w:color w:val="auto"/>
                      <w:sz w:val="21"/>
                      <w:szCs w:val="21"/>
                      <w:highlight w:val="none"/>
                    </w:rPr>
                  </w:pPr>
                </w:p>
              </w:tc>
              <w:tc>
                <w:tcPr>
                  <w:tcW w:w="1001" w:type="pct"/>
                  <w:tcBorders>
                    <w:top w:val="single" w:color="000000" w:sz="4" w:space="0"/>
                    <w:left w:val="single" w:color="000000" w:sz="4" w:space="0"/>
                  </w:tcBorders>
                  <w:shd w:val="clear" w:color="auto" w:fill="FFFFFF"/>
                  <w:noWrap w:val="0"/>
                  <w:vAlign w:val="center"/>
                </w:tcPr>
                <w:p w14:paraId="475F3F3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23700</w:t>
                  </w:r>
                </w:p>
              </w:tc>
            </w:tr>
          </w:tbl>
          <w:p w14:paraId="46A947CA">
            <w:pPr>
              <w:pStyle w:val="84"/>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砼</w:t>
            </w:r>
            <w:r>
              <w:rPr>
                <w:rFonts w:hint="default" w:ascii="Times New Roman" w:hAnsi="Times New Roman" w:cs="Times New Roman"/>
                <w:color w:val="auto"/>
                <w:sz w:val="24"/>
                <w:szCs w:val="24"/>
                <w:highlight w:val="none"/>
                <w:lang w:eastAsia="zh-CN"/>
              </w:rPr>
              <w:t>拌和</w:t>
            </w:r>
            <w:r>
              <w:rPr>
                <w:rFonts w:hint="default" w:ascii="Times New Roman" w:hAnsi="Times New Roman" w:cs="Times New Roman"/>
                <w:color w:val="auto"/>
                <w:sz w:val="24"/>
                <w:szCs w:val="24"/>
                <w:highlight w:val="none"/>
              </w:rPr>
              <w:t>系统</w:t>
            </w:r>
            <w:r>
              <w:rPr>
                <w:rFonts w:hint="default" w:ascii="Times New Roman" w:hAnsi="Times New Roman" w:cs="Times New Roman"/>
                <w:color w:val="auto"/>
                <w:sz w:val="24"/>
                <w:szCs w:val="24"/>
                <w:highlight w:val="none"/>
                <w:lang w:eastAsia="zh-CN"/>
              </w:rPr>
              <w:t>:拌和站</w:t>
            </w:r>
            <w:r>
              <w:rPr>
                <w:rFonts w:hint="default" w:ascii="Times New Roman" w:hAnsi="Times New Roman" w:cs="Times New Roman"/>
                <w:color w:val="auto"/>
                <w:sz w:val="24"/>
                <w:szCs w:val="24"/>
                <w:highlight w:val="none"/>
              </w:rPr>
              <w:t>有0.8</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eastAsia="zh-CN"/>
              </w:rPr>
              <w:t>拌和</w:t>
            </w:r>
            <w:r>
              <w:rPr>
                <w:rFonts w:hint="default" w:ascii="Times New Roman" w:hAnsi="Times New Roman" w:cs="Times New Roman"/>
                <w:color w:val="auto"/>
                <w:sz w:val="24"/>
                <w:szCs w:val="24"/>
                <w:highlight w:val="none"/>
              </w:rPr>
              <w:t>机1台，机动翻斗车1台，胶轮车12台。</w:t>
            </w:r>
          </w:p>
          <w:p w14:paraId="4F0CE7F5">
            <w:pPr>
              <w:pStyle w:val="84"/>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施工仓库</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由水泥库等组成。</w:t>
            </w:r>
          </w:p>
          <w:p w14:paraId="597146DB">
            <w:pPr>
              <w:pStyle w:val="84"/>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2、风水电系统</w:t>
            </w:r>
          </w:p>
          <w:p w14:paraId="54784B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施工用电采用</w:t>
            </w:r>
            <w:r>
              <w:rPr>
                <w:rFonts w:hint="default" w:ascii="Times New Roman" w:hAnsi="Times New Roman" w:cs="Times New Roman"/>
                <w:color w:val="auto"/>
                <w:sz w:val="24"/>
                <w:szCs w:val="24"/>
                <w:highlight w:val="none"/>
                <w:lang w:val="en-US" w:eastAsia="zh-CN"/>
              </w:rPr>
              <w:t>60kW移动柴油</w:t>
            </w:r>
            <w:r>
              <w:rPr>
                <w:rFonts w:hint="default" w:ascii="Times New Roman" w:hAnsi="Times New Roman" w:cs="Times New Roman"/>
                <w:color w:val="auto"/>
                <w:sz w:val="24"/>
                <w:szCs w:val="24"/>
                <w:highlight w:val="none"/>
              </w:rPr>
              <w:t>发电机组发电，</w:t>
            </w:r>
            <w:r>
              <w:rPr>
                <w:rFonts w:hint="default" w:ascii="Times New Roman" w:hAnsi="Times New Roman" w:cs="Times New Roman"/>
                <w:color w:val="auto"/>
                <w:sz w:val="24"/>
                <w:szCs w:val="24"/>
                <w:highlight w:val="none"/>
                <w:lang w:val="en-US" w:eastAsia="zh-CN"/>
              </w:rPr>
              <w:t>生产用水采用水泵抽取</w:t>
            </w:r>
            <w:r>
              <w:rPr>
                <w:rFonts w:hint="eastAsia" w:cs="Times New Roman"/>
                <w:color w:val="auto"/>
                <w:sz w:val="24"/>
                <w:szCs w:val="24"/>
                <w:highlight w:val="none"/>
                <w:lang w:val="en-US" w:eastAsia="zh-CN"/>
              </w:rPr>
              <w:t>格木克河</w:t>
            </w:r>
            <w:r>
              <w:rPr>
                <w:rFonts w:hint="default" w:ascii="Times New Roman" w:hAnsi="Times New Roman" w:cs="Times New Roman"/>
                <w:color w:val="auto"/>
                <w:sz w:val="24"/>
                <w:szCs w:val="24"/>
                <w:highlight w:val="none"/>
                <w:lang w:val="en-US" w:eastAsia="zh-CN"/>
              </w:rPr>
              <w:t>河水，生活用水采用桶装水</w:t>
            </w:r>
            <w:r>
              <w:rPr>
                <w:rFonts w:hint="default" w:ascii="Times New Roman" w:hAnsi="Times New Roman" w:cs="Times New Roman"/>
                <w:color w:val="auto"/>
                <w:sz w:val="24"/>
                <w:szCs w:val="24"/>
                <w:highlight w:val="none"/>
              </w:rPr>
              <w:t>。</w:t>
            </w:r>
          </w:p>
          <w:p w14:paraId="761B0B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施工通信</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通信采用现有公共通信网络，不另外设置。</w:t>
            </w:r>
          </w:p>
          <w:p w14:paraId="7B315C7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3、</w:t>
            </w:r>
            <w:r>
              <w:rPr>
                <w:rFonts w:hint="default" w:ascii="Times New Roman" w:hAnsi="Times New Roman" w:cs="Times New Roman"/>
                <w:b/>
                <w:bCs/>
                <w:color w:val="auto"/>
                <w:sz w:val="24"/>
                <w:szCs w:val="24"/>
                <w:highlight w:val="none"/>
              </w:rPr>
              <w:t>弃渣场</w:t>
            </w:r>
          </w:p>
          <w:p w14:paraId="5A30F3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设置1处弃渣场，</w:t>
            </w:r>
            <w:r>
              <w:rPr>
                <w:rFonts w:hint="eastAsia" w:cs="Times New Roman"/>
                <w:color w:val="auto"/>
                <w:sz w:val="24"/>
                <w:szCs w:val="24"/>
                <w:highlight w:val="yellow"/>
                <w:lang w:val="en-US" w:eastAsia="zh-CN"/>
              </w:rPr>
              <w:t>位于原河道东侧150m处</w:t>
            </w:r>
            <w:r>
              <w:rPr>
                <w:rFonts w:hint="eastAsia" w:cs="Times New Roman"/>
                <w:color w:val="auto"/>
                <w:sz w:val="24"/>
                <w:szCs w:val="24"/>
                <w:highlight w:val="none"/>
                <w:lang w:val="en-US" w:eastAsia="zh-CN"/>
              </w:rPr>
              <w:t>，占地面积4.80亩，用地类型为水域及水利设施用地，现状为沟道型弃土场，可堆渣量4.44万m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，平均回填高度3m，该弃渣场可容纳本项目的弃土38457.99m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p>
          <w:p w14:paraId="68207B0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cs="Times New Roman"/>
                <w:b/>
                <w:bCs/>
                <w:color w:val="auto"/>
                <w:sz w:val="24"/>
                <w:szCs w:val="24"/>
                <w:highlight w:val="none"/>
                <w:lang w:val="en-US" w:eastAsia="zh-CN"/>
              </w:rPr>
              <w:t>表土暂存场</w:t>
            </w:r>
          </w:p>
          <w:p w14:paraId="385BBA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设置</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处</w:t>
            </w:r>
            <w:r>
              <w:rPr>
                <w:rFonts w:hint="default" w:ascii="Times New Roman" w:hAnsi="Times New Roman" w:cs="Times New Roman"/>
                <w:color w:val="auto"/>
                <w:sz w:val="24"/>
                <w:szCs w:val="24"/>
                <w:highlight w:val="none"/>
                <w:lang w:eastAsia="zh-CN"/>
              </w:rPr>
              <w:t>表土暂存场</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位于</w:t>
            </w:r>
            <w:r>
              <w:rPr>
                <w:rFonts w:hint="eastAsia" w:cs="Times New Roman"/>
                <w:color w:val="auto"/>
                <w:sz w:val="24"/>
                <w:szCs w:val="24"/>
                <w:highlight w:val="yellow"/>
                <w:lang w:val="en-US" w:eastAsia="zh-CN"/>
              </w:rPr>
              <w:t>改道工程西北侧1.8km处</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表土暂存场</w:t>
            </w:r>
            <w:r>
              <w:rPr>
                <w:rFonts w:hint="default" w:ascii="Times New Roman" w:hAnsi="Times New Roman" w:cs="Times New Roman"/>
                <w:color w:val="auto"/>
                <w:sz w:val="24"/>
                <w:szCs w:val="24"/>
                <w:highlight w:val="none"/>
                <w:lang w:val="en-US" w:eastAsia="zh-CN"/>
              </w:rPr>
              <w:t>占地面积</w:t>
            </w:r>
            <w:r>
              <w:rPr>
                <w:rFonts w:hint="eastAsia" w:cs="Times New Roman"/>
                <w:color w:val="auto"/>
                <w:sz w:val="24"/>
                <w:szCs w:val="24"/>
                <w:highlight w:val="none"/>
                <w:lang w:val="en-US" w:eastAsia="zh-CN"/>
              </w:rPr>
              <w:t>22.19</w:t>
            </w:r>
            <w:r>
              <w:rPr>
                <w:rFonts w:hint="default" w:ascii="Times New Roman" w:hAnsi="Times New Roman" w:cs="Times New Roman"/>
                <w:color w:val="auto"/>
                <w:sz w:val="24"/>
                <w:szCs w:val="24"/>
                <w:highlight w:val="none"/>
                <w:lang w:val="en-US" w:eastAsia="zh-CN"/>
              </w:rPr>
              <w:t>亩，占地类型</w:t>
            </w:r>
            <w:r>
              <w:rPr>
                <w:rFonts w:hint="eastAsia" w:cs="Times New Roman"/>
                <w:color w:val="auto"/>
                <w:sz w:val="24"/>
                <w:szCs w:val="24"/>
                <w:highlight w:val="none"/>
                <w:lang w:val="en-US" w:eastAsia="zh-CN"/>
              </w:rPr>
              <w:t>为水域及水利设施用地。</w:t>
            </w:r>
            <w:r>
              <w:rPr>
                <w:rFonts w:hint="default" w:ascii="Times New Roman" w:hAnsi="Times New Roman" w:cs="Times New Roman"/>
                <w:color w:val="auto"/>
                <w:sz w:val="24"/>
                <w:szCs w:val="24"/>
                <w:highlight w:val="none"/>
                <w:lang w:val="en-US" w:eastAsia="zh-CN"/>
              </w:rPr>
              <w:t>表土</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w:t>
            </w: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表土</w:t>
            </w:r>
            <w:r>
              <w:rPr>
                <w:rFonts w:hint="default" w:ascii="Times New Roman" w:hAnsi="Times New Roman" w:cs="Times New Roman"/>
                <w:color w:val="auto"/>
                <w:sz w:val="24"/>
                <w:szCs w:val="24"/>
                <w:highlight w:val="none"/>
                <w:lang w:eastAsia="zh-CN"/>
              </w:rPr>
              <w:t>的运输、储存、利用等环节的安全、环保及水土保持由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lang w:eastAsia="zh-CN"/>
              </w:rPr>
              <w:t>承担。</w:t>
            </w:r>
          </w:p>
          <w:p w14:paraId="18A1281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5、取土场</w:t>
            </w:r>
          </w:p>
          <w:p w14:paraId="5F493F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不</w:t>
            </w:r>
            <w:r>
              <w:rPr>
                <w:rFonts w:hint="default" w:ascii="Times New Roman" w:hAnsi="Times New Roman" w:cs="Times New Roman"/>
                <w:color w:val="auto"/>
                <w:sz w:val="24"/>
                <w:szCs w:val="24"/>
                <w:highlight w:val="none"/>
              </w:rPr>
              <w:t>设置1处取土场</w:t>
            </w:r>
            <w:r>
              <w:rPr>
                <w:rFonts w:hint="default" w:ascii="Times New Roman" w:hAnsi="Times New Roman" w:cs="Times New Roman"/>
                <w:color w:val="auto"/>
                <w:kern w:val="0"/>
                <w:sz w:val="24"/>
                <w:szCs w:val="24"/>
                <w:highlight w:val="none"/>
                <w:lang w:val="en-US" w:eastAsia="zh-CN"/>
              </w:rPr>
              <w:t>。</w:t>
            </w:r>
          </w:p>
          <w:p w14:paraId="42EFF96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、技术供应</w:t>
            </w:r>
          </w:p>
          <w:p w14:paraId="1F5C2A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柴油从</w:t>
            </w:r>
            <w:r>
              <w:rPr>
                <w:rFonts w:hint="eastAsia" w:cs="Times New Roman"/>
                <w:color w:val="auto"/>
                <w:kern w:val="0"/>
                <w:sz w:val="24"/>
                <w:szCs w:val="24"/>
                <w:highlight w:val="none"/>
                <w:lang w:val="en-US" w:eastAsia="zh-CN"/>
              </w:rPr>
              <w:t>庆安县县城</w:t>
            </w:r>
            <w:r>
              <w:rPr>
                <w:rFonts w:hint="default" w:ascii="Times New Roman" w:hAnsi="Times New Roman" w:eastAsia="宋体" w:cs="Times New Roman"/>
                <w:color w:val="auto"/>
                <w:kern w:val="0"/>
                <w:sz w:val="24"/>
                <w:szCs w:val="24"/>
                <w:highlight w:val="none"/>
              </w:rPr>
              <w:t>采购，运距5k</w:t>
            </w:r>
            <w:r>
              <w:rPr>
                <w:rFonts w:hint="default" w:ascii="Times New Roman" w:hAnsi="Times New Roman" w:cs="Times New Roman"/>
                <w:color w:val="auto"/>
                <w:kern w:val="0"/>
                <w:sz w:val="24"/>
                <w:szCs w:val="24"/>
                <w:highlight w:val="none"/>
                <w:lang w:eastAsia="zh-CN"/>
              </w:rPr>
              <w:t>m</w:t>
            </w:r>
            <w:r>
              <w:rPr>
                <w:rFonts w:hint="default" w:ascii="Times New Roman" w:hAnsi="Times New Roman" w:eastAsia="宋体" w:cs="Times New Roman"/>
                <w:color w:val="auto"/>
                <w:kern w:val="0"/>
                <w:sz w:val="24"/>
                <w:szCs w:val="24"/>
                <w:highlight w:val="none"/>
              </w:rPr>
              <w:t>。材料全部用汽车运输到工地。建设实施所需要的建筑材料储量和质量完全能满足需要。</w:t>
            </w:r>
          </w:p>
          <w:p w14:paraId="3B3F6D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本工程所需主要建筑材料</w:t>
            </w:r>
            <w:r>
              <w:rPr>
                <w:rFonts w:hint="default" w:ascii="Times New Roman" w:hAnsi="Times New Roman" w:cs="Times New Roman"/>
                <w:color w:val="auto"/>
                <w:kern w:val="0"/>
                <w:sz w:val="24"/>
                <w:szCs w:val="24"/>
                <w:highlight w:val="none"/>
                <w:lang w:eastAsia="zh-CN"/>
              </w:rPr>
              <w:t>:</w:t>
            </w:r>
            <w:r>
              <w:rPr>
                <w:rFonts w:hint="default" w:ascii="Times New Roman" w:hAnsi="Times New Roman" w:cs="Times New Roman"/>
                <w:color w:val="auto"/>
                <w:kern w:val="0"/>
                <w:sz w:val="24"/>
                <w:szCs w:val="24"/>
                <w:highlight w:val="none"/>
              </w:rPr>
              <w:t>柴油</w:t>
            </w:r>
            <w:r>
              <w:rPr>
                <w:rFonts w:hint="eastAsia" w:cs="Times New Roman"/>
                <w:color w:val="auto"/>
                <w:kern w:val="0"/>
                <w:sz w:val="24"/>
                <w:szCs w:val="24"/>
                <w:highlight w:val="none"/>
                <w:lang w:val="en-US" w:eastAsia="zh-CN"/>
              </w:rPr>
              <w:t>48.69</w:t>
            </w:r>
            <w:r>
              <w:rPr>
                <w:rFonts w:hint="default" w:ascii="Times New Roman" w:hAnsi="Times New Roman" w:cs="Times New Roman"/>
                <w:color w:val="auto"/>
                <w:kern w:val="0"/>
                <w:sz w:val="24"/>
                <w:szCs w:val="24"/>
                <w:highlight w:val="none"/>
              </w:rPr>
              <w:t>t，水泥</w:t>
            </w:r>
            <w:r>
              <w:rPr>
                <w:rFonts w:hint="eastAsia" w:cs="Times New Roman"/>
                <w:color w:val="auto"/>
                <w:kern w:val="0"/>
                <w:sz w:val="24"/>
                <w:szCs w:val="24"/>
                <w:highlight w:val="none"/>
                <w:lang w:val="en-US" w:eastAsia="zh-CN"/>
              </w:rPr>
              <w:t>460</w:t>
            </w:r>
            <w:r>
              <w:rPr>
                <w:rFonts w:hint="default" w:ascii="Times New Roman" w:hAnsi="Times New Roman" w:cs="Times New Roman"/>
                <w:color w:val="auto"/>
                <w:kern w:val="0"/>
                <w:sz w:val="24"/>
                <w:szCs w:val="24"/>
                <w:highlight w:val="none"/>
              </w:rPr>
              <w:t>t，块石1</w:t>
            </w:r>
            <w:r>
              <w:rPr>
                <w:rFonts w:hint="eastAsia" w:cs="Times New Roman"/>
                <w:color w:val="auto"/>
                <w:kern w:val="0"/>
                <w:sz w:val="24"/>
                <w:szCs w:val="24"/>
                <w:highlight w:val="none"/>
                <w:lang w:val="en-US" w:eastAsia="zh-CN"/>
              </w:rPr>
              <w:t>20</w:t>
            </w:r>
            <w:r>
              <w:rPr>
                <w:rFonts w:hint="default" w:ascii="Times New Roman" w:hAnsi="Times New Roman" w:cs="Times New Roman"/>
                <w:color w:val="auto"/>
                <w:kern w:val="0"/>
                <w:sz w:val="24"/>
                <w:szCs w:val="24"/>
                <w:highlight w:val="none"/>
                <w:lang w:eastAsia="zh-CN"/>
              </w:rPr>
              <w:t>m</w:t>
            </w:r>
            <w:r>
              <w:rPr>
                <w:rFonts w:hint="default" w:ascii="Times New Roman" w:hAnsi="Times New Roman" w:cs="Times New Roman"/>
                <w:color w:val="auto"/>
                <w:kern w:val="0"/>
                <w:sz w:val="24"/>
                <w:szCs w:val="24"/>
                <w:highlight w:val="none"/>
                <w:vertAlign w:val="superscript"/>
              </w:rPr>
              <w:t>3</w:t>
            </w:r>
            <w:r>
              <w:rPr>
                <w:rFonts w:hint="default" w:ascii="Times New Roman" w:hAnsi="Times New Roman" w:cs="Times New Roman"/>
                <w:color w:val="auto"/>
                <w:kern w:val="0"/>
                <w:sz w:val="24"/>
                <w:szCs w:val="24"/>
                <w:highlight w:val="none"/>
              </w:rPr>
              <w:t>，砂</w:t>
            </w:r>
            <w:r>
              <w:rPr>
                <w:rFonts w:hint="eastAsia" w:cs="Times New Roman"/>
                <w:color w:val="auto"/>
                <w:kern w:val="0"/>
                <w:sz w:val="24"/>
                <w:szCs w:val="24"/>
                <w:highlight w:val="none"/>
                <w:lang w:val="en-US" w:eastAsia="zh-CN"/>
              </w:rPr>
              <w:t>380</w:t>
            </w:r>
            <w:r>
              <w:rPr>
                <w:rFonts w:hint="default" w:ascii="Times New Roman" w:hAnsi="Times New Roman" w:cs="Times New Roman"/>
                <w:color w:val="auto"/>
                <w:kern w:val="0"/>
                <w:sz w:val="24"/>
                <w:szCs w:val="24"/>
                <w:highlight w:val="none"/>
                <w:lang w:eastAsia="zh-CN"/>
              </w:rPr>
              <w:t>m</w:t>
            </w:r>
            <w:r>
              <w:rPr>
                <w:rFonts w:hint="default" w:ascii="Times New Roman" w:hAnsi="Times New Roman" w:cs="Times New Roman"/>
                <w:color w:val="auto"/>
                <w:kern w:val="0"/>
                <w:sz w:val="24"/>
                <w:szCs w:val="24"/>
                <w:highlight w:val="none"/>
                <w:vertAlign w:val="superscript"/>
              </w:rPr>
              <w:t>3</w:t>
            </w:r>
            <w:r>
              <w:rPr>
                <w:rFonts w:hint="default" w:ascii="Times New Roman" w:hAnsi="Times New Roman" w:cs="Times New Roman"/>
                <w:color w:val="auto"/>
                <w:kern w:val="0"/>
                <w:sz w:val="24"/>
                <w:szCs w:val="24"/>
                <w:highlight w:val="none"/>
              </w:rPr>
              <w:t>，碎石33</w:t>
            </w:r>
            <w:r>
              <w:rPr>
                <w:rFonts w:hint="eastAsia" w:cs="Times New Roman"/>
                <w:color w:val="auto"/>
                <w:kern w:val="0"/>
                <w:sz w:val="24"/>
                <w:szCs w:val="24"/>
                <w:highlight w:val="none"/>
                <w:lang w:val="en-US" w:eastAsia="zh-CN"/>
              </w:rPr>
              <w:t>0</w:t>
            </w:r>
            <w:r>
              <w:rPr>
                <w:rFonts w:hint="default" w:ascii="Times New Roman" w:hAnsi="Times New Roman" w:cs="Times New Roman"/>
                <w:color w:val="auto"/>
                <w:kern w:val="0"/>
                <w:sz w:val="24"/>
                <w:szCs w:val="24"/>
                <w:highlight w:val="none"/>
                <w:lang w:eastAsia="zh-CN"/>
              </w:rPr>
              <w:t>m</w:t>
            </w:r>
            <w:r>
              <w:rPr>
                <w:rFonts w:hint="default" w:ascii="Times New Roman" w:hAnsi="Times New Roman" w:cs="Times New Roman"/>
                <w:color w:val="auto"/>
                <w:kern w:val="0"/>
                <w:sz w:val="24"/>
                <w:szCs w:val="24"/>
                <w:highlight w:val="none"/>
                <w:vertAlign w:val="superscript"/>
              </w:rPr>
              <w:t>3</w:t>
            </w:r>
            <w:r>
              <w:rPr>
                <w:rFonts w:hint="default" w:ascii="Times New Roman" w:hAnsi="Times New Roman" w:cs="Times New Roman"/>
                <w:color w:val="auto"/>
                <w:kern w:val="0"/>
                <w:sz w:val="24"/>
                <w:szCs w:val="24"/>
                <w:highlight w:val="none"/>
              </w:rPr>
              <w:t>，钢筋</w:t>
            </w:r>
            <w:r>
              <w:rPr>
                <w:rFonts w:hint="eastAsia" w:cs="Times New Roman"/>
                <w:color w:val="auto"/>
                <w:kern w:val="0"/>
                <w:sz w:val="24"/>
                <w:szCs w:val="24"/>
                <w:highlight w:val="none"/>
                <w:lang w:val="en-US" w:eastAsia="zh-CN"/>
              </w:rPr>
              <w:t>393</w:t>
            </w:r>
            <w:r>
              <w:rPr>
                <w:rFonts w:hint="default" w:ascii="Times New Roman" w:hAnsi="Times New Roman" w:cs="Times New Roman"/>
                <w:color w:val="auto"/>
                <w:kern w:val="0"/>
                <w:sz w:val="24"/>
                <w:szCs w:val="24"/>
                <w:highlight w:val="none"/>
              </w:rPr>
              <w:t>t。</w:t>
            </w:r>
          </w:p>
          <w:p w14:paraId="1DCDD70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kern w:val="0"/>
                <w:sz w:val="24"/>
                <w:szCs w:val="24"/>
                <w:highlight w:val="none"/>
              </w:rPr>
            </w:pPr>
            <w:r>
              <w:rPr>
                <w:rFonts w:hint="eastAsia" w:cs="Times New Roman"/>
                <w:b/>
                <w:bCs/>
                <w:color w:val="auto"/>
                <w:kern w:val="0"/>
                <w:sz w:val="24"/>
                <w:szCs w:val="24"/>
                <w:highlight w:val="none"/>
                <w:lang w:val="en-US" w:eastAsia="zh-CN"/>
              </w:rPr>
              <w:t>7</w:t>
            </w:r>
            <w:r>
              <w:rPr>
                <w:rFonts w:hint="default" w:ascii="Times New Roman" w:hAnsi="Times New Roman" w:cs="Times New Roman"/>
                <w:b/>
                <w:bCs/>
                <w:color w:val="auto"/>
                <w:kern w:val="0"/>
                <w:sz w:val="24"/>
                <w:szCs w:val="24"/>
                <w:highlight w:val="none"/>
              </w:rPr>
              <w:t>、交通运输</w:t>
            </w:r>
          </w:p>
          <w:p w14:paraId="457125D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本工程地处</w:t>
            </w:r>
            <w:r>
              <w:rPr>
                <w:rFonts w:hint="default" w:ascii="Times New Roman" w:hAnsi="Times New Roman" w:cs="Times New Roman"/>
                <w:color w:val="auto"/>
                <w:kern w:val="0"/>
                <w:sz w:val="24"/>
                <w:szCs w:val="24"/>
                <w:highlight w:val="none"/>
                <w:lang w:val="en-US" w:eastAsia="zh-CN"/>
              </w:rPr>
              <w:t>庆安县</w:t>
            </w:r>
            <w:r>
              <w:rPr>
                <w:rFonts w:hint="default" w:ascii="Times New Roman" w:hAnsi="Times New Roman" w:cs="Times New Roman"/>
                <w:color w:val="auto"/>
                <w:kern w:val="0"/>
                <w:sz w:val="24"/>
                <w:szCs w:val="24"/>
                <w:highlight w:val="none"/>
              </w:rPr>
              <w:t>，工程所在地有省道、县道、乡道及通村公路可直达施工地点，道路情况良好，对外交通便利，可满足工程所需建筑材料的运输。为满足工程施工期的土料运输、砼水平运输及其它生产、生活资料的运输，对新建堤防需新建临时道路，料场至堤防道路需新建。</w:t>
            </w:r>
          </w:p>
          <w:p w14:paraId="03190531">
            <w:pPr>
              <w:keepNext w:val="0"/>
              <w:keepLines w:val="0"/>
              <w:pageBreakBefore w:val="0"/>
              <w:widowControl w:val="0"/>
              <w:shd w:val="clear" w:color="auto" w:fill="auto"/>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val="en-US" w:eastAsia="zh-CN"/>
              </w:rPr>
              <w:t>本项目</w:t>
            </w:r>
            <w:r>
              <w:rPr>
                <w:rFonts w:hint="default" w:ascii="Times New Roman" w:hAnsi="Times New Roman" w:cs="Times New Roman"/>
                <w:sz w:val="24"/>
                <w:szCs w:val="24"/>
                <w:highlight w:val="none"/>
              </w:rPr>
              <w:t>新建临时道路</w:t>
            </w:r>
            <w:r>
              <w:rPr>
                <w:rFonts w:hint="eastAsia" w:cs="Times New Roman"/>
                <w:sz w:val="24"/>
                <w:szCs w:val="24"/>
                <w:highlight w:val="none"/>
                <w:lang w:val="en-US" w:eastAsia="zh-CN"/>
              </w:rPr>
              <w:t>3</w:t>
            </w:r>
            <w:r>
              <w:rPr>
                <w:rFonts w:hint="default" w:ascii="Times New Roman" w:hAnsi="Times New Roman" w:cs="Times New Roman"/>
                <w:sz w:val="24"/>
                <w:szCs w:val="24"/>
                <w:highlight w:val="none"/>
              </w:rPr>
              <w:t>k</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，路面宽度</w:t>
            </w:r>
            <w:r>
              <w:rPr>
                <w:rFonts w:hint="eastAsia" w:cs="Times New Roman"/>
                <w:sz w:val="24"/>
                <w:szCs w:val="24"/>
                <w:highlight w:val="none"/>
                <w:lang w:val="en-US" w:eastAsia="zh-CN"/>
              </w:rPr>
              <w:t>平均</w:t>
            </w:r>
            <w:r>
              <w:rPr>
                <w:rFonts w:hint="default" w:ascii="Times New Roman" w:hAnsi="Times New Roman" w:cs="Times New Roman"/>
                <w:sz w:val="24"/>
                <w:szCs w:val="24"/>
                <w:highlight w:val="none"/>
              </w:rPr>
              <w:t>为5.0</w:t>
            </w:r>
            <w:r>
              <w:rPr>
                <w:rFonts w:hint="default" w:ascii="Times New Roman" w:hAnsi="Times New Roman" w:cs="Times New Roman"/>
                <w:sz w:val="24"/>
                <w:szCs w:val="24"/>
                <w:highlight w:val="none"/>
                <w:lang w:eastAsia="zh-CN"/>
              </w:rPr>
              <w:t>m</w:t>
            </w:r>
            <w:r>
              <w:rPr>
                <w:rFonts w:hint="default" w:ascii="Times New Roman" w:hAnsi="Times New Roman" w:cs="Times New Roman"/>
                <w:sz w:val="24"/>
                <w:szCs w:val="24"/>
                <w:highlight w:val="none"/>
              </w:rPr>
              <w:t>。</w:t>
            </w:r>
          </w:p>
          <w:p w14:paraId="7618BF8E">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color w:val="auto"/>
                <w:kern w:val="0"/>
                <w:sz w:val="24"/>
                <w:highlight w:val="none"/>
                <w:lang w:val="en-US" w:eastAsia="zh-CN"/>
              </w:rPr>
            </w:pPr>
          </w:p>
        </w:tc>
      </w:tr>
      <w:tr w14:paraId="41B23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4" w:hRule="atLeast"/>
          <w:jc w:val="center"/>
        </w:trPr>
        <w:tc>
          <w:tcPr>
            <w:tcW w:w="237" w:type="pct"/>
            <w:noWrap w:val="0"/>
            <w:vAlign w:val="center"/>
          </w:tcPr>
          <w:p w14:paraId="065B6018">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施工方案</w:t>
            </w:r>
          </w:p>
        </w:tc>
        <w:tc>
          <w:tcPr>
            <w:tcW w:w="4762" w:type="pct"/>
            <w:noWrap w:val="0"/>
            <w:vAlign w:val="center"/>
          </w:tcPr>
          <w:p w14:paraId="51852C7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b/>
                <w:bCs/>
                <w:color w:val="auto"/>
                <w:highlight w:val="none"/>
              </w:rPr>
            </w:pPr>
            <w:bookmarkStart w:id="13" w:name="_Toc395511907"/>
            <w:bookmarkStart w:id="14" w:name="_Toc63117224"/>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施工导流</w:t>
            </w:r>
            <w:bookmarkEnd w:id="13"/>
            <w:bookmarkEnd w:id="14"/>
          </w:p>
          <w:p w14:paraId="772CC252">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1、导流标准</w:t>
            </w:r>
          </w:p>
          <w:p w14:paraId="62184DF4">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本次设计导流可以利用现状河道，不需要新增导流工程。</w:t>
            </w:r>
            <w:r>
              <w:rPr>
                <w:rFonts w:hint="eastAsia" w:cs="Times New Roman"/>
                <w:color w:val="auto"/>
                <w:highlight w:val="none"/>
                <w:lang w:val="en-US" w:eastAsia="zh-CN"/>
              </w:rPr>
              <w:t>本项目改道后的河道流通后，原有河道断流填平，作为省道S613庆安高铁连接线项目用地。</w:t>
            </w:r>
          </w:p>
          <w:p w14:paraId="65C02299">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2、围堰布置</w:t>
            </w:r>
          </w:p>
          <w:p w14:paraId="4C417219">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河道治理工程需要在起、末处新建围堰。根据当时建筑材料确定围堰形式为土石围堰，根据《水利水电工程围堰设计规范SL645-2013》确定围堰级别为5级，安全超高为0.5m，最终确定围堰顶高程。围堰顶宽2.0m，上、下游边坡均为1:2.0。</w:t>
            </w:r>
            <w:bookmarkStart w:id="15" w:name="_Toc395511909"/>
            <w:bookmarkStart w:id="16" w:name="_Toc63117226"/>
          </w:p>
          <w:p w14:paraId="0339969B">
            <w:pPr>
              <w:pStyle w:val="84"/>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围堰特性表</w:t>
            </w:r>
          </w:p>
          <w:tbl>
            <w:tblPr>
              <w:tblStyle w:val="80"/>
              <w:tblW w:w="4993"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225"/>
              <w:gridCol w:w="924"/>
              <w:gridCol w:w="1008"/>
              <w:gridCol w:w="856"/>
              <w:gridCol w:w="710"/>
              <w:gridCol w:w="1400"/>
              <w:gridCol w:w="1389"/>
              <w:gridCol w:w="1399"/>
            </w:tblGrid>
            <w:tr w14:paraId="6E2944C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bottom w:val="single" w:color="000000" w:sz="4" w:space="0"/>
                    <w:right w:val="single" w:color="000000" w:sz="4" w:space="0"/>
                    <w:tl2br w:val="nil"/>
                  </w:tcBorders>
                  <w:shd w:val="clear" w:color="auto" w:fill="FFFFFF"/>
                  <w:noWrap w:val="0"/>
                  <w:vAlign w:val="center"/>
                </w:tcPr>
                <w:p w14:paraId="29040D3D">
                  <w:pPr>
                    <w:pStyle w:val="84"/>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项目</w:t>
                  </w:r>
                </w:p>
              </w:tc>
              <w:tc>
                <w:tcPr>
                  <w:tcW w:w="518" w:type="pct"/>
                  <w:tcBorders>
                    <w:left w:val="single" w:color="000000" w:sz="4" w:space="0"/>
                    <w:bottom w:val="single" w:color="000000" w:sz="4" w:space="0"/>
                    <w:right w:val="single" w:color="000000" w:sz="4" w:space="0"/>
                  </w:tcBorders>
                  <w:shd w:val="clear" w:color="auto" w:fill="auto"/>
                  <w:noWrap w:val="0"/>
                  <w:vAlign w:val="center"/>
                </w:tcPr>
                <w:p w14:paraId="413BBE93">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底高程(m)</w:t>
                  </w:r>
                </w:p>
              </w:tc>
              <w:tc>
                <w:tcPr>
                  <w:tcW w:w="565" w:type="pct"/>
                  <w:tcBorders>
                    <w:left w:val="single" w:color="000000" w:sz="4" w:space="0"/>
                    <w:bottom w:val="single" w:color="000000" w:sz="4" w:space="0"/>
                    <w:right w:val="single" w:color="000000" w:sz="4" w:space="0"/>
                  </w:tcBorders>
                  <w:shd w:val="clear" w:color="auto" w:fill="auto"/>
                  <w:noWrap w:val="0"/>
                  <w:vAlign w:val="center"/>
                </w:tcPr>
                <w:p w14:paraId="0F4FBC5A">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水位(m)</w:t>
                  </w:r>
                </w:p>
              </w:tc>
              <w:tc>
                <w:tcPr>
                  <w:tcW w:w="480" w:type="pct"/>
                  <w:tcBorders>
                    <w:left w:val="single" w:color="000000" w:sz="4" w:space="0"/>
                    <w:bottom w:val="single" w:color="000000" w:sz="4" w:space="0"/>
                    <w:right w:val="single" w:color="000000" w:sz="4" w:space="0"/>
                  </w:tcBorders>
                  <w:shd w:val="clear" w:color="auto" w:fill="auto"/>
                  <w:noWrap w:val="0"/>
                  <w:vAlign w:val="center"/>
                </w:tcPr>
                <w:p w14:paraId="31AC3D9E">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堰顶高程(m)</w:t>
                  </w:r>
                </w:p>
              </w:tc>
              <w:tc>
                <w:tcPr>
                  <w:tcW w:w="398" w:type="pct"/>
                  <w:tcBorders>
                    <w:left w:val="single" w:color="000000" w:sz="4" w:space="0"/>
                    <w:bottom w:val="single" w:color="000000" w:sz="4" w:space="0"/>
                    <w:right w:val="single" w:color="000000" w:sz="4" w:space="0"/>
                  </w:tcBorders>
                  <w:shd w:val="clear" w:color="auto" w:fill="auto"/>
                  <w:noWrap w:val="0"/>
                  <w:vAlign w:val="center"/>
                </w:tcPr>
                <w:p w14:paraId="645A1F26">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堰顶宽(m)</w:t>
                  </w:r>
                </w:p>
              </w:tc>
              <w:tc>
                <w:tcPr>
                  <w:tcW w:w="785" w:type="pct"/>
                  <w:tcBorders>
                    <w:left w:val="single" w:color="000000" w:sz="4" w:space="0"/>
                    <w:bottom w:val="single" w:color="000000" w:sz="4" w:space="0"/>
                    <w:right w:val="single" w:color="000000" w:sz="4" w:space="0"/>
                  </w:tcBorders>
                  <w:shd w:val="clear" w:color="auto" w:fill="auto"/>
                  <w:noWrap w:val="0"/>
                  <w:vAlign w:val="center"/>
                </w:tcPr>
                <w:p w14:paraId="3AD46DF8">
                  <w:pPr>
                    <w:pStyle w:val="141"/>
                    <w:rPr>
                      <w:rFonts w:hint="eastAsia"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上、下游</w:t>
                  </w:r>
                  <w:r>
                    <w:rPr>
                      <w:rFonts w:hint="eastAsia" w:ascii="Times New Roman" w:hAnsi="Times New Roman" w:cs="Times New Roman"/>
                      <w:szCs w:val="21"/>
                      <w:highlight w:val="none"/>
                      <w:lang w:eastAsia="zh-CN"/>
                    </w:rPr>
                    <w:t>（</w:t>
                  </w:r>
                  <w:r>
                    <w:rPr>
                      <w:rFonts w:hint="eastAsia" w:ascii="Times New Roman" w:hAnsi="Times New Roman" w:cs="Times New Roman"/>
                      <w:szCs w:val="21"/>
                      <w:highlight w:val="none"/>
                      <w:lang w:val="en-US" w:eastAsia="zh-CN"/>
                    </w:rPr>
                    <w:t>坡比</w:t>
                  </w:r>
                  <w:r>
                    <w:rPr>
                      <w:rFonts w:hint="eastAsia" w:ascii="Times New Roman" w:hAnsi="Times New Roman" w:cs="Times New Roman"/>
                      <w:szCs w:val="21"/>
                      <w:highlight w:val="none"/>
                      <w:lang w:eastAsia="zh-CN"/>
                    </w:rPr>
                    <w:t>）</w:t>
                  </w:r>
                </w:p>
              </w:tc>
              <w:tc>
                <w:tcPr>
                  <w:tcW w:w="779" w:type="pct"/>
                  <w:tcBorders>
                    <w:left w:val="single" w:color="000000" w:sz="4" w:space="0"/>
                    <w:bottom w:val="single" w:color="000000" w:sz="4" w:space="0"/>
                    <w:right w:val="single" w:color="000000" w:sz="4" w:space="0"/>
                  </w:tcBorders>
                  <w:shd w:val="clear" w:color="auto" w:fill="auto"/>
                  <w:noWrap w:val="0"/>
                  <w:vAlign w:val="center"/>
                </w:tcPr>
                <w:p w14:paraId="29BFFEBC">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长度(m)</w:t>
                  </w:r>
                </w:p>
              </w:tc>
              <w:tc>
                <w:tcPr>
                  <w:tcW w:w="784" w:type="pct"/>
                  <w:tcBorders>
                    <w:left w:val="single" w:color="000000" w:sz="4" w:space="0"/>
                    <w:bottom w:val="single" w:color="000000" w:sz="4" w:space="0"/>
                  </w:tcBorders>
                  <w:shd w:val="clear" w:color="auto" w:fill="auto"/>
                  <w:noWrap w:val="0"/>
                  <w:vAlign w:val="center"/>
                </w:tcPr>
                <w:p w14:paraId="5C418649">
                  <w:pPr>
                    <w:pStyle w:val="141"/>
                    <w:rPr>
                      <w:rFonts w:hint="eastAsia"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围堰填筑(m</w:t>
                  </w:r>
                  <w:r>
                    <w:rPr>
                      <w:rFonts w:hint="eastAsia" w:ascii="Times New Roman" w:hAnsi="Times New Roman" w:cs="Times New Roman"/>
                      <w:szCs w:val="21"/>
                      <w:highlight w:val="none"/>
                      <w:vertAlign w:val="superscript"/>
                      <w:lang w:val="en-US" w:eastAsia="zh-CN"/>
                    </w:rPr>
                    <w:t>3</w:t>
                  </w:r>
                </w:p>
              </w:tc>
            </w:tr>
            <w:tr w14:paraId="0795BF8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top w:val="single" w:color="000000" w:sz="4" w:space="0"/>
                    <w:bottom w:val="single" w:color="000000" w:sz="4" w:space="0"/>
                    <w:right w:val="single" w:color="000000" w:sz="4" w:space="0"/>
                  </w:tcBorders>
                  <w:shd w:val="clear" w:color="auto" w:fill="auto"/>
                  <w:noWrap w:val="0"/>
                  <w:vAlign w:val="bottom"/>
                </w:tcPr>
                <w:p w14:paraId="5B5DDDCD">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进口围堰</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1AC449">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172.1</w:t>
                  </w:r>
                </w:p>
              </w:tc>
              <w:tc>
                <w:tcPr>
                  <w:tcW w:w="56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B98F3B">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174.26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76F091">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174.76</w:t>
                  </w:r>
                </w:p>
              </w:tc>
              <w:tc>
                <w:tcPr>
                  <w:tcW w:w="39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FE796E">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2</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5E40990">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1.5</w:t>
                  </w:r>
                </w:p>
              </w:tc>
              <w:tc>
                <w:tcPr>
                  <w:tcW w:w="779"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EA748A">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60</w:t>
                  </w:r>
                </w:p>
              </w:tc>
              <w:tc>
                <w:tcPr>
                  <w:tcW w:w="784" w:type="pct"/>
                  <w:tcBorders>
                    <w:top w:val="single" w:color="000000" w:sz="4" w:space="0"/>
                    <w:left w:val="single" w:color="000000" w:sz="4" w:space="0"/>
                    <w:bottom w:val="single" w:color="000000" w:sz="4" w:space="0"/>
                  </w:tcBorders>
                  <w:shd w:val="clear" w:color="auto" w:fill="auto"/>
                  <w:noWrap w:val="0"/>
                  <w:vAlign w:val="center"/>
                </w:tcPr>
                <w:p w14:paraId="12410636">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948</w:t>
                  </w:r>
                </w:p>
              </w:tc>
            </w:tr>
            <w:tr w14:paraId="273FAD3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687" w:type="pct"/>
                  <w:tcBorders>
                    <w:top w:val="single" w:color="000000" w:sz="4" w:space="0"/>
                    <w:right w:val="single" w:color="000000" w:sz="4" w:space="0"/>
                  </w:tcBorders>
                  <w:shd w:val="clear" w:color="auto" w:fill="auto"/>
                  <w:noWrap w:val="0"/>
                  <w:vAlign w:val="bottom"/>
                </w:tcPr>
                <w:p w14:paraId="1A578D62">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出口围堰</w:t>
                  </w:r>
                </w:p>
              </w:tc>
              <w:tc>
                <w:tcPr>
                  <w:tcW w:w="518" w:type="pct"/>
                  <w:tcBorders>
                    <w:top w:val="single" w:color="000000" w:sz="4" w:space="0"/>
                    <w:left w:val="single" w:color="000000" w:sz="4" w:space="0"/>
                    <w:right w:val="single" w:color="000000" w:sz="4" w:space="0"/>
                  </w:tcBorders>
                  <w:shd w:val="clear" w:color="auto" w:fill="auto"/>
                  <w:noWrap w:val="0"/>
                  <w:vAlign w:val="center"/>
                </w:tcPr>
                <w:p w14:paraId="5D91B435">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172.45</w:t>
                  </w:r>
                </w:p>
              </w:tc>
              <w:tc>
                <w:tcPr>
                  <w:tcW w:w="565" w:type="pct"/>
                  <w:tcBorders>
                    <w:top w:val="single" w:color="000000" w:sz="4" w:space="0"/>
                    <w:left w:val="single" w:color="000000" w:sz="4" w:space="0"/>
                    <w:right w:val="single" w:color="000000" w:sz="4" w:space="0"/>
                  </w:tcBorders>
                  <w:shd w:val="clear" w:color="auto" w:fill="auto"/>
                  <w:noWrap w:val="0"/>
                  <w:vAlign w:val="center"/>
                </w:tcPr>
                <w:p w14:paraId="32CA035E">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174.5</w:t>
                  </w:r>
                </w:p>
              </w:tc>
              <w:tc>
                <w:tcPr>
                  <w:tcW w:w="480" w:type="pct"/>
                  <w:tcBorders>
                    <w:top w:val="single" w:color="000000" w:sz="4" w:space="0"/>
                    <w:left w:val="single" w:color="000000" w:sz="4" w:space="0"/>
                    <w:right w:val="single" w:color="000000" w:sz="4" w:space="0"/>
                  </w:tcBorders>
                  <w:shd w:val="clear" w:color="auto" w:fill="auto"/>
                  <w:noWrap w:val="0"/>
                  <w:vAlign w:val="center"/>
                </w:tcPr>
                <w:p w14:paraId="2CBD20BD">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175</w:t>
                  </w:r>
                </w:p>
              </w:tc>
              <w:tc>
                <w:tcPr>
                  <w:tcW w:w="398" w:type="pct"/>
                  <w:tcBorders>
                    <w:top w:val="single" w:color="000000" w:sz="4" w:space="0"/>
                    <w:left w:val="single" w:color="000000" w:sz="4" w:space="0"/>
                    <w:right w:val="single" w:color="000000" w:sz="4" w:space="0"/>
                  </w:tcBorders>
                  <w:shd w:val="clear" w:color="auto" w:fill="auto"/>
                  <w:noWrap w:val="0"/>
                  <w:vAlign w:val="center"/>
                </w:tcPr>
                <w:p w14:paraId="6F5D9FD5">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2</w:t>
                  </w:r>
                </w:p>
              </w:tc>
              <w:tc>
                <w:tcPr>
                  <w:tcW w:w="785" w:type="pct"/>
                  <w:tcBorders>
                    <w:top w:val="single" w:color="000000" w:sz="4" w:space="0"/>
                    <w:left w:val="single" w:color="000000" w:sz="4" w:space="0"/>
                    <w:right w:val="single" w:color="000000" w:sz="4" w:space="0"/>
                  </w:tcBorders>
                  <w:shd w:val="clear" w:color="auto" w:fill="auto"/>
                  <w:noWrap w:val="0"/>
                  <w:vAlign w:val="center"/>
                </w:tcPr>
                <w:p w14:paraId="6ED16A5B">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1.5</w:t>
                  </w:r>
                </w:p>
              </w:tc>
              <w:tc>
                <w:tcPr>
                  <w:tcW w:w="779" w:type="pct"/>
                  <w:tcBorders>
                    <w:top w:val="single" w:color="000000" w:sz="4" w:space="0"/>
                    <w:left w:val="single" w:color="000000" w:sz="4" w:space="0"/>
                    <w:right w:val="single" w:color="000000" w:sz="4" w:space="0"/>
                  </w:tcBorders>
                  <w:shd w:val="clear" w:color="auto" w:fill="auto"/>
                  <w:noWrap w:val="0"/>
                  <w:vAlign w:val="center"/>
                </w:tcPr>
                <w:p w14:paraId="4E909CB3">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50</w:t>
                  </w:r>
                </w:p>
              </w:tc>
              <w:tc>
                <w:tcPr>
                  <w:tcW w:w="784" w:type="pct"/>
                  <w:tcBorders>
                    <w:top w:val="single" w:color="000000" w:sz="4" w:space="0"/>
                    <w:left w:val="single" w:color="000000" w:sz="4" w:space="0"/>
                  </w:tcBorders>
                  <w:shd w:val="clear" w:color="auto" w:fill="auto"/>
                  <w:noWrap w:val="0"/>
                  <w:vAlign w:val="center"/>
                </w:tcPr>
                <w:p w14:paraId="7768F203">
                  <w:pPr>
                    <w:pStyle w:val="141"/>
                    <w:rPr>
                      <w:rFonts w:hint="default" w:ascii="Times New Roman" w:hAnsi="Times New Roman" w:eastAsia="宋体" w:cs="Times New Roman"/>
                      <w:color w:val="000000"/>
                      <w:kern w:val="0"/>
                      <w:sz w:val="21"/>
                      <w:szCs w:val="21"/>
                      <w:highlight w:val="none"/>
                      <w:lang w:val="en-US" w:eastAsia="zh-CN" w:bidi="ar-SA"/>
                    </w:rPr>
                  </w:pPr>
                  <w:r>
                    <w:rPr>
                      <w:rFonts w:ascii="Times New Roman" w:hAnsi="Times New Roman" w:cs="Times New Roman"/>
                      <w:szCs w:val="21"/>
                      <w:highlight w:val="none"/>
                    </w:rPr>
                    <w:t>735</w:t>
                  </w:r>
                </w:p>
              </w:tc>
            </w:tr>
            <w:bookmarkEnd w:id="15"/>
            <w:bookmarkEnd w:id="16"/>
          </w:tbl>
          <w:p w14:paraId="517B08F5">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3</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导流建筑物</w:t>
            </w:r>
            <w:r>
              <w:rPr>
                <w:rFonts w:hint="default" w:ascii="Times New Roman" w:hAnsi="Times New Roman" w:cs="Times New Roman"/>
                <w:b w:val="0"/>
                <w:bCs w:val="0"/>
                <w:color w:val="auto"/>
                <w:highlight w:val="none"/>
                <w:lang w:val="en-US" w:eastAsia="zh-CN"/>
              </w:rPr>
              <w:t>施工</w:t>
            </w:r>
          </w:p>
          <w:p w14:paraId="799478E4">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围堰工程施工方法，其中围堰使用粘土，采用1m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挖掘机挖土，10t自卸汽车运输，</w:t>
            </w:r>
            <w:r>
              <w:rPr>
                <w:rFonts w:hint="default" w:ascii="Times New Roman" w:hAnsi="Times New Roman" w:cs="Times New Roman"/>
                <w:color w:val="auto"/>
                <w:sz w:val="24"/>
                <w:szCs w:val="24"/>
                <w:highlight w:val="none"/>
                <w:lang w:val="en-US" w:eastAsia="zh-CN"/>
              </w:rPr>
              <w:t>拖拉机压实，采用进占法逐层填筑，拆除采用1m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挖掘机挖土，10t自卸汽车运输，103kw推土机推平。</w:t>
            </w:r>
          </w:p>
          <w:p w14:paraId="4B30B53E">
            <w:pPr>
              <w:pStyle w:val="84"/>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z w:val="24"/>
                <w:szCs w:val="24"/>
                <w:highlight w:val="none"/>
                <w:lang w:val="en-US" w:eastAsia="zh-CN"/>
              </w:rPr>
            </w:pPr>
            <w:bookmarkStart w:id="17" w:name="_Toc63117229"/>
            <w:bookmarkStart w:id="18" w:name="_Toc395511912"/>
            <w:r>
              <w:rPr>
                <w:rFonts w:hint="eastAsia" w:cs="Times New Roman"/>
                <w:b/>
                <w:bCs/>
                <w:color w:val="auto"/>
                <w:sz w:val="24"/>
                <w:szCs w:val="24"/>
                <w:highlight w:val="none"/>
                <w:lang w:val="en-US" w:eastAsia="zh-CN"/>
              </w:rPr>
              <w:t>二</w:t>
            </w:r>
            <w:r>
              <w:rPr>
                <w:rFonts w:hint="default" w:ascii="Times New Roman" w:hAnsi="Times New Roman" w:cs="Times New Roman"/>
                <w:b/>
                <w:bCs/>
                <w:color w:val="auto"/>
                <w:sz w:val="24"/>
                <w:szCs w:val="24"/>
                <w:highlight w:val="none"/>
                <w:lang w:val="en-US" w:eastAsia="zh-CN"/>
              </w:rPr>
              <w:t>、土石方平衡</w:t>
            </w:r>
          </w:p>
          <w:p w14:paraId="27A84D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开挖方</w:t>
            </w:r>
            <w:r>
              <w:rPr>
                <w:rFonts w:hint="eastAsia" w:cs="Times New Roman"/>
                <w:color w:val="auto"/>
                <w:sz w:val="24"/>
                <w:szCs w:val="24"/>
                <w:highlight w:val="none"/>
                <w:lang w:val="en-US" w:eastAsia="zh-CN"/>
              </w:rPr>
              <w:t>48497.19</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vertAlign w:val="baseline"/>
                <w:lang w:eastAsia="zh-CN"/>
              </w:rPr>
              <w:t>，</w:t>
            </w:r>
            <w:r>
              <w:rPr>
                <w:rFonts w:hint="default" w:ascii="Times New Roman" w:hAnsi="Times New Roman" w:cs="Times New Roman"/>
                <w:color w:val="auto"/>
                <w:sz w:val="24"/>
                <w:szCs w:val="24"/>
                <w:highlight w:val="none"/>
                <w:vertAlign w:val="baseline"/>
                <w:lang w:val="en-US" w:eastAsia="zh-CN"/>
              </w:rPr>
              <w:t>利用</w:t>
            </w:r>
            <w:r>
              <w:rPr>
                <w:rFonts w:hint="default" w:ascii="Times New Roman" w:hAnsi="Times New Roman" w:cs="Times New Roman"/>
                <w:color w:val="auto"/>
                <w:sz w:val="24"/>
                <w:szCs w:val="24"/>
                <w:highlight w:val="none"/>
              </w:rPr>
              <w:t>方</w:t>
            </w:r>
            <w:r>
              <w:rPr>
                <w:rFonts w:hint="eastAsia" w:cs="Times New Roman"/>
                <w:color w:val="auto"/>
                <w:sz w:val="24"/>
                <w:szCs w:val="24"/>
                <w:highlight w:val="none"/>
                <w:lang w:val="en-US" w:eastAsia="zh-CN"/>
              </w:rPr>
              <w:t>1980.00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，回填方</w:t>
            </w:r>
            <w:r>
              <w:rPr>
                <w:rFonts w:hint="eastAsia" w:cs="Times New Roman"/>
                <w:color w:val="auto"/>
                <w:sz w:val="24"/>
                <w:szCs w:val="24"/>
                <w:highlight w:val="none"/>
                <w:lang w:val="en-US" w:eastAsia="zh-CN"/>
              </w:rPr>
              <w:t>1683.00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，工程产生弃</w:t>
            </w:r>
            <w:r>
              <w:rPr>
                <w:rFonts w:hint="default" w:ascii="Times New Roman" w:hAnsi="Times New Roman" w:cs="Times New Roman"/>
                <w:color w:val="auto"/>
                <w:sz w:val="24"/>
                <w:szCs w:val="24"/>
                <w:highlight w:val="none"/>
                <w:lang w:val="en-US" w:eastAsia="zh-CN"/>
              </w:rPr>
              <w:t>方</w:t>
            </w:r>
            <w:r>
              <w:rPr>
                <w:rFonts w:hint="eastAsia" w:cs="Times New Roman"/>
                <w:color w:val="auto"/>
                <w:sz w:val="24"/>
                <w:szCs w:val="24"/>
                <w:highlight w:val="none"/>
                <w:lang w:val="en-US" w:eastAsia="zh-CN"/>
              </w:rPr>
              <w:t>46517.19</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其中土方余方</w:t>
            </w:r>
            <w:r>
              <w:rPr>
                <w:rFonts w:hint="eastAsia" w:cs="Times New Roman"/>
                <w:color w:val="auto"/>
                <w:sz w:val="24"/>
                <w:szCs w:val="24"/>
                <w:highlight w:val="none"/>
                <w:lang w:val="en-US" w:eastAsia="zh-CN"/>
              </w:rPr>
              <w:t>38457.99</w:t>
            </w:r>
            <w:r>
              <w:rPr>
                <w:rFonts w:hint="default" w:ascii="Times New Roman" w:hAnsi="Times New Roman" w:cs="Times New Roman"/>
                <w:color w:val="auto"/>
                <w:sz w:val="24"/>
                <w:szCs w:val="24"/>
                <w:highlight w:val="none"/>
                <w:lang w:val="en-US" w:eastAsia="zh-CN"/>
              </w:rPr>
              <w:t xml:space="preserve"> 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就近填塘；表土</w:t>
            </w:r>
            <w:r>
              <w:rPr>
                <w:rFonts w:hint="eastAsia" w:cs="Times New Roman"/>
                <w:color w:val="auto"/>
                <w:sz w:val="24"/>
                <w:szCs w:val="24"/>
                <w:highlight w:val="none"/>
                <w:lang w:val="en-US" w:eastAsia="zh-CN"/>
              </w:rPr>
              <w:t>8059.20</w:t>
            </w:r>
            <w:r>
              <w:rPr>
                <w:rFonts w:hint="default" w:ascii="Times New Roman" w:hAnsi="Times New Roman" w:cs="Times New Roman"/>
                <w:color w:val="auto"/>
                <w:sz w:val="24"/>
                <w:szCs w:val="24"/>
                <w:highlight w:val="none"/>
                <w:lang w:val="en-US" w:eastAsia="zh-CN"/>
              </w:rPr>
              <w:t xml:space="preserve"> 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临时堆存在表土暂存场，</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w:t>
            </w:r>
          </w:p>
          <w:p w14:paraId="6DB9986F">
            <w:pPr>
              <w:pStyle w:val="8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临时工程表土暂存</w:t>
            </w:r>
            <w:r>
              <w:rPr>
                <w:rFonts w:hint="eastAsia" w:cs="Times New Roman"/>
                <w:color w:val="auto"/>
                <w:sz w:val="24"/>
                <w:szCs w:val="24"/>
                <w:highlight w:val="none"/>
                <w:lang w:val="en-US" w:eastAsia="zh-CN"/>
              </w:rPr>
              <w:t>1500</w:t>
            </w:r>
            <w:r>
              <w:rPr>
                <w:rFonts w:hint="default" w:ascii="Times New Roman" w:hAnsi="Times New Roman" w:cs="Times New Roman"/>
                <w:color w:val="auto"/>
                <w:sz w:val="24"/>
                <w:szCs w:val="24"/>
                <w:highlight w:val="none"/>
                <w:lang w:val="en-US" w:eastAsia="zh-CN"/>
              </w:rPr>
              <w:t xml:space="preserve"> 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临时工程占地范围内，施工结束后用于临时占地生态修复。</w:t>
            </w:r>
          </w:p>
          <w:p w14:paraId="39832DB2">
            <w:pPr>
              <w:pStyle w:val="84"/>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三</w:t>
            </w:r>
            <w:r>
              <w:rPr>
                <w:rFonts w:hint="default" w:ascii="Times New Roman" w:hAnsi="Times New Roman" w:eastAsia="宋体" w:cs="Times New Roman"/>
                <w:b/>
                <w:bCs/>
                <w:color w:val="auto"/>
                <w:kern w:val="2"/>
                <w:sz w:val="24"/>
                <w:szCs w:val="24"/>
                <w:highlight w:val="none"/>
                <w:lang w:val="en-US" w:eastAsia="zh-CN" w:bidi="ar-SA"/>
              </w:rPr>
              <w:t>、表土平衡及确定依据</w:t>
            </w:r>
          </w:p>
          <w:p w14:paraId="25F5C55D">
            <w:pPr>
              <w:pStyle w:val="8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1、表土平衡</w:t>
            </w:r>
          </w:p>
          <w:p w14:paraId="779A4AC9">
            <w:pPr>
              <w:pStyle w:val="8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本次防洪除涝工程表土平衡以</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保护优质表土、合理利用资源、减少生态扰动</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为核心原则，全面梳理工程建设过程中表土的剥离、利用及处置全流程，明确表土剥离量、可利用量、利用去向、处置量，确保表土总量平衡、去向清晰、利用合理，避免表土浪费和生态破坏。</w:t>
            </w:r>
          </w:p>
          <w:p w14:paraId="3A1ACE01">
            <w:pPr>
              <w:pStyle w:val="8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表土平衡核心公式</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表土剥离总量 = 表土可利用总量 + 表土合理处置总量（无废弃表土，处置均为合规利用或临时储存周转）表土平衡表见下表</w:t>
            </w:r>
            <w:r>
              <w:rPr>
                <w:rFonts w:hint="default" w:ascii="Times New Roman" w:hAnsi="Times New Roman" w:cs="Times New Roman"/>
                <w:color w:val="auto"/>
                <w:kern w:val="2"/>
                <w:sz w:val="24"/>
                <w:szCs w:val="24"/>
                <w:highlight w:val="none"/>
                <w:lang w:val="en-US" w:eastAsia="zh-CN" w:bidi="ar-SA"/>
              </w:rPr>
              <w:t>:</w:t>
            </w:r>
          </w:p>
          <w:p w14:paraId="70619788">
            <w:pPr>
              <w:pStyle w:val="118"/>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color w:val="auto"/>
                <w:kern w:val="2"/>
                <w:sz w:val="24"/>
                <w:szCs w:val="24"/>
                <w:highlight w:val="none"/>
                <w:lang w:val="en-US" w:eastAsia="zh-CN" w:bidi="ar-SA"/>
              </w:rPr>
            </w:pPr>
            <w:r>
              <w:rPr>
                <w:rFonts w:hint="default" w:ascii="Times New Roman" w:hAnsi="Times New Roman" w:eastAsia="宋体" w:cs="Times New Roman"/>
                <w:b/>
                <w:color w:val="auto"/>
                <w:kern w:val="2"/>
                <w:sz w:val="24"/>
                <w:szCs w:val="24"/>
                <w:highlight w:val="none"/>
                <w:lang w:val="zh-CN" w:eastAsia="zh-CN" w:bidi="ar-SA"/>
              </w:rPr>
              <w:t xml:space="preserve"> </w:t>
            </w:r>
            <w:r>
              <w:rPr>
                <w:rFonts w:hint="default" w:ascii="Times New Roman" w:hAnsi="Times New Roman" w:eastAsia="宋体" w:cs="Times New Roman"/>
                <w:b/>
                <w:color w:val="auto"/>
                <w:kern w:val="2"/>
                <w:sz w:val="21"/>
                <w:szCs w:val="21"/>
                <w:highlight w:val="none"/>
                <w:lang w:val="zh-CN"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表2—</w:t>
            </w:r>
            <w:r>
              <w:rPr>
                <w:rFonts w:hint="eastAsia" w:eastAsia="宋体" w:cs="Times New Roman"/>
                <w:b/>
                <w:color w:val="auto"/>
                <w:kern w:val="2"/>
                <w:sz w:val="21"/>
                <w:szCs w:val="21"/>
                <w:highlight w:val="none"/>
                <w:lang w:val="en-US" w:eastAsia="zh-CN" w:bidi="ar-SA"/>
              </w:rPr>
              <w:t>7</w:t>
            </w:r>
            <w:r>
              <w:rPr>
                <w:rFonts w:hint="default" w:ascii="Times New Roman" w:hAnsi="Times New Roman" w:eastAsia="宋体" w:cs="Times New Roman"/>
                <w:b/>
                <w:color w:val="auto"/>
                <w:kern w:val="2"/>
                <w:sz w:val="21"/>
                <w:szCs w:val="21"/>
                <w:highlight w:val="none"/>
                <w:lang w:val="en-US" w:eastAsia="zh-CN" w:bidi="ar-SA"/>
              </w:rPr>
              <w:t xml:space="preserve">  本项目表土平衡表    </w:t>
            </w:r>
            <w:r>
              <w:rPr>
                <w:rFonts w:hint="default" w:ascii="Times New Roman" w:hAnsi="Times New Roman" w:cs="Times New Roman"/>
                <w:b/>
                <w:color w:val="auto"/>
                <w:sz w:val="21"/>
                <w:szCs w:val="21"/>
                <w:highlight w:val="none"/>
                <w:lang w:val="zh-CN"/>
              </w:rPr>
              <w:t xml:space="preserve"> 单位:m</w:t>
            </w:r>
            <w:r>
              <w:rPr>
                <w:rFonts w:hint="default" w:ascii="Times New Roman" w:hAnsi="Times New Roman" w:cs="Times New Roman"/>
                <w:b/>
                <w:color w:val="auto"/>
                <w:sz w:val="21"/>
                <w:szCs w:val="21"/>
                <w:highlight w:val="none"/>
                <w:vertAlign w:val="superscript"/>
                <w:lang w:val="zh-CN"/>
              </w:rPr>
              <w:t>3</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52"/>
              <w:gridCol w:w="1065"/>
              <w:gridCol w:w="1012"/>
              <w:gridCol w:w="760"/>
              <w:gridCol w:w="1064"/>
              <w:gridCol w:w="2669"/>
            </w:tblGrid>
            <w:tr w14:paraId="2D7D1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4" w:type="pct"/>
                  <w:gridSpan w:val="2"/>
                  <w:vMerge w:val="restart"/>
                  <w:tcBorders>
                    <w:tl2br w:val="nil"/>
                    <w:tr2bl w:val="nil"/>
                  </w:tcBorders>
                  <w:noWrap/>
                  <w:vAlign w:val="center"/>
                </w:tcPr>
                <w:p w14:paraId="407AAB24">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cs="Times New Roman"/>
                      <w:color w:val="auto"/>
                      <w:sz w:val="21"/>
                      <w:szCs w:val="21"/>
                      <w:highlight w:val="none"/>
                    </w:rPr>
                    <w:t>工程名称</w:t>
                  </w:r>
                </w:p>
              </w:tc>
              <w:tc>
                <w:tcPr>
                  <w:tcW w:w="567" w:type="pct"/>
                  <w:vMerge w:val="restart"/>
                  <w:tcBorders>
                    <w:tl2br w:val="nil"/>
                    <w:tr2bl w:val="nil"/>
                  </w:tcBorders>
                  <w:noWrap/>
                  <w:vAlign w:val="center"/>
                </w:tcPr>
                <w:p w14:paraId="26013C8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挖方</w:t>
                  </w:r>
                </w:p>
              </w:tc>
              <w:tc>
                <w:tcPr>
                  <w:tcW w:w="425" w:type="pct"/>
                  <w:vMerge w:val="restart"/>
                  <w:tcBorders>
                    <w:tl2br w:val="nil"/>
                    <w:tr2bl w:val="nil"/>
                  </w:tcBorders>
                  <w:noWrap/>
                  <w:vAlign w:val="center"/>
                </w:tcPr>
                <w:p w14:paraId="236BD271">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填方</w:t>
                  </w:r>
                </w:p>
              </w:tc>
              <w:tc>
                <w:tcPr>
                  <w:tcW w:w="2092" w:type="pct"/>
                  <w:gridSpan w:val="2"/>
                  <w:tcBorders>
                    <w:tl2br w:val="nil"/>
                    <w:tr2bl w:val="nil"/>
                  </w:tcBorders>
                  <w:noWrap/>
                  <w:vAlign w:val="center"/>
                </w:tcPr>
                <w:p w14:paraId="5FC6C7CF">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弃方</w:t>
                  </w:r>
                </w:p>
              </w:tc>
            </w:tr>
            <w:tr w14:paraId="22DC9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4" w:type="pct"/>
                  <w:gridSpan w:val="2"/>
                  <w:vMerge w:val="continue"/>
                  <w:tcBorders>
                    <w:tl2br w:val="nil"/>
                    <w:tr2bl w:val="nil"/>
                  </w:tcBorders>
                  <w:noWrap w:val="0"/>
                  <w:vAlign w:val="center"/>
                </w:tcPr>
                <w:p w14:paraId="4ABE253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567" w:type="pct"/>
                  <w:vMerge w:val="continue"/>
                  <w:tcBorders>
                    <w:tl2br w:val="nil"/>
                    <w:tr2bl w:val="nil"/>
                  </w:tcBorders>
                  <w:noWrap w:val="0"/>
                  <w:vAlign w:val="center"/>
                </w:tcPr>
                <w:p w14:paraId="0580F6C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425" w:type="pct"/>
                  <w:vMerge w:val="continue"/>
                  <w:tcBorders>
                    <w:tl2br w:val="nil"/>
                    <w:tr2bl w:val="nil"/>
                  </w:tcBorders>
                  <w:noWrap w:val="0"/>
                  <w:vAlign w:val="center"/>
                </w:tcPr>
                <w:p w14:paraId="75B0DC3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c>
                <w:tcPr>
                  <w:tcW w:w="596" w:type="pct"/>
                  <w:tcBorders>
                    <w:tl2br w:val="nil"/>
                    <w:tr2bl w:val="nil"/>
                  </w:tcBorders>
                  <w:noWrap w:val="0"/>
                  <w:vAlign w:val="center"/>
                </w:tcPr>
                <w:p w14:paraId="2DBDA9D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数量</w:t>
                  </w:r>
                </w:p>
              </w:tc>
              <w:tc>
                <w:tcPr>
                  <w:tcW w:w="1495" w:type="pct"/>
                  <w:tcBorders>
                    <w:tl2br w:val="nil"/>
                    <w:tr2bl w:val="nil"/>
                  </w:tcBorders>
                  <w:noWrap w:val="0"/>
                  <w:vAlign w:val="center"/>
                </w:tcPr>
                <w:p w14:paraId="46FA5A71">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去向</w:t>
                  </w:r>
                </w:p>
              </w:tc>
            </w:tr>
            <w:tr w14:paraId="499BF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8" w:type="pct"/>
                  <w:tcBorders>
                    <w:tl2br w:val="nil"/>
                    <w:tr2bl w:val="nil"/>
                  </w:tcBorders>
                  <w:noWrap w:val="0"/>
                  <w:vAlign w:val="center"/>
                </w:tcPr>
                <w:p w14:paraId="02D13D58">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eastAsia" w:eastAsia="永中宋体" w:cs="Times New Roman"/>
                      <w:color w:val="auto"/>
                      <w:sz w:val="21"/>
                      <w:szCs w:val="21"/>
                      <w:highlight w:val="none"/>
                      <w:lang w:val="en-US" w:eastAsia="zh-CN"/>
                    </w:rPr>
                    <w:t>主体</w:t>
                  </w:r>
                  <w:r>
                    <w:rPr>
                      <w:rFonts w:hint="default" w:ascii="Times New Roman" w:hAnsi="Times New Roman" w:eastAsia="永中宋体" w:cs="Times New Roman"/>
                      <w:color w:val="auto"/>
                      <w:sz w:val="21"/>
                      <w:szCs w:val="21"/>
                      <w:highlight w:val="none"/>
                    </w:rPr>
                    <w:t>工程</w:t>
                  </w:r>
                </w:p>
              </w:tc>
              <w:tc>
                <w:tcPr>
                  <w:tcW w:w="596" w:type="pct"/>
                  <w:tcBorders>
                    <w:tl2br w:val="nil"/>
                    <w:tr2bl w:val="nil"/>
                  </w:tcBorders>
                  <w:noWrap/>
                  <w:vAlign w:val="center"/>
                </w:tcPr>
                <w:p w14:paraId="08F427AC">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表土</w:t>
                  </w:r>
                </w:p>
              </w:tc>
              <w:tc>
                <w:tcPr>
                  <w:tcW w:w="567" w:type="pct"/>
                  <w:tcBorders>
                    <w:tl2br w:val="nil"/>
                    <w:tr2bl w:val="nil"/>
                  </w:tcBorders>
                  <w:noWrap/>
                  <w:vAlign w:val="center"/>
                </w:tcPr>
                <w:p w14:paraId="440EFC49">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eastAsia" w:eastAsia="永中宋体" w:cs="Times New Roman"/>
                      <w:color w:val="auto"/>
                      <w:sz w:val="21"/>
                      <w:szCs w:val="21"/>
                      <w:highlight w:val="none"/>
                      <w:lang w:val="en-US" w:eastAsia="zh-CN"/>
                    </w:rPr>
                    <w:t>8059.20</w:t>
                  </w:r>
                </w:p>
              </w:tc>
              <w:tc>
                <w:tcPr>
                  <w:tcW w:w="425" w:type="pct"/>
                  <w:tcBorders>
                    <w:tl2br w:val="nil"/>
                    <w:tr2bl w:val="nil"/>
                  </w:tcBorders>
                  <w:noWrap/>
                  <w:vAlign w:val="center"/>
                </w:tcPr>
                <w:p w14:paraId="7A10ABC4">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1D36F8EC">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kern w:val="2"/>
                      <w:sz w:val="21"/>
                      <w:szCs w:val="21"/>
                      <w:highlight w:val="none"/>
                      <w:lang w:val="en-US" w:eastAsia="zh-CN" w:bidi="ar-SA"/>
                    </w:rPr>
                    <w:t>8059.20</w:t>
                  </w:r>
                </w:p>
              </w:tc>
              <w:tc>
                <w:tcPr>
                  <w:tcW w:w="1495" w:type="pct"/>
                  <w:tcBorders>
                    <w:tl2br w:val="nil"/>
                    <w:tr2bl w:val="nil"/>
                  </w:tcBorders>
                  <w:noWrap/>
                  <w:vAlign w:val="center"/>
                </w:tcPr>
                <w:p w14:paraId="1303948F">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tc>
            </w:tr>
            <w:tr w14:paraId="2B2B2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8" w:type="pct"/>
                  <w:tcBorders>
                    <w:tl2br w:val="nil"/>
                    <w:tr2bl w:val="nil"/>
                  </w:tcBorders>
                  <w:shd w:val="clear" w:color="auto" w:fill="auto"/>
                  <w:noWrap w:val="0"/>
                  <w:vAlign w:val="center"/>
                </w:tcPr>
                <w:p w14:paraId="73F12ABC">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施工生产生活区</w:t>
                  </w:r>
                </w:p>
              </w:tc>
              <w:tc>
                <w:tcPr>
                  <w:tcW w:w="596" w:type="pct"/>
                  <w:tcBorders>
                    <w:tl2br w:val="nil"/>
                    <w:tr2bl w:val="nil"/>
                  </w:tcBorders>
                  <w:shd w:val="clear" w:color="auto" w:fill="auto"/>
                  <w:noWrap/>
                  <w:vAlign w:val="center"/>
                </w:tcPr>
                <w:p w14:paraId="46CA973B">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rPr>
                    <w:t>表土</w:t>
                  </w:r>
                </w:p>
              </w:tc>
              <w:tc>
                <w:tcPr>
                  <w:tcW w:w="567" w:type="pct"/>
                  <w:tcBorders>
                    <w:tl2br w:val="nil"/>
                    <w:tr2bl w:val="nil"/>
                  </w:tcBorders>
                  <w:shd w:val="clear" w:color="auto" w:fill="auto"/>
                  <w:noWrap/>
                  <w:vAlign w:val="center"/>
                </w:tcPr>
                <w:p w14:paraId="5E33A879">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100</w:t>
                  </w:r>
                </w:p>
              </w:tc>
              <w:tc>
                <w:tcPr>
                  <w:tcW w:w="425" w:type="pct"/>
                  <w:tcBorders>
                    <w:tl2br w:val="nil"/>
                    <w:tr2bl w:val="nil"/>
                  </w:tcBorders>
                  <w:shd w:val="clear" w:color="auto" w:fill="auto"/>
                  <w:noWrap/>
                  <w:vAlign w:val="center"/>
                </w:tcPr>
                <w:p w14:paraId="12151E39">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100</w:t>
                  </w:r>
                </w:p>
              </w:tc>
              <w:tc>
                <w:tcPr>
                  <w:tcW w:w="596" w:type="pct"/>
                  <w:tcBorders>
                    <w:tl2br w:val="nil"/>
                    <w:tr2bl w:val="nil"/>
                  </w:tcBorders>
                  <w:noWrap/>
                  <w:vAlign w:val="center"/>
                </w:tcPr>
                <w:p w14:paraId="09A17252">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kern w:val="2"/>
                      <w:sz w:val="21"/>
                      <w:szCs w:val="21"/>
                      <w:highlight w:val="none"/>
                      <w:lang w:val="en-US" w:eastAsia="zh-CN" w:bidi="ar-SA"/>
                    </w:rPr>
                    <w:t>0</w:t>
                  </w:r>
                </w:p>
              </w:tc>
              <w:tc>
                <w:tcPr>
                  <w:tcW w:w="1495" w:type="pct"/>
                  <w:vMerge w:val="restart"/>
                  <w:tcBorders>
                    <w:tl2br w:val="nil"/>
                    <w:tr2bl w:val="nil"/>
                  </w:tcBorders>
                  <w:noWrap/>
                  <w:vAlign w:val="center"/>
                </w:tcPr>
                <w:p w14:paraId="6F0E6529">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原址回覆，用于生态修复</w:t>
                  </w:r>
                </w:p>
              </w:tc>
            </w:tr>
            <w:tr w14:paraId="4D6E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8" w:type="pct"/>
                  <w:tcBorders>
                    <w:tl2br w:val="nil"/>
                    <w:tr2bl w:val="nil"/>
                  </w:tcBorders>
                  <w:shd w:val="clear" w:color="auto" w:fill="auto"/>
                  <w:noWrap w:val="0"/>
                  <w:vAlign w:val="center"/>
                </w:tcPr>
                <w:p w14:paraId="4A0DD73E">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临时施工道路区</w:t>
                  </w:r>
                </w:p>
              </w:tc>
              <w:tc>
                <w:tcPr>
                  <w:tcW w:w="596" w:type="pct"/>
                  <w:tcBorders>
                    <w:tl2br w:val="nil"/>
                    <w:tr2bl w:val="nil"/>
                  </w:tcBorders>
                  <w:shd w:val="clear" w:color="auto" w:fill="auto"/>
                  <w:noWrap/>
                  <w:vAlign w:val="center"/>
                </w:tcPr>
                <w:p w14:paraId="7E9D9DDC">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rPr>
                    <w:t>表土</w:t>
                  </w:r>
                </w:p>
              </w:tc>
              <w:tc>
                <w:tcPr>
                  <w:tcW w:w="567" w:type="pct"/>
                  <w:tcBorders>
                    <w:tl2br w:val="nil"/>
                    <w:tr2bl w:val="nil"/>
                  </w:tcBorders>
                  <w:shd w:val="clear" w:color="auto" w:fill="auto"/>
                  <w:noWrap/>
                  <w:vAlign w:val="center"/>
                </w:tcPr>
                <w:p w14:paraId="3095FECA">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800</w:t>
                  </w:r>
                </w:p>
              </w:tc>
              <w:tc>
                <w:tcPr>
                  <w:tcW w:w="425" w:type="pct"/>
                  <w:tcBorders>
                    <w:tl2br w:val="nil"/>
                    <w:tr2bl w:val="nil"/>
                  </w:tcBorders>
                  <w:shd w:val="clear" w:color="auto" w:fill="auto"/>
                  <w:noWrap/>
                  <w:vAlign w:val="center"/>
                </w:tcPr>
                <w:p w14:paraId="77DC00E6">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800</w:t>
                  </w:r>
                </w:p>
              </w:tc>
              <w:tc>
                <w:tcPr>
                  <w:tcW w:w="596" w:type="pct"/>
                  <w:tcBorders>
                    <w:tl2br w:val="nil"/>
                    <w:tr2bl w:val="nil"/>
                  </w:tcBorders>
                  <w:noWrap/>
                  <w:vAlign w:val="center"/>
                </w:tcPr>
                <w:p w14:paraId="4715756E">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kern w:val="2"/>
                      <w:sz w:val="21"/>
                      <w:szCs w:val="21"/>
                      <w:highlight w:val="none"/>
                      <w:lang w:val="en-US" w:eastAsia="zh-CN" w:bidi="ar-SA"/>
                    </w:rPr>
                    <w:t>0</w:t>
                  </w:r>
                </w:p>
              </w:tc>
              <w:tc>
                <w:tcPr>
                  <w:tcW w:w="1495" w:type="pct"/>
                  <w:vMerge w:val="continue"/>
                  <w:tcBorders>
                    <w:tl2br w:val="nil"/>
                    <w:tr2bl w:val="nil"/>
                  </w:tcBorders>
                  <w:noWrap/>
                  <w:vAlign w:val="center"/>
                </w:tcPr>
                <w:p w14:paraId="17D7B755">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34B9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8" w:type="pct"/>
                  <w:tcBorders>
                    <w:tl2br w:val="nil"/>
                    <w:tr2bl w:val="nil"/>
                  </w:tcBorders>
                  <w:shd w:val="clear" w:color="auto" w:fill="auto"/>
                  <w:noWrap w:val="0"/>
                  <w:vAlign w:val="center"/>
                </w:tcPr>
                <w:p w14:paraId="146645F1">
                  <w:pPr>
                    <w:widowControl/>
                    <w:shd w:val="clear" w:color="auto" w:fill="auto"/>
                    <w:tabs>
                      <w:tab w:val="left" w:pos="1996"/>
                    </w:tabs>
                    <w:snapToGrid/>
                    <w:spacing w:line="240" w:lineRule="auto"/>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rPr>
                    <w:t>临时</w:t>
                  </w:r>
                  <w:r>
                    <w:rPr>
                      <w:rFonts w:hint="eastAsia" w:cs="Times New Roman"/>
                      <w:kern w:val="0"/>
                      <w:sz w:val="21"/>
                      <w:szCs w:val="21"/>
                      <w:highlight w:val="none"/>
                      <w:lang w:val="en-US" w:eastAsia="zh-CN"/>
                    </w:rPr>
                    <w:t>材料堆放场</w:t>
                  </w:r>
                </w:p>
              </w:tc>
              <w:tc>
                <w:tcPr>
                  <w:tcW w:w="596" w:type="pct"/>
                  <w:tcBorders>
                    <w:tl2br w:val="nil"/>
                    <w:tr2bl w:val="nil"/>
                  </w:tcBorders>
                  <w:shd w:val="clear" w:color="auto" w:fill="auto"/>
                  <w:noWrap/>
                  <w:vAlign w:val="center"/>
                </w:tcPr>
                <w:p w14:paraId="6B0DD91D">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default" w:ascii="Times New Roman" w:hAnsi="Times New Roman" w:eastAsia="永中宋体" w:cs="Times New Roman"/>
                      <w:color w:val="auto"/>
                      <w:sz w:val="21"/>
                      <w:szCs w:val="21"/>
                      <w:highlight w:val="none"/>
                    </w:rPr>
                    <w:t>表土</w:t>
                  </w:r>
                </w:p>
              </w:tc>
              <w:tc>
                <w:tcPr>
                  <w:tcW w:w="567" w:type="pct"/>
                  <w:tcBorders>
                    <w:tl2br w:val="nil"/>
                    <w:tr2bl w:val="nil"/>
                  </w:tcBorders>
                  <w:shd w:val="clear" w:color="auto" w:fill="auto"/>
                  <w:noWrap/>
                  <w:vAlign w:val="center"/>
                </w:tcPr>
                <w:p w14:paraId="56CEC06A">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600</w:t>
                  </w:r>
                </w:p>
              </w:tc>
              <w:tc>
                <w:tcPr>
                  <w:tcW w:w="425" w:type="pct"/>
                  <w:tcBorders>
                    <w:tl2br w:val="nil"/>
                    <w:tr2bl w:val="nil"/>
                  </w:tcBorders>
                  <w:shd w:val="clear" w:color="auto" w:fill="auto"/>
                  <w:noWrap/>
                  <w:vAlign w:val="center"/>
                </w:tcPr>
                <w:p w14:paraId="650087D4">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sz w:val="21"/>
                      <w:szCs w:val="21"/>
                      <w:highlight w:val="none"/>
                      <w:lang w:val="en-US" w:eastAsia="zh-CN"/>
                    </w:rPr>
                    <w:t>600</w:t>
                  </w:r>
                </w:p>
              </w:tc>
              <w:tc>
                <w:tcPr>
                  <w:tcW w:w="596" w:type="pct"/>
                  <w:tcBorders>
                    <w:tl2br w:val="nil"/>
                    <w:tr2bl w:val="nil"/>
                  </w:tcBorders>
                  <w:noWrap/>
                  <w:vAlign w:val="center"/>
                </w:tcPr>
                <w:p w14:paraId="67416A37">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r>
                    <w:rPr>
                      <w:rFonts w:hint="eastAsia" w:eastAsia="永中宋体" w:cs="Times New Roman"/>
                      <w:color w:val="auto"/>
                      <w:kern w:val="2"/>
                      <w:sz w:val="21"/>
                      <w:szCs w:val="21"/>
                      <w:highlight w:val="none"/>
                      <w:lang w:val="en-US" w:eastAsia="zh-CN" w:bidi="ar-SA"/>
                    </w:rPr>
                    <w:t>0</w:t>
                  </w:r>
                </w:p>
              </w:tc>
              <w:tc>
                <w:tcPr>
                  <w:tcW w:w="1495" w:type="pct"/>
                  <w:vMerge w:val="continue"/>
                  <w:tcBorders>
                    <w:tl2br w:val="nil"/>
                    <w:tr2bl w:val="nil"/>
                  </w:tcBorders>
                  <w:noWrap/>
                  <w:vAlign w:val="center"/>
                </w:tcPr>
                <w:p w14:paraId="45F7F55E">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p>
              </w:tc>
            </w:tr>
            <w:tr w14:paraId="4A581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4" w:type="pct"/>
                  <w:gridSpan w:val="2"/>
                  <w:tcBorders>
                    <w:tl2br w:val="nil"/>
                    <w:tr2bl w:val="nil"/>
                  </w:tcBorders>
                  <w:noWrap w:val="0"/>
                  <w:vAlign w:val="center"/>
                </w:tcPr>
                <w:p w14:paraId="6BE0EC80">
                  <w:pPr>
                    <w:widowControl/>
                    <w:spacing w:line="0" w:lineRule="atLeast"/>
                    <w:ind w:firstLine="0" w:firstLineChars="0"/>
                    <w:jc w:val="center"/>
                    <w:rPr>
                      <w:rFonts w:hint="default" w:ascii="Times New Roman" w:hAnsi="Times New Roman" w:eastAsia="永中宋体" w:cs="Times New Roman"/>
                      <w:color w:val="auto"/>
                      <w:sz w:val="21"/>
                      <w:szCs w:val="21"/>
                      <w:highlight w:val="none"/>
                    </w:rPr>
                  </w:pPr>
                  <w:r>
                    <w:rPr>
                      <w:rFonts w:hint="default" w:ascii="Times New Roman" w:hAnsi="Times New Roman" w:eastAsia="永中宋体" w:cs="Times New Roman"/>
                      <w:color w:val="auto"/>
                      <w:sz w:val="21"/>
                      <w:szCs w:val="21"/>
                      <w:highlight w:val="none"/>
                    </w:rPr>
                    <w:t>合计</w:t>
                  </w:r>
                </w:p>
              </w:tc>
              <w:tc>
                <w:tcPr>
                  <w:tcW w:w="567" w:type="pct"/>
                  <w:tcBorders>
                    <w:tl2br w:val="nil"/>
                    <w:tr2bl w:val="nil"/>
                  </w:tcBorders>
                  <w:noWrap/>
                  <w:vAlign w:val="center"/>
                </w:tcPr>
                <w:p w14:paraId="21EF146A">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eastAsia" w:eastAsia="永中宋体" w:cs="Times New Roman"/>
                      <w:color w:val="auto"/>
                      <w:sz w:val="21"/>
                      <w:szCs w:val="21"/>
                      <w:highlight w:val="none"/>
                      <w:lang w:val="en-US" w:eastAsia="zh-CN"/>
                    </w:rPr>
                    <w:t>9559.20</w:t>
                  </w:r>
                </w:p>
              </w:tc>
              <w:tc>
                <w:tcPr>
                  <w:tcW w:w="425" w:type="pct"/>
                  <w:tcBorders>
                    <w:tl2br w:val="nil"/>
                    <w:tr2bl w:val="nil"/>
                  </w:tcBorders>
                  <w:noWrap/>
                  <w:vAlign w:val="center"/>
                </w:tcPr>
                <w:p w14:paraId="41E98E24">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default" w:ascii="Times New Roman" w:hAnsi="Times New Roman" w:eastAsia="永中宋体" w:cs="Times New Roman"/>
                      <w:color w:val="auto"/>
                      <w:sz w:val="21"/>
                      <w:szCs w:val="21"/>
                      <w:highlight w:val="none"/>
                      <w:lang w:val="en-US" w:eastAsia="zh-CN"/>
                    </w:rPr>
                    <w:t>0</w:t>
                  </w:r>
                </w:p>
              </w:tc>
              <w:tc>
                <w:tcPr>
                  <w:tcW w:w="596" w:type="pct"/>
                  <w:tcBorders>
                    <w:tl2br w:val="nil"/>
                    <w:tr2bl w:val="nil"/>
                  </w:tcBorders>
                  <w:noWrap/>
                  <w:vAlign w:val="center"/>
                </w:tcPr>
                <w:p w14:paraId="0B28AEDF">
                  <w:pPr>
                    <w:widowControl/>
                    <w:spacing w:line="0" w:lineRule="atLeast"/>
                    <w:ind w:firstLine="0" w:firstLineChars="0"/>
                    <w:jc w:val="center"/>
                    <w:rPr>
                      <w:rFonts w:hint="default" w:ascii="Times New Roman" w:hAnsi="Times New Roman" w:eastAsia="永中宋体" w:cs="Times New Roman"/>
                      <w:color w:val="auto"/>
                      <w:sz w:val="21"/>
                      <w:szCs w:val="21"/>
                      <w:highlight w:val="none"/>
                      <w:lang w:val="en-US" w:eastAsia="zh-CN"/>
                    </w:rPr>
                  </w:pPr>
                  <w:r>
                    <w:rPr>
                      <w:rFonts w:hint="eastAsia" w:eastAsia="永中宋体" w:cs="Times New Roman"/>
                      <w:color w:val="auto"/>
                      <w:sz w:val="21"/>
                      <w:szCs w:val="21"/>
                      <w:highlight w:val="none"/>
                      <w:lang w:val="en-US" w:eastAsia="zh-CN"/>
                    </w:rPr>
                    <w:t>8059.20</w:t>
                  </w:r>
                </w:p>
              </w:tc>
              <w:tc>
                <w:tcPr>
                  <w:tcW w:w="1495" w:type="pct"/>
                  <w:tcBorders>
                    <w:tl2br w:val="nil"/>
                    <w:tr2bl w:val="nil"/>
                  </w:tcBorders>
                  <w:noWrap/>
                  <w:vAlign w:val="center"/>
                </w:tcPr>
                <w:p w14:paraId="5C5CE9AE">
                  <w:pPr>
                    <w:widowControl/>
                    <w:spacing w:line="0" w:lineRule="atLeast"/>
                    <w:ind w:firstLine="0" w:firstLineChars="0"/>
                    <w:jc w:val="center"/>
                    <w:rPr>
                      <w:rFonts w:hint="default" w:ascii="Times New Roman" w:hAnsi="Times New Roman" w:eastAsia="永中宋体" w:cs="Times New Roman"/>
                      <w:color w:val="auto"/>
                      <w:kern w:val="2"/>
                      <w:sz w:val="21"/>
                      <w:szCs w:val="21"/>
                      <w:highlight w:val="none"/>
                      <w:lang w:val="en-US" w:eastAsia="zh-CN" w:bidi="ar-SA"/>
                    </w:rPr>
                  </w:pPr>
                </w:p>
              </w:tc>
            </w:tr>
          </w:tbl>
          <w:p w14:paraId="6C4585C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综上可知，本项目表土平衡。</w:t>
            </w:r>
          </w:p>
          <w:p w14:paraId="29AB6A85">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2、表土量确定依据</w:t>
            </w:r>
          </w:p>
          <w:p w14:paraId="65F8BC56">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庆安县格木克河改道项目</w:t>
            </w:r>
            <w:r>
              <w:rPr>
                <w:rFonts w:hint="default" w:ascii="Times New Roman" w:hAnsi="Times New Roman" w:eastAsia="宋体" w:cs="Times New Roman"/>
                <w:color w:val="auto"/>
                <w:kern w:val="2"/>
                <w:sz w:val="24"/>
                <w:szCs w:val="24"/>
                <w:highlight w:val="none"/>
                <w:lang w:val="en-US" w:eastAsia="zh-CN" w:bidi="ar-SA"/>
              </w:rPr>
              <w:t>初步设计报告》确定本项目表土量（剥离总量、可利用量等），设计报告中表土量确定严格遵循</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现场勘察为主、规范标准为辅、结合工程实际</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的原则。</w:t>
            </w:r>
          </w:p>
          <w:p w14:paraId="0A0C8257">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highlight w:val="none"/>
                <w:lang w:val="en-US" w:eastAsia="zh-CN"/>
              </w:rPr>
              <w:t>六、</w:t>
            </w:r>
            <w:r>
              <w:rPr>
                <w:rFonts w:hint="default" w:ascii="Times New Roman" w:hAnsi="Times New Roman" w:eastAsia="宋体" w:cs="Times New Roman"/>
                <w:color w:val="auto"/>
                <w:kern w:val="2"/>
                <w:sz w:val="24"/>
                <w:szCs w:val="24"/>
                <w:highlight w:val="none"/>
                <w:lang w:val="en-US" w:eastAsia="zh-CN" w:bidi="ar-SA"/>
              </w:rPr>
              <w:t>施工进度</w:t>
            </w:r>
          </w:p>
          <w:p w14:paraId="05BAA24C">
            <w:pPr>
              <w:pStyle w:val="84"/>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highlight w:val="yellow"/>
                <w:lang w:val="en-US" w:eastAsia="zh-CN" w:bidi="ar-SA"/>
              </w:rPr>
              <w:t>本工程的特点是线性施工，工程量相对不大，在一个枯水期施工完成</w:t>
            </w:r>
            <w:r>
              <w:rPr>
                <w:rFonts w:hint="eastAsia" w:cs="Times New Roman"/>
                <w:color w:val="auto"/>
                <w:kern w:val="2"/>
                <w:sz w:val="24"/>
                <w:szCs w:val="24"/>
                <w:highlight w:val="yellow"/>
                <w:lang w:val="en-US" w:eastAsia="zh-CN" w:bidi="ar-SA"/>
              </w:rPr>
              <w:t>，枯水期为10月至次年5月</w:t>
            </w:r>
            <w:r>
              <w:rPr>
                <w:rFonts w:hint="default" w:ascii="Times New Roman" w:hAnsi="Times New Roman" w:eastAsia="宋体" w:cs="Times New Roman"/>
                <w:color w:val="auto"/>
                <w:kern w:val="2"/>
                <w:sz w:val="24"/>
                <w:szCs w:val="24"/>
                <w:highlight w:val="yellow"/>
                <w:lang w:val="en-US" w:eastAsia="zh-CN" w:bidi="ar-SA"/>
              </w:rPr>
              <w:t>。根据本工程的特点、工程规模、水文气象条件等要求，确定本工程</w:t>
            </w:r>
            <w:r>
              <w:rPr>
                <w:rFonts w:hint="eastAsia" w:cs="Times New Roman"/>
                <w:color w:val="auto"/>
                <w:kern w:val="2"/>
                <w:sz w:val="24"/>
                <w:szCs w:val="24"/>
                <w:highlight w:val="yellow"/>
                <w:lang w:val="en-US" w:eastAsia="zh-CN" w:bidi="ar-SA"/>
              </w:rPr>
              <w:t>河道改道</w:t>
            </w:r>
            <w:r>
              <w:rPr>
                <w:rFonts w:hint="default" w:ascii="Times New Roman" w:hAnsi="Times New Roman" w:eastAsia="宋体" w:cs="Times New Roman"/>
                <w:color w:val="auto"/>
                <w:kern w:val="2"/>
                <w:sz w:val="24"/>
                <w:szCs w:val="24"/>
                <w:highlight w:val="yellow"/>
                <w:lang w:val="en-US" w:eastAsia="zh-CN" w:bidi="ar-SA"/>
              </w:rPr>
              <w:t>施工期为</w:t>
            </w:r>
            <w:r>
              <w:rPr>
                <w:rFonts w:hint="eastAsia" w:cs="Times New Roman"/>
                <w:color w:val="auto"/>
                <w:kern w:val="2"/>
                <w:sz w:val="24"/>
                <w:szCs w:val="24"/>
                <w:highlight w:val="yellow"/>
                <w:lang w:val="en-US" w:eastAsia="zh-CN" w:bidi="ar-SA"/>
              </w:rPr>
              <w:t>3</w:t>
            </w:r>
            <w:r>
              <w:rPr>
                <w:rFonts w:hint="default" w:ascii="Times New Roman" w:hAnsi="Times New Roman" w:eastAsia="宋体" w:cs="Times New Roman"/>
                <w:color w:val="auto"/>
                <w:kern w:val="2"/>
                <w:sz w:val="24"/>
                <w:szCs w:val="24"/>
                <w:highlight w:val="yellow"/>
                <w:lang w:val="en-US" w:eastAsia="zh-CN" w:bidi="ar-SA"/>
              </w:rPr>
              <w:t>个月</w:t>
            </w:r>
            <w:r>
              <w:rPr>
                <w:rFonts w:hint="eastAsia" w:cs="Times New Roman"/>
                <w:color w:val="auto"/>
                <w:kern w:val="2"/>
                <w:sz w:val="24"/>
                <w:szCs w:val="24"/>
                <w:highlight w:val="yellow"/>
                <w:lang w:val="en-US" w:eastAsia="zh-CN" w:bidi="ar-SA"/>
              </w:rPr>
              <w:t>（2026年12月至2027年2月，处于枯水期）</w:t>
            </w:r>
            <w:r>
              <w:rPr>
                <w:rFonts w:hint="default" w:ascii="Times New Roman" w:hAnsi="Times New Roman" w:cs="Times New Roman"/>
                <w:color w:val="auto"/>
                <w:kern w:val="2"/>
                <w:sz w:val="24"/>
                <w:szCs w:val="24"/>
                <w:highlight w:val="yellow"/>
                <w:lang w:val="en-US" w:eastAsia="zh-CN" w:bidi="ar-SA"/>
              </w:rPr>
              <w:t>，竣工整理</w:t>
            </w:r>
            <w:r>
              <w:rPr>
                <w:rFonts w:hint="eastAsia" w:cs="Times New Roman"/>
                <w:color w:val="auto"/>
                <w:kern w:val="2"/>
                <w:sz w:val="24"/>
                <w:szCs w:val="24"/>
                <w:highlight w:val="yellow"/>
                <w:lang w:val="en-US" w:eastAsia="zh-CN" w:bidi="ar-SA"/>
              </w:rPr>
              <w:t>1</w:t>
            </w:r>
            <w:r>
              <w:rPr>
                <w:rFonts w:hint="default" w:ascii="Times New Roman" w:hAnsi="Times New Roman" w:cs="Times New Roman"/>
                <w:color w:val="auto"/>
                <w:kern w:val="2"/>
                <w:sz w:val="24"/>
                <w:szCs w:val="24"/>
                <w:highlight w:val="yellow"/>
                <w:lang w:val="en-US" w:eastAsia="zh-CN" w:bidi="ar-SA"/>
              </w:rPr>
              <w:t>个月</w:t>
            </w:r>
            <w:r>
              <w:rPr>
                <w:rFonts w:hint="default" w:ascii="Times New Roman" w:hAnsi="Times New Roman" w:eastAsia="宋体" w:cs="Times New Roman"/>
                <w:color w:val="auto"/>
                <w:kern w:val="2"/>
                <w:sz w:val="24"/>
                <w:szCs w:val="24"/>
                <w:highlight w:val="yellow"/>
                <w:lang w:val="en-US" w:eastAsia="zh-CN" w:bidi="ar-SA"/>
              </w:rPr>
              <w:t>。既施工工期为2026年</w:t>
            </w:r>
            <w:r>
              <w:rPr>
                <w:rFonts w:hint="eastAsia" w:cs="Times New Roman"/>
                <w:color w:val="auto"/>
                <w:kern w:val="2"/>
                <w:sz w:val="24"/>
                <w:szCs w:val="24"/>
                <w:highlight w:val="yellow"/>
                <w:lang w:val="en-US" w:eastAsia="zh-CN" w:bidi="ar-SA"/>
              </w:rPr>
              <w:t>8</w:t>
            </w:r>
            <w:r>
              <w:rPr>
                <w:rFonts w:hint="default" w:ascii="Times New Roman" w:hAnsi="Times New Roman" w:eastAsia="宋体" w:cs="Times New Roman"/>
                <w:color w:val="auto"/>
                <w:kern w:val="2"/>
                <w:sz w:val="24"/>
                <w:szCs w:val="24"/>
                <w:highlight w:val="yellow"/>
                <w:lang w:val="en-US" w:eastAsia="zh-CN" w:bidi="ar-SA"/>
              </w:rPr>
              <w:t>月</w:t>
            </w:r>
            <w:r>
              <w:rPr>
                <w:rFonts w:hint="default" w:ascii="Times New Roman" w:hAnsi="Times New Roman" w:cs="Times New Roman"/>
                <w:color w:val="auto"/>
                <w:kern w:val="2"/>
                <w:sz w:val="24"/>
                <w:szCs w:val="24"/>
                <w:highlight w:val="yellow"/>
                <w:lang w:val="en-US" w:eastAsia="zh-CN" w:bidi="ar-SA"/>
              </w:rPr>
              <w:t>—</w:t>
            </w:r>
            <w:r>
              <w:rPr>
                <w:rFonts w:hint="default" w:ascii="Times New Roman" w:hAnsi="Times New Roman" w:eastAsia="宋体" w:cs="Times New Roman"/>
                <w:color w:val="auto"/>
                <w:kern w:val="2"/>
                <w:sz w:val="24"/>
                <w:szCs w:val="24"/>
                <w:highlight w:val="yellow"/>
                <w:lang w:val="en-US" w:eastAsia="zh-CN" w:bidi="ar-SA"/>
              </w:rPr>
              <w:t>202</w:t>
            </w:r>
            <w:r>
              <w:rPr>
                <w:rFonts w:hint="eastAsia" w:cs="Times New Roman"/>
                <w:color w:val="auto"/>
                <w:kern w:val="2"/>
                <w:sz w:val="24"/>
                <w:szCs w:val="24"/>
                <w:highlight w:val="yellow"/>
                <w:lang w:val="en-US" w:eastAsia="zh-CN" w:bidi="ar-SA"/>
              </w:rPr>
              <w:t>7</w:t>
            </w:r>
            <w:r>
              <w:rPr>
                <w:rFonts w:hint="default" w:ascii="Times New Roman" w:hAnsi="Times New Roman" w:eastAsia="宋体" w:cs="Times New Roman"/>
                <w:color w:val="auto"/>
                <w:kern w:val="2"/>
                <w:sz w:val="24"/>
                <w:szCs w:val="24"/>
                <w:highlight w:val="yellow"/>
                <w:lang w:val="en-US" w:eastAsia="zh-CN" w:bidi="ar-SA"/>
              </w:rPr>
              <w:t>年</w:t>
            </w:r>
            <w:r>
              <w:rPr>
                <w:rFonts w:hint="eastAsia" w:cs="Times New Roman"/>
                <w:color w:val="auto"/>
                <w:kern w:val="2"/>
                <w:sz w:val="24"/>
                <w:szCs w:val="24"/>
                <w:highlight w:val="yellow"/>
                <w:lang w:val="en-US" w:eastAsia="zh-CN" w:bidi="ar-SA"/>
              </w:rPr>
              <w:t>3</w:t>
            </w:r>
            <w:r>
              <w:rPr>
                <w:rFonts w:hint="default" w:ascii="Times New Roman" w:hAnsi="Times New Roman" w:eastAsia="宋体" w:cs="Times New Roman"/>
                <w:color w:val="auto"/>
                <w:kern w:val="2"/>
                <w:sz w:val="24"/>
                <w:szCs w:val="24"/>
                <w:highlight w:val="yellow"/>
                <w:lang w:val="en-US" w:eastAsia="zh-CN" w:bidi="ar-SA"/>
              </w:rPr>
              <w:t>月。</w:t>
            </w:r>
          </w:p>
          <w:p w14:paraId="6109B0FD">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表2</w:t>
            </w:r>
            <w:r>
              <w:rPr>
                <w:rFonts w:hint="default" w:ascii="Times New Roman" w:hAnsi="Times New Roman"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8</w:t>
            </w:r>
            <w:r>
              <w:rPr>
                <w:rFonts w:hint="default" w:ascii="Times New Roman" w:hAnsi="Times New Roman" w:eastAsia="宋体" w:cs="Times New Roman"/>
                <w:b/>
                <w:bCs/>
                <w:color w:val="auto"/>
                <w:kern w:val="2"/>
                <w:sz w:val="21"/>
                <w:szCs w:val="21"/>
                <w:highlight w:val="none"/>
                <w:lang w:val="en-US" w:eastAsia="zh-CN" w:bidi="ar-SA"/>
              </w:rPr>
              <w:t xml:space="preserve">  施工进度计划表</w:t>
            </w:r>
          </w:p>
          <w:bookmarkEnd w:id="17"/>
          <w:bookmarkEnd w:id="18"/>
          <w:tbl>
            <w:tblPr>
              <w:tblStyle w:val="26"/>
              <w:tblW w:w="45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642"/>
              <w:gridCol w:w="652"/>
              <w:gridCol w:w="510"/>
              <w:gridCol w:w="720"/>
              <w:gridCol w:w="675"/>
              <w:gridCol w:w="975"/>
              <w:gridCol w:w="1065"/>
              <w:gridCol w:w="1176"/>
            </w:tblGrid>
            <w:tr w14:paraId="0B7E7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9" w:type="pct"/>
                  <w:vMerge w:val="restart"/>
                  <w:tcBorders>
                    <w:tl2br w:val="nil"/>
                    <w:tr2bl w:val="nil"/>
                  </w:tcBorders>
                  <w:noWrap w:val="0"/>
                  <w:vAlign w:val="center"/>
                </w:tcPr>
                <w:p w14:paraId="19D0719F">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工程名称</w:t>
                  </w:r>
                </w:p>
              </w:tc>
              <w:tc>
                <w:tcPr>
                  <w:tcW w:w="1949" w:type="pct"/>
                  <w:gridSpan w:val="5"/>
                  <w:tcBorders>
                    <w:tl2br w:val="nil"/>
                    <w:tr2bl w:val="nil"/>
                  </w:tcBorders>
                  <w:noWrap w:val="0"/>
                  <w:vAlign w:val="center"/>
                </w:tcPr>
                <w:p w14:paraId="5D26F59E">
                  <w:pPr>
                    <w:pStyle w:val="119"/>
                    <w:bidi w:val="0"/>
                    <w:ind w:firstLine="0" w:firstLineChars="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第一年（2026）</w:t>
                  </w:r>
                </w:p>
              </w:tc>
              <w:tc>
                <w:tcPr>
                  <w:tcW w:w="1960" w:type="pct"/>
                  <w:gridSpan w:val="3"/>
                  <w:tcBorders>
                    <w:tl2br w:val="nil"/>
                    <w:tr2bl w:val="nil"/>
                  </w:tcBorders>
                  <w:noWrap w:val="0"/>
                  <w:vAlign w:val="center"/>
                </w:tcPr>
                <w:p w14:paraId="3212A886">
                  <w:pPr>
                    <w:pStyle w:val="119"/>
                    <w:bidi w:val="0"/>
                    <w:ind w:firstLine="0" w:firstLineChars="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第二年（2027）</w:t>
                  </w:r>
                </w:p>
              </w:tc>
            </w:tr>
            <w:tr w14:paraId="13BC1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9" w:type="pct"/>
                  <w:vMerge w:val="continue"/>
                  <w:tcBorders>
                    <w:tl2br w:val="nil"/>
                    <w:tr2bl w:val="nil"/>
                  </w:tcBorders>
                  <w:noWrap w:val="0"/>
                  <w:vAlign w:val="center"/>
                </w:tcPr>
                <w:p w14:paraId="2608701D">
                  <w:pPr>
                    <w:pStyle w:val="119"/>
                    <w:bidi w:val="0"/>
                    <w:rPr>
                      <w:rFonts w:hint="default" w:ascii="Times New Roman" w:hAnsi="Times New Roman" w:cs="Times New Roman"/>
                      <w:color w:val="auto"/>
                      <w:highlight w:val="none"/>
                      <w:lang w:val="en-US" w:eastAsia="zh-CN" w:bidi="ar-SA"/>
                    </w:rPr>
                  </w:pPr>
                </w:p>
              </w:tc>
              <w:tc>
                <w:tcPr>
                  <w:tcW w:w="391" w:type="pct"/>
                  <w:tcBorders>
                    <w:tl2br w:val="nil"/>
                    <w:tr2bl w:val="nil"/>
                  </w:tcBorders>
                  <w:noWrap w:val="0"/>
                  <w:vAlign w:val="center"/>
                </w:tcPr>
                <w:p w14:paraId="2B21E14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8</w:t>
                  </w:r>
                </w:p>
              </w:tc>
              <w:tc>
                <w:tcPr>
                  <w:tcW w:w="397" w:type="pct"/>
                  <w:tcBorders>
                    <w:tl2br w:val="nil"/>
                    <w:tr2bl w:val="nil"/>
                  </w:tcBorders>
                  <w:noWrap w:val="0"/>
                  <w:vAlign w:val="center"/>
                </w:tcPr>
                <w:p w14:paraId="1142598B">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9</w:t>
                  </w:r>
                </w:p>
              </w:tc>
              <w:tc>
                <w:tcPr>
                  <w:tcW w:w="310" w:type="pct"/>
                  <w:tcBorders>
                    <w:tl2br w:val="nil"/>
                    <w:tr2bl w:val="nil"/>
                  </w:tcBorders>
                  <w:noWrap w:val="0"/>
                  <w:vAlign w:val="center"/>
                </w:tcPr>
                <w:p w14:paraId="5613F08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10</w:t>
                  </w:r>
                </w:p>
              </w:tc>
              <w:tc>
                <w:tcPr>
                  <w:tcW w:w="438" w:type="pct"/>
                  <w:tcBorders>
                    <w:tl2br w:val="nil"/>
                    <w:tr2bl w:val="nil"/>
                  </w:tcBorders>
                  <w:noWrap w:val="0"/>
                  <w:vAlign w:val="center"/>
                </w:tcPr>
                <w:p w14:paraId="005F4DC1">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11</w:t>
                  </w:r>
                </w:p>
              </w:tc>
              <w:tc>
                <w:tcPr>
                  <w:tcW w:w="411" w:type="pct"/>
                  <w:tcBorders>
                    <w:tl2br w:val="nil"/>
                    <w:tr2bl w:val="nil"/>
                  </w:tcBorders>
                  <w:noWrap w:val="0"/>
                  <w:vAlign w:val="center"/>
                </w:tcPr>
                <w:p w14:paraId="0F3F3664">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12</w:t>
                  </w:r>
                </w:p>
              </w:tc>
              <w:tc>
                <w:tcPr>
                  <w:tcW w:w="594" w:type="pct"/>
                  <w:tcBorders>
                    <w:tl2br w:val="nil"/>
                    <w:tr2bl w:val="nil"/>
                  </w:tcBorders>
                  <w:noWrap w:val="0"/>
                  <w:vAlign w:val="center"/>
                </w:tcPr>
                <w:p w14:paraId="73A3E5BE">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1</w:t>
                  </w:r>
                </w:p>
              </w:tc>
              <w:tc>
                <w:tcPr>
                  <w:tcW w:w="649" w:type="pct"/>
                  <w:tcBorders>
                    <w:tl2br w:val="nil"/>
                    <w:tr2bl w:val="nil"/>
                  </w:tcBorders>
                  <w:noWrap w:val="0"/>
                  <w:vAlign w:val="center"/>
                </w:tcPr>
                <w:p w14:paraId="311A54E2">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2</w:t>
                  </w:r>
                </w:p>
              </w:tc>
              <w:tc>
                <w:tcPr>
                  <w:tcW w:w="716" w:type="pct"/>
                  <w:tcBorders>
                    <w:tl2br w:val="nil"/>
                    <w:tr2bl w:val="nil"/>
                  </w:tcBorders>
                  <w:noWrap w:val="0"/>
                  <w:vAlign w:val="center"/>
                </w:tcPr>
                <w:p w14:paraId="2B9C1127">
                  <w:pPr>
                    <w:pStyle w:val="119"/>
                    <w:bidi w:val="0"/>
                    <w:ind w:firstLine="0" w:firstLineChars="0"/>
                    <w:rPr>
                      <w:rFonts w:hint="default" w:ascii="Times New Roman" w:hAnsi="Times New Roman" w:eastAsia="宋体" w:cs="Times New Roman"/>
                      <w:color w:val="auto"/>
                      <w:sz w:val="21"/>
                      <w:highlight w:val="none"/>
                      <w:lang w:val="en-US" w:eastAsia="zh-CN" w:bidi="ar-SA"/>
                    </w:rPr>
                  </w:pPr>
                  <w:r>
                    <w:rPr>
                      <w:rFonts w:hint="default" w:ascii="Times New Roman" w:hAnsi="Times New Roman" w:cs="Times New Roman"/>
                      <w:color w:val="auto"/>
                      <w:highlight w:val="none"/>
                      <w:lang w:val="en-US" w:eastAsia="zh-CN" w:bidi="ar-SA"/>
                    </w:rPr>
                    <w:t>3</w:t>
                  </w:r>
                </w:p>
              </w:tc>
            </w:tr>
            <w:tr w14:paraId="15993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089" w:type="pct"/>
                  <w:tcBorders>
                    <w:tl2br w:val="nil"/>
                    <w:tr2bl w:val="nil"/>
                  </w:tcBorders>
                  <w:shd w:val="clear" w:color="auto" w:fill="auto"/>
                  <w:noWrap w:val="0"/>
                  <w:vAlign w:val="center"/>
                </w:tcPr>
                <w:p w14:paraId="76DD8C39">
                  <w:pPr>
                    <w:pStyle w:val="119"/>
                    <w:bidi w:val="0"/>
                    <w:rPr>
                      <w:rFonts w:hint="default" w:ascii="Times New Roman" w:hAnsi="Times New Roman" w:eastAsia="宋体"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w:t>
                  </w:r>
                  <w:r>
                    <w:rPr>
                      <w:rFonts w:hint="default" w:ascii="Times New Roman" w:hAnsi="Times New Roman" w:eastAsia="宋体" w:cs="Times New Roman"/>
                      <w:color w:val="auto"/>
                      <w:highlight w:val="none"/>
                      <w:lang w:val="en-US" w:eastAsia="zh-CN" w:bidi="ar-SA"/>
                    </w:rPr>
                    <w:t>准备</w:t>
                  </w:r>
                </w:p>
              </w:tc>
              <w:tc>
                <w:tcPr>
                  <w:tcW w:w="391" w:type="pct"/>
                  <w:tcBorders>
                    <w:tl2br w:val="nil"/>
                    <w:tr2bl w:val="nil"/>
                  </w:tcBorders>
                  <w:shd w:val="clear" w:color="auto" w:fill="0070C0"/>
                  <w:noWrap w:val="0"/>
                  <w:vAlign w:val="center"/>
                </w:tcPr>
                <w:p w14:paraId="7B45AC9C">
                  <w:pPr>
                    <w:pStyle w:val="119"/>
                    <w:bidi w:val="0"/>
                    <w:rPr>
                      <w:rFonts w:hint="default" w:ascii="Times New Roman" w:hAnsi="Times New Roman" w:cs="Times New Roman"/>
                      <w:color w:val="auto"/>
                      <w:highlight w:val="none"/>
                      <w:lang w:val="en-US" w:eastAsia="zh-CN" w:bidi="ar-SA"/>
                    </w:rPr>
                  </w:pPr>
                </w:p>
              </w:tc>
              <w:tc>
                <w:tcPr>
                  <w:tcW w:w="397" w:type="pct"/>
                  <w:tcBorders>
                    <w:tl2br w:val="nil"/>
                    <w:tr2bl w:val="nil"/>
                  </w:tcBorders>
                  <w:shd w:val="clear" w:color="auto" w:fill="0070C0"/>
                  <w:noWrap w:val="0"/>
                  <w:vAlign w:val="center"/>
                </w:tcPr>
                <w:p w14:paraId="4202DC84">
                  <w:pPr>
                    <w:pStyle w:val="119"/>
                    <w:bidi w:val="0"/>
                    <w:rPr>
                      <w:rFonts w:hint="default" w:ascii="Times New Roman" w:hAnsi="Times New Roman" w:cs="Times New Roman"/>
                      <w:color w:val="auto"/>
                      <w:highlight w:val="none"/>
                      <w:lang w:val="en-US" w:eastAsia="zh-CN" w:bidi="ar-SA"/>
                    </w:rPr>
                  </w:pPr>
                </w:p>
              </w:tc>
              <w:tc>
                <w:tcPr>
                  <w:tcW w:w="310" w:type="pct"/>
                  <w:tcBorders>
                    <w:tl2br w:val="nil"/>
                    <w:tr2bl w:val="nil"/>
                  </w:tcBorders>
                  <w:shd w:val="clear" w:color="auto" w:fill="0070C0"/>
                  <w:noWrap w:val="0"/>
                  <w:vAlign w:val="center"/>
                </w:tcPr>
                <w:p w14:paraId="3D767ED8">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 xml:space="preserve">              </w:t>
                  </w:r>
                </w:p>
              </w:tc>
              <w:tc>
                <w:tcPr>
                  <w:tcW w:w="438" w:type="pct"/>
                  <w:tcBorders>
                    <w:tl2br w:val="nil"/>
                    <w:tr2bl w:val="nil"/>
                  </w:tcBorders>
                  <w:shd w:val="clear" w:color="auto" w:fill="0070C0"/>
                  <w:noWrap w:val="0"/>
                  <w:vAlign w:val="center"/>
                </w:tcPr>
                <w:p w14:paraId="7249283F">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411" w:type="pct"/>
                  <w:tcBorders>
                    <w:tl2br w:val="nil"/>
                    <w:tr2bl w:val="nil"/>
                  </w:tcBorders>
                  <w:shd w:val="clear" w:color="auto" w:fill="auto"/>
                  <w:noWrap w:val="0"/>
                  <w:vAlign w:val="center"/>
                </w:tcPr>
                <w:p w14:paraId="4A13267B">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594" w:type="pct"/>
                  <w:tcBorders>
                    <w:tl2br w:val="nil"/>
                    <w:tr2bl w:val="nil"/>
                  </w:tcBorders>
                  <w:shd w:val="clear" w:color="auto" w:fill="auto"/>
                  <w:noWrap w:val="0"/>
                  <w:vAlign w:val="center"/>
                </w:tcPr>
                <w:p w14:paraId="26C1FD0B">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649" w:type="pct"/>
                  <w:tcBorders>
                    <w:tl2br w:val="nil"/>
                    <w:tr2bl w:val="nil"/>
                  </w:tcBorders>
                  <w:shd w:val="clear" w:color="auto" w:fill="auto"/>
                  <w:noWrap w:val="0"/>
                  <w:vAlign w:val="center"/>
                </w:tcPr>
                <w:p w14:paraId="316A3BE5">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716" w:type="pct"/>
                  <w:tcBorders>
                    <w:tl2br w:val="nil"/>
                    <w:tr2bl w:val="nil"/>
                  </w:tcBorders>
                  <w:noWrap w:val="0"/>
                  <w:vAlign w:val="center"/>
                </w:tcPr>
                <w:p w14:paraId="3311C01B">
                  <w:pPr>
                    <w:pStyle w:val="119"/>
                    <w:bidi w:val="0"/>
                    <w:ind w:firstLine="0" w:firstLineChars="0"/>
                    <w:rPr>
                      <w:rFonts w:hint="default" w:ascii="Times New Roman" w:hAnsi="Times New Roman" w:cs="Times New Roman"/>
                      <w:color w:val="auto"/>
                      <w:highlight w:val="none"/>
                      <w:lang w:val="en-US" w:eastAsia="zh-CN" w:bidi="ar-SA"/>
                    </w:rPr>
                  </w:pPr>
                </w:p>
              </w:tc>
            </w:tr>
            <w:tr w14:paraId="1796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9" w:type="pct"/>
                  <w:tcBorders>
                    <w:tl2br w:val="nil"/>
                    <w:tr2bl w:val="nil"/>
                  </w:tcBorders>
                  <w:shd w:val="clear" w:color="auto" w:fill="auto"/>
                  <w:noWrap w:val="0"/>
                  <w:vAlign w:val="center"/>
                </w:tcPr>
                <w:p w14:paraId="1CDEDE1E">
                  <w:pPr>
                    <w:pStyle w:val="119"/>
                    <w:bidi w:val="0"/>
                    <w:rPr>
                      <w:rFonts w:hint="default" w:ascii="Times New Roman" w:hAnsi="Times New Roman" w:eastAsia="宋体" w:cs="Times New Roman"/>
                      <w:color w:val="auto"/>
                      <w:highlight w:val="none"/>
                      <w:lang w:val="en-US" w:eastAsia="zh-CN" w:bidi="ar-SA"/>
                    </w:rPr>
                  </w:pPr>
                  <w:r>
                    <w:rPr>
                      <w:rFonts w:hint="eastAsia" w:cs="Times New Roman"/>
                      <w:color w:val="auto"/>
                      <w:highlight w:val="none"/>
                      <w:lang w:val="en-US" w:eastAsia="zh-CN" w:bidi="ar-SA"/>
                    </w:rPr>
                    <w:t>河道改道</w:t>
                  </w:r>
                </w:p>
              </w:tc>
              <w:tc>
                <w:tcPr>
                  <w:tcW w:w="391" w:type="pct"/>
                  <w:tcBorders>
                    <w:tl2br w:val="nil"/>
                    <w:tr2bl w:val="nil"/>
                  </w:tcBorders>
                  <w:shd w:val="clear" w:color="auto" w:fill="auto"/>
                  <w:noWrap w:val="0"/>
                  <w:vAlign w:val="center"/>
                </w:tcPr>
                <w:p w14:paraId="00DABEFA">
                  <w:pPr>
                    <w:pStyle w:val="119"/>
                    <w:bidi w:val="0"/>
                    <w:rPr>
                      <w:rFonts w:hint="default" w:ascii="Times New Roman" w:hAnsi="Times New Roman" w:cs="Times New Roman"/>
                      <w:color w:val="auto"/>
                      <w:highlight w:val="none"/>
                      <w:lang w:val="en-US" w:eastAsia="zh-CN" w:bidi="ar-SA"/>
                    </w:rPr>
                  </w:pPr>
                </w:p>
              </w:tc>
              <w:tc>
                <w:tcPr>
                  <w:tcW w:w="397" w:type="pct"/>
                  <w:tcBorders>
                    <w:tl2br w:val="nil"/>
                    <w:tr2bl w:val="nil"/>
                  </w:tcBorders>
                  <w:shd w:val="clear" w:color="auto" w:fill="auto"/>
                  <w:noWrap w:val="0"/>
                  <w:vAlign w:val="center"/>
                </w:tcPr>
                <w:p w14:paraId="450F9B3A">
                  <w:pPr>
                    <w:pStyle w:val="119"/>
                    <w:bidi w:val="0"/>
                    <w:rPr>
                      <w:rFonts w:hint="default" w:ascii="Times New Roman" w:hAnsi="Times New Roman" w:cs="Times New Roman"/>
                      <w:color w:val="auto"/>
                      <w:highlight w:val="none"/>
                      <w:lang w:val="en-US" w:eastAsia="zh-CN" w:bidi="ar-SA"/>
                    </w:rPr>
                  </w:pPr>
                </w:p>
              </w:tc>
              <w:tc>
                <w:tcPr>
                  <w:tcW w:w="310" w:type="pct"/>
                  <w:tcBorders>
                    <w:tl2br w:val="nil"/>
                    <w:tr2bl w:val="nil"/>
                  </w:tcBorders>
                  <w:shd w:val="clear" w:color="auto" w:fill="auto"/>
                  <w:noWrap w:val="0"/>
                  <w:vAlign w:val="center"/>
                </w:tcPr>
                <w:p w14:paraId="23F36F96">
                  <w:pPr>
                    <w:pStyle w:val="119"/>
                    <w:bidi w:val="0"/>
                    <w:rPr>
                      <w:rFonts w:hint="default" w:ascii="Times New Roman" w:hAnsi="Times New Roman" w:cs="Times New Roman"/>
                      <w:color w:val="auto"/>
                      <w:highlight w:val="none"/>
                      <w:lang w:val="en-US" w:eastAsia="zh-CN" w:bidi="ar-SA"/>
                    </w:rPr>
                  </w:pPr>
                </w:p>
              </w:tc>
              <w:tc>
                <w:tcPr>
                  <w:tcW w:w="438" w:type="pct"/>
                  <w:tcBorders>
                    <w:tl2br w:val="nil"/>
                    <w:tr2bl w:val="nil"/>
                  </w:tcBorders>
                  <w:shd w:val="clear" w:color="auto" w:fill="auto"/>
                  <w:noWrap w:val="0"/>
                  <w:vAlign w:val="center"/>
                </w:tcPr>
                <w:p w14:paraId="24CE1C2C">
                  <w:pPr>
                    <w:pStyle w:val="119"/>
                    <w:bidi w:val="0"/>
                    <w:rPr>
                      <w:rFonts w:hint="default" w:ascii="Times New Roman" w:hAnsi="Times New Roman" w:cs="Times New Roman"/>
                      <w:color w:val="auto"/>
                      <w:highlight w:val="none"/>
                      <w:lang w:val="en-US" w:eastAsia="zh-CN" w:bidi="ar-SA"/>
                    </w:rPr>
                  </w:pPr>
                </w:p>
              </w:tc>
              <w:tc>
                <w:tcPr>
                  <w:tcW w:w="411" w:type="pct"/>
                  <w:tcBorders>
                    <w:tl2br w:val="nil"/>
                    <w:tr2bl w:val="nil"/>
                  </w:tcBorders>
                  <w:shd w:val="clear" w:color="auto" w:fill="0070C0"/>
                  <w:noWrap w:val="0"/>
                  <w:vAlign w:val="center"/>
                </w:tcPr>
                <w:p w14:paraId="62411769">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594" w:type="pct"/>
                  <w:tcBorders>
                    <w:tl2br w:val="nil"/>
                    <w:tr2bl w:val="nil"/>
                  </w:tcBorders>
                  <w:shd w:val="clear" w:color="auto" w:fill="0070C0"/>
                  <w:noWrap w:val="0"/>
                  <w:vAlign w:val="center"/>
                </w:tcPr>
                <w:p w14:paraId="080EBF86">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649" w:type="pct"/>
                  <w:tcBorders>
                    <w:tl2br w:val="nil"/>
                    <w:tr2bl w:val="nil"/>
                  </w:tcBorders>
                  <w:shd w:val="clear" w:color="auto" w:fill="0070C0"/>
                  <w:noWrap w:val="0"/>
                  <w:vAlign w:val="center"/>
                </w:tcPr>
                <w:p w14:paraId="1D09334D">
                  <w:pPr>
                    <w:pStyle w:val="119"/>
                    <w:bidi w:val="0"/>
                    <w:ind w:firstLine="0" w:firstLineChars="0"/>
                    <w:rPr>
                      <w:rFonts w:hint="default" w:ascii="Times New Roman" w:hAnsi="Times New Roman" w:eastAsia="宋体" w:cs="Times New Roman"/>
                      <w:color w:val="auto"/>
                      <w:sz w:val="21"/>
                      <w:highlight w:val="none"/>
                      <w:lang w:val="en-US" w:eastAsia="zh-CN" w:bidi="ar-SA"/>
                    </w:rPr>
                  </w:pPr>
                </w:p>
              </w:tc>
              <w:tc>
                <w:tcPr>
                  <w:tcW w:w="716" w:type="pct"/>
                  <w:tcBorders>
                    <w:tl2br w:val="nil"/>
                    <w:tr2bl w:val="nil"/>
                  </w:tcBorders>
                  <w:shd w:val="clear" w:color="auto" w:fill="auto"/>
                  <w:noWrap w:val="0"/>
                  <w:vAlign w:val="center"/>
                </w:tcPr>
                <w:p w14:paraId="5A559497">
                  <w:pPr>
                    <w:pStyle w:val="119"/>
                    <w:bidi w:val="0"/>
                    <w:ind w:firstLine="0" w:firstLineChars="0"/>
                    <w:rPr>
                      <w:rFonts w:hint="default" w:ascii="Times New Roman" w:hAnsi="Times New Roman" w:eastAsia="宋体" w:cs="Times New Roman"/>
                      <w:color w:val="auto"/>
                      <w:sz w:val="21"/>
                      <w:highlight w:val="none"/>
                      <w:lang w:val="en-US" w:eastAsia="zh-CN" w:bidi="ar-SA"/>
                    </w:rPr>
                  </w:pPr>
                </w:p>
              </w:tc>
            </w:tr>
            <w:tr w14:paraId="4F7FA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9" w:type="pct"/>
                  <w:tcBorders>
                    <w:tl2br w:val="nil"/>
                    <w:tr2bl w:val="nil"/>
                  </w:tcBorders>
                  <w:shd w:val="clear" w:color="auto" w:fill="auto"/>
                  <w:noWrap w:val="0"/>
                  <w:vAlign w:val="center"/>
                </w:tcPr>
                <w:p w14:paraId="69DAE52D">
                  <w:pPr>
                    <w:pStyle w:val="119"/>
                    <w:bidi w:val="0"/>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竣工整理</w:t>
                  </w:r>
                </w:p>
              </w:tc>
              <w:tc>
                <w:tcPr>
                  <w:tcW w:w="391" w:type="pct"/>
                  <w:tcBorders>
                    <w:tl2br w:val="nil"/>
                    <w:tr2bl w:val="nil"/>
                  </w:tcBorders>
                  <w:shd w:val="clear" w:color="auto" w:fill="auto"/>
                  <w:noWrap w:val="0"/>
                  <w:vAlign w:val="center"/>
                </w:tcPr>
                <w:p w14:paraId="75628708">
                  <w:pPr>
                    <w:pStyle w:val="119"/>
                    <w:bidi w:val="0"/>
                    <w:rPr>
                      <w:rFonts w:hint="default" w:ascii="Times New Roman" w:hAnsi="Times New Roman" w:cs="Times New Roman"/>
                      <w:color w:val="auto"/>
                      <w:highlight w:val="none"/>
                      <w:lang w:val="en-US" w:eastAsia="zh-CN" w:bidi="ar-SA"/>
                    </w:rPr>
                  </w:pPr>
                </w:p>
              </w:tc>
              <w:tc>
                <w:tcPr>
                  <w:tcW w:w="397" w:type="pct"/>
                  <w:tcBorders>
                    <w:tl2br w:val="nil"/>
                    <w:tr2bl w:val="nil"/>
                  </w:tcBorders>
                  <w:shd w:val="clear" w:color="auto" w:fill="auto"/>
                  <w:noWrap w:val="0"/>
                  <w:vAlign w:val="center"/>
                </w:tcPr>
                <w:p w14:paraId="0B1677EF">
                  <w:pPr>
                    <w:pStyle w:val="119"/>
                    <w:bidi w:val="0"/>
                    <w:rPr>
                      <w:rFonts w:hint="default" w:ascii="Times New Roman" w:hAnsi="Times New Roman" w:cs="Times New Roman"/>
                      <w:color w:val="auto"/>
                      <w:highlight w:val="none"/>
                      <w:lang w:val="en-US" w:eastAsia="zh-CN" w:bidi="ar-SA"/>
                    </w:rPr>
                  </w:pPr>
                </w:p>
              </w:tc>
              <w:tc>
                <w:tcPr>
                  <w:tcW w:w="310" w:type="pct"/>
                  <w:tcBorders>
                    <w:tl2br w:val="nil"/>
                    <w:tr2bl w:val="nil"/>
                  </w:tcBorders>
                  <w:shd w:val="clear" w:color="auto" w:fill="auto"/>
                  <w:noWrap w:val="0"/>
                  <w:vAlign w:val="center"/>
                </w:tcPr>
                <w:p w14:paraId="498DACB4">
                  <w:pPr>
                    <w:pStyle w:val="119"/>
                    <w:bidi w:val="0"/>
                    <w:rPr>
                      <w:rFonts w:hint="default" w:ascii="Times New Roman" w:hAnsi="Times New Roman" w:cs="Times New Roman"/>
                      <w:color w:val="auto"/>
                      <w:highlight w:val="none"/>
                      <w:lang w:val="en-US" w:eastAsia="zh-CN" w:bidi="ar-SA"/>
                    </w:rPr>
                  </w:pPr>
                </w:p>
              </w:tc>
              <w:tc>
                <w:tcPr>
                  <w:tcW w:w="438" w:type="pct"/>
                  <w:tcBorders>
                    <w:tl2br w:val="nil"/>
                    <w:tr2bl w:val="nil"/>
                  </w:tcBorders>
                  <w:shd w:val="clear" w:color="auto" w:fill="auto"/>
                  <w:noWrap w:val="0"/>
                  <w:vAlign w:val="center"/>
                </w:tcPr>
                <w:p w14:paraId="77AD74AD">
                  <w:pPr>
                    <w:pStyle w:val="119"/>
                    <w:bidi w:val="0"/>
                    <w:rPr>
                      <w:rFonts w:hint="default" w:ascii="Times New Roman" w:hAnsi="Times New Roman" w:cs="Times New Roman"/>
                      <w:color w:val="auto"/>
                      <w:highlight w:val="none"/>
                      <w:lang w:val="en-US" w:eastAsia="zh-CN" w:bidi="ar-SA"/>
                    </w:rPr>
                  </w:pPr>
                </w:p>
              </w:tc>
              <w:tc>
                <w:tcPr>
                  <w:tcW w:w="411" w:type="pct"/>
                  <w:tcBorders>
                    <w:tl2br w:val="nil"/>
                    <w:tr2bl w:val="nil"/>
                  </w:tcBorders>
                  <w:shd w:val="clear" w:color="auto" w:fill="auto"/>
                  <w:noWrap w:val="0"/>
                  <w:vAlign w:val="center"/>
                </w:tcPr>
                <w:p w14:paraId="2FB5BEDA">
                  <w:pPr>
                    <w:pStyle w:val="119"/>
                    <w:bidi w:val="0"/>
                    <w:rPr>
                      <w:rFonts w:hint="default" w:ascii="Times New Roman" w:hAnsi="Times New Roman" w:cs="Times New Roman"/>
                      <w:color w:val="auto"/>
                      <w:highlight w:val="none"/>
                      <w:lang w:val="en-US" w:eastAsia="zh-CN" w:bidi="ar-SA"/>
                    </w:rPr>
                  </w:pPr>
                </w:p>
              </w:tc>
              <w:tc>
                <w:tcPr>
                  <w:tcW w:w="594" w:type="pct"/>
                  <w:tcBorders>
                    <w:tl2br w:val="nil"/>
                    <w:tr2bl w:val="nil"/>
                  </w:tcBorders>
                  <w:shd w:val="clear" w:color="auto" w:fill="auto"/>
                  <w:noWrap w:val="0"/>
                  <w:vAlign w:val="center"/>
                </w:tcPr>
                <w:p w14:paraId="0B018F98">
                  <w:pPr>
                    <w:pStyle w:val="119"/>
                    <w:bidi w:val="0"/>
                    <w:rPr>
                      <w:rFonts w:hint="default" w:ascii="Times New Roman" w:hAnsi="Times New Roman" w:cs="Times New Roman"/>
                      <w:color w:val="auto"/>
                      <w:highlight w:val="none"/>
                      <w:lang w:val="en-US" w:eastAsia="zh-CN" w:bidi="ar-SA"/>
                    </w:rPr>
                  </w:pPr>
                </w:p>
              </w:tc>
              <w:tc>
                <w:tcPr>
                  <w:tcW w:w="649" w:type="pct"/>
                  <w:tcBorders>
                    <w:tl2br w:val="nil"/>
                    <w:tr2bl w:val="nil"/>
                  </w:tcBorders>
                  <w:shd w:val="clear" w:color="auto" w:fill="auto"/>
                  <w:noWrap w:val="0"/>
                  <w:vAlign w:val="center"/>
                </w:tcPr>
                <w:p w14:paraId="43C6E1D7">
                  <w:pPr>
                    <w:pStyle w:val="119"/>
                    <w:bidi w:val="0"/>
                    <w:rPr>
                      <w:rFonts w:hint="default" w:ascii="Times New Roman" w:hAnsi="Times New Roman" w:cs="Times New Roman"/>
                      <w:color w:val="auto"/>
                      <w:highlight w:val="none"/>
                      <w:lang w:val="en-US" w:eastAsia="zh-CN" w:bidi="ar-SA"/>
                    </w:rPr>
                  </w:pPr>
                </w:p>
              </w:tc>
              <w:tc>
                <w:tcPr>
                  <w:tcW w:w="716" w:type="pct"/>
                  <w:tcBorders>
                    <w:tl2br w:val="nil"/>
                    <w:tr2bl w:val="nil"/>
                  </w:tcBorders>
                  <w:shd w:val="clear" w:color="auto" w:fill="0070C0"/>
                  <w:noWrap w:val="0"/>
                  <w:vAlign w:val="center"/>
                </w:tcPr>
                <w:p w14:paraId="0E994BCF">
                  <w:pPr>
                    <w:pStyle w:val="119"/>
                    <w:bidi w:val="0"/>
                    <w:ind w:firstLine="0" w:firstLineChars="0"/>
                    <w:rPr>
                      <w:rFonts w:hint="default" w:ascii="Times New Roman" w:hAnsi="Times New Roman" w:eastAsia="宋体" w:cs="Times New Roman"/>
                      <w:color w:val="auto"/>
                      <w:sz w:val="21"/>
                      <w:highlight w:val="none"/>
                      <w:lang w:val="en-US" w:eastAsia="zh-CN" w:bidi="ar-SA"/>
                    </w:rPr>
                  </w:pPr>
                </w:p>
              </w:tc>
            </w:tr>
          </w:tbl>
          <w:p w14:paraId="52B871FA">
            <w:pPr>
              <w:pStyle w:val="84"/>
              <w:ind w:left="0" w:leftChars="0" w:firstLine="0" w:firstLineChars="0"/>
              <w:jc w:val="center"/>
              <w:rPr>
                <w:rFonts w:hint="default" w:ascii="Times New Roman" w:hAnsi="Times New Roman" w:cs="Times New Roman"/>
                <w:color w:val="auto"/>
                <w:kern w:val="0"/>
                <w:highlight w:val="none"/>
                <w:lang w:val="en-US" w:eastAsia="zh-CN"/>
              </w:rPr>
            </w:pPr>
          </w:p>
          <w:p w14:paraId="2C348068">
            <w:pPr>
              <w:pStyle w:val="84"/>
              <w:ind w:left="0" w:leftChars="0" w:firstLine="0" w:firstLineChars="0"/>
              <w:jc w:val="center"/>
              <w:rPr>
                <w:rFonts w:hint="default" w:ascii="Times New Roman" w:hAnsi="Times New Roman" w:cs="Times New Roman"/>
                <w:color w:val="auto"/>
                <w:kern w:val="0"/>
                <w:highlight w:val="none"/>
                <w:lang w:val="en-US" w:eastAsia="zh-CN"/>
              </w:rPr>
            </w:pPr>
          </w:p>
        </w:tc>
      </w:tr>
      <w:tr w14:paraId="791F29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237" w:type="pct"/>
            <w:noWrap w:val="0"/>
            <w:vAlign w:val="center"/>
          </w:tcPr>
          <w:p w14:paraId="0D272CF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w:t>
            </w:r>
          </w:p>
        </w:tc>
        <w:tc>
          <w:tcPr>
            <w:tcW w:w="4762" w:type="pct"/>
            <w:noWrap w:val="0"/>
            <w:vAlign w:val="center"/>
          </w:tcPr>
          <w:p w14:paraId="28D0970E">
            <w:pPr>
              <w:adjustRightInd w:val="0"/>
              <w:snapToGrid w:val="0"/>
              <w:ind w:firstLine="48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p w14:paraId="449935A6">
            <w:pPr>
              <w:adjustRightInd w:val="0"/>
              <w:snapToGrid w:val="0"/>
              <w:ind w:firstLine="480"/>
              <w:jc w:val="center"/>
              <w:rPr>
                <w:rFonts w:hint="default" w:ascii="Times New Roman" w:hAnsi="Times New Roman" w:cs="Times New Roman"/>
                <w:color w:val="auto"/>
                <w:kern w:val="0"/>
                <w:sz w:val="24"/>
                <w:highlight w:val="none"/>
              </w:rPr>
            </w:pPr>
          </w:p>
          <w:p w14:paraId="2AA9D0C4">
            <w:pPr>
              <w:adjustRightInd w:val="0"/>
              <w:snapToGrid w:val="0"/>
              <w:ind w:firstLine="480"/>
              <w:jc w:val="center"/>
              <w:rPr>
                <w:rFonts w:hint="default" w:ascii="Times New Roman" w:hAnsi="Times New Roman" w:cs="Times New Roman"/>
                <w:color w:val="auto"/>
                <w:kern w:val="0"/>
                <w:sz w:val="24"/>
                <w:highlight w:val="none"/>
              </w:rPr>
            </w:pPr>
          </w:p>
          <w:p w14:paraId="6A0F1083">
            <w:pPr>
              <w:adjustRightInd w:val="0"/>
              <w:snapToGrid w:val="0"/>
              <w:ind w:firstLine="480"/>
              <w:jc w:val="center"/>
              <w:rPr>
                <w:rFonts w:hint="default" w:ascii="Times New Roman" w:hAnsi="Times New Roman" w:cs="Times New Roman"/>
                <w:color w:val="auto"/>
                <w:kern w:val="0"/>
                <w:sz w:val="24"/>
                <w:highlight w:val="none"/>
              </w:rPr>
            </w:pPr>
          </w:p>
          <w:p w14:paraId="3DD5FEFC">
            <w:pPr>
              <w:adjustRightInd w:val="0"/>
              <w:snapToGrid w:val="0"/>
              <w:ind w:firstLine="480"/>
              <w:jc w:val="center"/>
              <w:rPr>
                <w:rFonts w:hint="default" w:ascii="Times New Roman" w:hAnsi="Times New Roman" w:cs="Times New Roman"/>
                <w:color w:val="auto"/>
                <w:kern w:val="0"/>
                <w:sz w:val="24"/>
                <w:highlight w:val="none"/>
              </w:rPr>
            </w:pPr>
          </w:p>
          <w:p w14:paraId="282EE5C5">
            <w:pPr>
              <w:adjustRightInd w:val="0"/>
              <w:snapToGrid w:val="0"/>
              <w:ind w:firstLine="480"/>
              <w:jc w:val="center"/>
              <w:rPr>
                <w:rFonts w:hint="default" w:ascii="Times New Roman" w:hAnsi="Times New Roman" w:cs="Times New Roman"/>
                <w:color w:val="auto"/>
                <w:kern w:val="0"/>
                <w:sz w:val="24"/>
                <w:highlight w:val="none"/>
              </w:rPr>
            </w:pPr>
          </w:p>
          <w:p w14:paraId="70987A7F">
            <w:pPr>
              <w:pStyle w:val="2"/>
              <w:rPr>
                <w:rFonts w:hint="default" w:ascii="Times New Roman" w:hAnsi="Times New Roman" w:cs="Times New Roman"/>
                <w:color w:val="auto"/>
                <w:kern w:val="0"/>
                <w:sz w:val="24"/>
                <w:highlight w:val="none"/>
              </w:rPr>
            </w:pPr>
          </w:p>
          <w:p w14:paraId="3746FCF4">
            <w:pPr>
              <w:pStyle w:val="2"/>
              <w:rPr>
                <w:rFonts w:hint="default" w:ascii="Times New Roman" w:hAnsi="Times New Roman" w:cs="Times New Roman"/>
                <w:color w:val="auto"/>
                <w:kern w:val="0"/>
                <w:sz w:val="24"/>
                <w:highlight w:val="none"/>
              </w:rPr>
            </w:pPr>
          </w:p>
          <w:p w14:paraId="52E540A9">
            <w:pPr>
              <w:adjustRightInd w:val="0"/>
              <w:snapToGrid w:val="0"/>
              <w:ind w:firstLine="480"/>
              <w:jc w:val="center"/>
              <w:rPr>
                <w:rFonts w:hint="default" w:ascii="Times New Roman" w:hAnsi="Times New Roman" w:cs="Times New Roman"/>
                <w:color w:val="auto"/>
                <w:kern w:val="0"/>
                <w:sz w:val="24"/>
                <w:highlight w:val="none"/>
              </w:rPr>
            </w:pPr>
          </w:p>
          <w:p w14:paraId="18B950EB">
            <w:pPr>
              <w:adjustRightInd w:val="0"/>
              <w:snapToGrid w:val="0"/>
              <w:ind w:firstLine="480"/>
              <w:jc w:val="center"/>
              <w:rPr>
                <w:rFonts w:hint="default" w:ascii="Times New Roman" w:hAnsi="Times New Roman" w:cs="Times New Roman"/>
                <w:color w:val="auto"/>
                <w:kern w:val="0"/>
                <w:sz w:val="24"/>
                <w:highlight w:val="none"/>
              </w:rPr>
            </w:pPr>
          </w:p>
        </w:tc>
      </w:tr>
    </w:tbl>
    <w:p w14:paraId="5A1F385A">
      <w:pPr>
        <w:pStyle w:val="4"/>
        <w:bidi w:val="0"/>
        <w:jc w:val="center"/>
        <w:rPr>
          <w:rFonts w:hint="default" w:ascii="Times New Roman" w:hAnsi="Times New Roman" w:cs="Times New Roman"/>
          <w:b/>
          <w:snapToGrid w:val="0"/>
          <w:color w:val="auto"/>
          <w:szCs w:val="30"/>
          <w:highlight w:val="none"/>
        </w:rPr>
      </w:pPr>
      <w:r>
        <w:rPr>
          <w:rFonts w:hint="default" w:ascii="Times New Roman" w:hAnsi="Times New Roman" w:cs="Times New Roman"/>
          <w:b/>
          <w:bCs/>
          <w:color w:val="auto"/>
          <w:highlight w:val="none"/>
        </w:rPr>
        <w:br w:type="page"/>
      </w:r>
      <w:bookmarkStart w:id="19" w:name="_Toc405"/>
      <w:bookmarkStart w:id="20" w:name="_Toc11927"/>
      <w:r>
        <w:rPr>
          <w:rFonts w:hint="default" w:ascii="Times New Roman" w:hAnsi="Times New Roman" w:eastAsia="宋体" w:cs="Times New Roman"/>
          <w:highlight w:val="none"/>
        </w:rPr>
        <w:t>三、生态环境现状、保护目标及评价标准</w:t>
      </w:r>
      <w:bookmarkEnd w:id="19"/>
      <w:bookmarkEnd w:id="20"/>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7875"/>
      </w:tblGrid>
      <w:tr w14:paraId="61873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381" w:type="pct"/>
            <w:noWrap w:val="0"/>
            <w:vAlign w:val="center"/>
          </w:tcPr>
          <w:p w14:paraId="31AB0D9A">
            <w:pPr>
              <w:adjustRightInd w:val="0"/>
              <w:snapToGrid w:val="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生态环境现状</w:t>
            </w:r>
          </w:p>
        </w:tc>
        <w:tc>
          <w:tcPr>
            <w:tcW w:w="4619" w:type="pct"/>
            <w:noWrap w:val="0"/>
            <w:vAlign w:val="top"/>
          </w:tcPr>
          <w:p w14:paraId="1289C9F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rPr>
            </w:pPr>
            <w:bookmarkStart w:id="21" w:name="_Toc78298341"/>
            <w:bookmarkStart w:id="22" w:name="_Toc69831435"/>
            <w:bookmarkStart w:id="23" w:name="_Toc82120791"/>
            <w:bookmarkStart w:id="24" w:name="_Toc68691105"/>
            <w:bookmarkStart w:id="25" w:name="_Toc26546"/>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生态环境现状</w:t>
            </w:r>
            <w:bookmarkEnd w:id="21"/>
            <w:bookmarkEnd w:id="22"/>
            <w:bookmarkEnd w:id="23"/>
            <w:bookmarkEnd w:id="24"/>
            <w:bookmarkEnd w:id="25"/>
          </w:p>
          <w:p w14:paraId="096BCF7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本次新增永久征收土地面积为41.38亩，其中耕地</w:t>
            </w:r>
            <w:r>
              <w:rPr>
                <w:rFonts w:hint="eastAsia" w:cs="Times New Roman"/>
                <w:color w:val="auto"/>
                <w:highlight w:val="none"/>
                <w:lang w:eastAsia="zh-CN"/>
              </w:rPr>
              <w:t>22.79</w:t>
            </w:r>
            <w:r>
              <w:rPr>
                <w:rFonts w:hint="default" w:ascii="Times New Roman" w:hAnsi="Times New Roman" w:cs="Times New Roman"/>
                <w:color w:val="auto"/>
                <w:highlight w:val="none"/>
              </w:rPr>
              <w:t>亩（其中旱地2.85亩，水田19.94亩）、林地13.49亩（全部为其他林地）、草地1.65亩（全部为其他草地）、水域及水利设施用地3.45亩（坑塘水面1.80亩、沟渠1.65亩）。本工程不涉及占用永久基本农田。</w:t>
            </w:r>
          </w:p>
          <w:p w14:paraId="6D57516C">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新增临时占地土地面积</w:t>
            </w:r>
            <w:r>
              <w:rPr>
                <w:rFonts w:hint="eastAsia" w:cs="Times New Roman"/>
                <w:color w:val="auto"/>
                <w:highlight w:val="none"/>
                <w:lang w:eastAsia="zh-CN"/>
              </w:rPr>
              <w:t>35.54</w:t>
            </w:r>
            <w:r>
              <w:rPr>
                <w:rFonts w:hint="default" w:ascii="Times New Roman" w:hAnsi="Times New Roman" w:cs="Times New Roman"/>
                <w:color w:val="auto"/>
                <w:highlight w:val="none"/>
              </w:rPr>
              <w:t>亩，其中临时占用耕地6.60亩（全部为水田），林地0.90亩，草地1.05亩，水域及水利设施用地26.99亩，未占用基本农田。</w:t>
            </w:r>
          </w:p>
          <w:p w14:paraId="191F0E0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1、黑龙江省主体功能区规划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本工程所在的</w:t>
            </w:r>
            <w:r>
              <w:rPr>
                <w:rFonts w:hint="default" w:ascii="Times New Roman" w:hAnsi="Times New Roman" w:cs="Times New Roman"/>
                <w:color w:val="auto"/>
                <w:highlight w:val="none"/>
                <w:lang w:eastAsia="zh-CN"/>
              </w:rPr>
              <w:t>绥化市</w:t>
            </w:r>
            <w:r>
              <w:rPr>
                <w:rFonts w:hint="default" w:ascii="Times New Roman" w:hAnsi="Times New Roman" w:cs="Times New Roman"/>
                <w:color w:val="auto"/>
                <w:highlight w:val="none"/>
              </w:rPr>
              <w:t>属于限制开发区域（国家重点生态功能区）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绥化市庆安县位于点状开发城镇。</w:t>
            </w:r>
          </w:p>
          <w:p w14:paraId="0E5EDE9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（1）大小兴安岭森林生态功能区</w:t>
            </w:r>
          </w:p>
          <w:p w14:paraId="2C3A611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发展方向</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7A32304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点状开发城镇</w:t>
            </w:r>
          </w:p>
          <w:p w14:paraId="0219D55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功能定位:重要的农林产业和产品生产加工基地，县域经济和特色优势产业发展的核心区，承接周边农业人口和林业生态人口转移的集中区。</w:t>
            </w:r>
          </w:p>
          <w:p w14:paraId="7327CD6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生态建设:加强生态建设，积极保护耕地、森林、草原、水域和湿地，强化西部地区的防风固沙功能，加强水资源保护治理及林木采伐中的水土流失预防和治理。</w:t>
            </w:r>
          </w:p>
          <w:p w14:paraId="232367B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产业发展方向与布局:因地制宜发展优势特色产业，科学有序进行矿产资源的点状开发并做好生态恢复，重点发展特色种植养殖、观光休闲农业、农林牧产品生产和精深加工、绿色食品、北药等产业，积极发展生态旅游等服务业。</w:t>
            </w:r>
          </w:p>
          <w:p w14:paraId="2DED3172">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公共服务和基础设施建设:改善教育、医疗、文化等设施条件，健全公共服务体系，提高公共服务供给能力和水平。加强城镇道路、供排水、垃圾污水处理基础设施建设，优化生产生活环境。</w:t>
            </w:r>
          </w:p>
          <w:p w14:paraId="35BA749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eastAsia" w:cs="Times New Roman"/>
                <w:color w:val="auto"/>
                <w:highlight w:val="none"/>
                <w:lang w:eastAsia="zh-CN"/>
              </w:rPr>
              <w:t>本工程的建设任务通过格木克河改道工程，增大过流断面面积，增大河道行洪能力，稳固的格宾石笼结构有效防止河岸坍塌，保障行洪通道畅通无阻，显著提升河道行洪能力，降低城市内涝风险，守护居民生命财产安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在通过本报告提出的一系列生态保护措施和污染防治措施后，对生态环境的影响可降到最低</w:t>
            </w:r>
            <w:r>
              <w:rPr>
                <w:rFonts w:hint="default" w:ascii="Times New Roman" w:hAnsi="Times New Roman" w:cs="Times New Roman"/>
                <w:color w:val="auto"/>
                <w:highlight w:val="none"/>
              </w:rPr>
              <w:t>。因此，本工程的建设与《黑龙江省主体功能区规划》相符合。</w:t>
            </w:r>
          </w:p>
          <w:p w14:paraId="1A296B4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2、黑龙江省生态功能区划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项目位于Ⅰ—5—2—1呼兰河流域上游水源涵养与土壤保持生态功能区。</w:t>
            </w:r>
          </w:p>
          <w:p w14:paraId="113B585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Ⅰ—5—2—1呼兰河流域上游水源涵养与土壤保持生态功能区</w:t>
            </w:r>
            <w:r>
              <w:rPr>
                <w:rFonts w:hint="default" w:ascii="Times New Roman" w:hAnsi="Times New Roman" w:cs="Times New Roman"/>
                <w:color w:val="auto"/>
                <w:highlight w:val="none"/>
                <w:lang w:eastAsia="zh-CN"/>
              </w:rPr>
              <w:t>:</w:t>
            </w:r>
          </w:p>
          <w:p w14:paraId="37A6840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所在区域面积:庆安县、绥棱县、海伦市和铁力市大部分组成，面积9274平方公里。</w:t>
            </w:r>
          </w:p>
          <w:p w14:paraId="78D85AB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主要环境问题</w:t>
            </w:r>
            <w:r>
              <w:rPr>
                <w:rFonts w:hint="default" w:ascii="Times New Roman" w:hAnsi="Times New Roman" w:cs="Times New Roman"/>
                <w:color w:val="auto"/>
                <w:highlight w:val="none"/>
                <w:lang w:eastAsia="zh-CN"/>
              </w:rPr>
              <w:t>:低洼地雨季易发生涝灾，旱季易形成旱灾；砂质土壤蓄水能力差，水土流失严重。</w:t>
            </w:r>
          </w:p>
          <w:p w14:paraId="6F5C4CE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生态环境敏感性:土壤侵蚀、土地沙漠化和水污染中度敏感地区分布较为广泛。</w:t>
            </w:r>
          </w:p>
          <w:p w14:paraId="4E0C4B5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主要生态系统服务功能:水源涵养及土壤保持。</w:t>
            </w:r>
          </w:p>
          <w:p w14:paraId="700D89B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保护措施与发展方向:增加森林覆盖率，增强水源涵养能力，调节土壤结构，发展生态农业，防止水土流失。</w:t>
            </w:r>
          </w:p>
          <w:p w14:paraId="6E92536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本项目临时占地将在工程施工结束后恢复，对项目区生态系统和生物多样性基本无影响，且</w:t>
            </w:r>
            <w:r>
              <w:rPr>
                <w:rFonts w:hint="eastAsia" w:cs="Times New Roman"/>
                <w:color w:val="auto"/>
                <w:highlight w:val="none"/>
                <w:lang w:eastAsia="zh-CN"/>
              </w:rPr>
              <w:t>本工程的建设任务通过格木克河改道工程，增大过流断面面积，增大河道行洪能力，稳固的格宾石笼结构有效防止河岸坍塌，保障行洪通道畅通无阻，显著提升河道行洪能力，降低城市内涝风险，守护居民生命财产安全</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项目采取了一系列的生态保护措施和污染防治措施，施工场地周边设置围挡，洒水车定期洒水降尘，废水处理后回用不外排，固废处置率100%，</w:t>
            </w:r>
            <w:r>
              <w:rPr>
                <w:rFonts w:hint="default" w:ascii="Times New Roman" w:hAnsi="Times New Roman" w:cs="Times New Roman"/>
                <w:color w:val="auto"/>
                <w:highlight w:val="none"/>
              </w:rPr>
              <w:t>因此，本工程的建设</w:t>
            </w:r>
            <w:r>
              <w:rPr>
                <w:rFonts w:hint="default" w:ascii="Times New Roman" w:hAnsi="Times New Roman" w:cs="Times New Roman"/>
                <w:color w:val="auto"/>
                <w:highlight w:val="none"/>
                <w:lang w:val="en-US" w:eastAsia="zh-CN"/>
              </w:rPr>
              <w:t>对周边的环境影响可接受，</w:t>
            </w:r>
            <w:r>
              <w:rPr>
                <w:rFonts w:hint="default" w:ascii="Times New Roman" w:hAnsi="Times New Roman" w:cs="Times New Roman"/>
                <w:color w:val="auto"/>
                <w:highlight w:val="none"/>
              </w:rPr>
              <w:t>与《黑龙江省生态功能区划》保护措施与发展方向相符合。</w:t>
            </w:r>
          </w:p>
          <w:p w14:paraId="43F23D59">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3、水土流失现状</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highlight w:val="none"/>
              </w:rPr>
              <w:t>根据黑龙江省水土保持规划（2015</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2030年），水土保持区划为</w:t>
            </w:r>
            <w:r>
              <w:rPr>
                <w:rFonts w:hint="default" w:ascii="Times New Roman" w:hAnsi="Times New Roman" w:cs="Times New Roman"/>
                <w:color w:val="auto"/>
                <w:kern w:val="0"/>
                <w:highlight w:val="none"/>
                <w:lang w:val="en-US" w:eastAsia="zh-CN"/>
              </w:rPr>
              <w:t>东北漫川土壤保持区</w:t>
            </w:r>
            <w:r>
              <w:rPr>
                <w:rFonts w:hint="default" w:ascii="Times New Roman" w:hAnsi="Times New Roman" w:cs="Times New Roman"/>
                <w:color w:val="auto"/>
                <w:kern w:val="0"/>
                <w:highlight w:val="none"/>
              </w:rPr>
              <w:t>（I</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3—1t</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黑龙江省区划名称为中部漫川漫岗土壤保持区，</w:t>
            </w:r>
            <w:r>
              <w:rPr>
                <w:rFonts w:hint="default" w:ascii="Times New Roman" w:hAnsi="Times New Roman" w:cs="Times New Roman"/>
                <w:color w:val="auto"/>
                <w:kern w:val="0"/>
                <w:highlight w:val="none"/>
              </w:rPr>
              <w:t>水土保持两区划分为东北漫川漫岗水土流失重点治理区（国家级）。</w:t>
            </w:r>
            <w:bookmarkStart w:id="26" w:name="_Toc68691106"/>
            <w:bookmarkStart w:id="27" w:name="_Toc78298342"/>
            <w:bookmarkStart w:id="28" w:name="_Toc69831436"/>
            <w:bookmarkStart w:id="29" w:name="_Toc5427"/>
            <w:bookmarkStart w:id="30" w:name="_Toc82120792"/>
          </w:p>
          <w:p w14:paraId="06CD1DF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eastAsia="zh-CN"/>
              </w:rPr>
              <w:t>根据全国第一次水利普查成果及《黑龙江省水土保持规划（2015—2030）》，绥化市水土流失总面积为7434.47km²，占全市总土地面积的 21.33%。侵蚀类型全部为水蚀。按侵蚀强度划分:轻度侵蚀4658.46km²，占总水力侵蚀面积的62.64%，中度侵蚀1432.95km²，占总水力侵蚀面积的19.27%，强烈侵蚀970.59km²，占总水力侵蚀面积的13.05%，极强烈侵蚀333.95km²，占总水力侵蚀面积的4.49%，剧烈侵蚀41.52km²，占总水力侵蚀面积的0.56%。</w:t>
            </w:r>
          </w:p>
          <w:p w14:paraId="7463DD6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szCs w:val="28"/>
                <w:highlight w:val="none"/>
              </w:rPr>
            </w:pPr>
            <w:r>
              <w:rPr>
                <w:rFonts w:hint="default" w:ascii="Times New Roman" w:hAnsi="Times New Roman" w:cs="Times New Roman"/>
                <w:color w:val="auto"/>
                <w:szCs w:val="28"/>
                <w:highlight w:val="none"/>
              </w:rPr>
              <w:t>4、陆生生态环境现状</w:t>
            </w:r>
            <w:bookmarkEnd w:id="26"/>
            <w:bookmarkEnd w:id="27"/>
            <w:bookmarkEnd w:id="28"/>
            <w:bookmarkEnd w:id="29"/>
            <w:bookmarkEnd w:id="30"/>
          </w:p>
          <w:p w14:paraId="2BF3FF7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根据现场勘察结果，本次工程沿线两侧300米范围内植被类型为</w:t>
            </w:r>
            <w:r>
              <w:rPr>
                <w:rFonts w:hint="default" w:ascii="Times New Roman" w:hAnsi="Times New Roman" w:cs="Times New Roman"/>
                <w:color w:val="auto"/>
                <w:highlight w:val="none"/>
                <w:lang w:val="en-US" w:eastAsia="zh-CN"/>
              </w:rPr>
              <w:t>林地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草甸植被</w:t>
            </w:r>
            <w:r>
              <w:rPr>
                <w:rFonts w:hint="default" w:ascii="Times New Roman" w:hAnsi="Times New Roman" w:cs="Times New Roman"/>
                <w:color w:val="auto"/>
                <w:highlight w:val="none"/>
                <w:lang w:val="en-US" w:eastAsia="zh-CN"/>
              </w:rPr>
              <w:t>和栽培植被</w:t>
            </w:r>
            <w:r>
              <w:rPr>
                <w:rFonts w:hint="default" w:ascii="Times New Roman" w:hAnsi="Times New Roman" w:cs="Times New Roman"/>
                <w:color w:val="auto"/>
                <w:highlight w:val="none"/>
              </w:rPr>
              <w:t>。草甸植被主要分布在沿岸</w:t>
            </w:r>
            <w:r>
              <w:rPr>
                <w:rFonts w:hint="eastAsia" w:cs="Times New Roman"/>
                <w:color w:val="auto"/>
                <w:highlight w:val="none"/>
                <w:lang w:val="en-US" w:eastAsia="zh-CN"/>
              </w:rPr>
              <w:t>两侧</w:t>
            </w:r>
            <w:r>
              <w:rPr>
                <w:rFonts w:hint="default" w:ascii="Times New Roman" w:hAnsi="Times New Roman" w:cs="Times New Roman"/>
                <w:color w:val="auto"/>
                <w:highlight w:val="none"/>
              </w:rPr>
              <w:t>，有狗尾巴草、羊草、星星草等；</w:t>
            </w:r>
            <w:r>
              <w:rPr>
                <w:rFonts w:hint="default" w:ascii="Times New Roman" w:hAnsi="Times New Roman" w:cs="Times New Roman"/>
                <w:color w:val="auto"/>
                <w:highlight w:val="none"/>
                <w:lang w:val="en-US" w:eastAsia="zh-CN"/>
              </w:rPr>
              <w:t>林地植被</w:t>
            </w:r>
            <w:r>
              <w:rPr>
                <w:rFonts w:hint="default" w:ascii="Times New Roman" w:hAnsi="Times New Roman" w:cs="Times New Roman"/>
                <w:color w:val="auto"/>
                <w:highlight w:val="none"/>
              </w:rPr>
              <w:t>主要为兴安落叶松、山杨等。</w:t>
            </w:r>
            <w:r>
              <w:rPr>
                <w:rFonts w:hint="default" w:ascii="Times New Roman" w:hAnsi="Times New Roman" w:cs="Times New Roman"/>
                <w:color w:val="auto"/>
                <w:highlight w:val="none"/>
                <w:lang w:val="en-US" w:eastAsia="zh-CN"/>
              </w:rPr>
              <w:t>栽培植被主要为水稻和玉米。</w:t>
            </w:r>
          </w:p>
          <w:p w14:paraId="51FA8EA8">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工程沿线两侧300米范围内的土地利用类型为草地、</w:t>
            </w:r>
            <w:r>
              <w:rPr>
                <w:rFonts w:hint="eastAsia" w:cs="Times New Roman"/>
                <w:color w:val="auto"/>
                <w:highlight w:val="none"/>
                <w:lang w:val="en-US" w:eastAsia="zh-CN"/>
              </w:rPr>
              <w:t>耕地</w:t>
            </w:r>
            <w:r>
              <w:rPr>
                <w:rFonts w:hint="default" w:ascii="Times New Roman" w:hAnsi="Times New Roman" w:cs="Times New Roman"/>
                <w:color w:val="auto"/>
                <w:highlight w:val="none"/>
              </w:rPr>
              <w:t>、林地、水域等。</w:t>
            </w:r>
            <w:r>
              <w:rPr>
                <w:rFonts w:hint="eastAsia" w:cs="Times New Roman"/>
                <w:color w:val="auto"/>
                <w:highlight w:val="none"/>
                <w:lang w:val="en-US" w:eastAsia="zh-CN"/>
              </w:rPr>
              <w:t>耕地</w:t>
            </w:r>
            <w:r>
              <w:rPr>
                <w:rFonts w:hint="default" w:ascii="Times New Roman" w:hAnsi="Times New Roman" w:cs="Times New Roman"/>
                <w:color w:val="auto"/>
                <w:highlight w:val="none"/>
              </w:rPr>
              <w:t>分布较广泛，</w:t>
            </w:r>
            <w:r>
              <w:rPr>
                <w:rFonts w:hint="eastAsia" w:cs="Times New Roman"/>
                <w:color w:val="auto"/>
                <w:highlight w:val="none"/>
                <w:lang w:val="en-US" w:eastAsia="zh-CN"/>
              </w:rPr>
              <w:t>耕地</w:t>
            </w:r>
            <w:r>
              <w:rPr>
                <w:rFonts w:hint="default" w:ascii="Times New Roman" w:hAnsi="Times New Roman" w:cs="Times New Roman"/>
                <w:color w:val="auto"/>
                <w:highlight w:val="none"/>
              </w:rPr>
              <w:t>主要为旱田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少量水田</w:t>
            </w:r>
            <w:r>
              <w:rPr>
                <w:rFonts w:hint="default" w:ascii="Times New Roman" w:hAnsi="Times New Roman" w:cs="Times New Roman"/>
                <w:color w:val="auto"/>
                <w:highlight w:val="none"/>
              </w:rPr>
              <w:t>，水域为</w:t>
            </w:r>
            <w:r>
              <w:rPr>
                <w:rFonts w:hint="eastAsia" w:cs="Times New Roman"/>
                <w:color w:val="auto"/>
                <w:highlight w:val="none"/>
                <w:lang w:eastAsia="zh-CN"/>
              </w:rPr>
              <w:t>格木克河</w:t>
            </w:r>
            <w:r>
              <w:rPr>
                <w:rFonts w:hint="default" w:ascii="Times New Roman" w:hAnsi="Times New Roman" w:cs="Times New Roman"/>
                <w:color w:val="auto"/>
                <w:highlight w:val="none"/>
              </w:rPr>
              <w:t>水面。</w:t>
            </w:r>
          </w:p>
          <w:p w14:paraId="6ECF37D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yellow"/>
              </w:rPr>
              <w:t>工程沿线区域无大型野生动物，两栖类有青蛙、癞蛤蟆等，工程沿岸鸟类以农田生境种类为主，常见有喜鹊、树麻雀、家燕等，这些鸟类大部分是与人为</w:t>
            </w:r>
            <w:r>
              <w:rPr>
                <w:rFonts w:hint="default" w:ascii="Times New Roman" w:hAnsi="Times New Roman" w:cs="Times New Roman"/>
                <w:color w:val="auto"/>
                <w:highlight w:val="yellow"/>
                <w:lang w:val="en-US" w:eastAsia="zh-CN"/>
              </w:rPr>
              <w:t>活动</w:t>
            </w:r>
            <w:r>
              <w:rPr>
                <w:rFonts w:hint="default" w:ascii="Times New Roman" w:hAnsi="Times New Roman" w:cs="Times New Roman"/>
                <w:color w:val="auto"/>
                <w:highlight w:val="yellow"/>
              </w:rPr>
              <w:t>伴生种类。兽类主要为小型兽类，农田仓鼠和森林花鼠；爬行类主要为蜥蜴和蛇类。工程所在区域无珍稀濒危野生动、植物资源。</w:t>
            </w:r>
          </w:p>
          <w:p w14:paraId="7F23FBD0">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根据施工征地范围土地利用现状统计，工程临时用地总面积</w:t>
            </w:r>
            <w:r>
              <w:rPr>
                <w:rFonts w:hint="eastAsia" w:cs="Times New Roman"/>
                <w:bCs/>
                <w:color w:val="auto"/>
                <w:highlight w:val="none"/>
                <w:lang w:val="en-US" w:eastAsia="zh-CN"/>
              </w:rPr>
              <w:t>35.54</w:t>
            </w:r>
            <w:r>
              <w:rPr>
                <w:rFonts w:hint="default" w:ascii="Times New Roman" w:hAnsi="Times New Roman" w:cs="Times New Roman"/>
                <w:bCs/>
                <w:color w:val="auto"/>
                <w:highlight w:val="none"/>
                <w:lang w:eastAsia="zh-CN"/>
              </w:rPr>
              <w:t>亩</w:t>
            </w:r>
            <w:r>
              <w:rPr>
                <w:rFonts w:hint="default" w:ascii="Times New Roman" w:hAnsi="Times New Roman" w:cs="Times New Roman"/>
                <w:bCs/>
                <w:color w:val="auto"/>
                <w:highlight w:val="none"/>
              </w:rPr>
              <w:t>，其中临时占用耕地6.60亩（全部为水田），林地0.90亩，草地1.05亩，水域及水利设施用地26.99亩，未占用基本农田</w:t>
            </w:r>
            <w:r>
              <w:rPr>
                <w:rFonts w:hint="default" w:ascii="Times New Roman" w:hAnsi="Times New Roman" w:cs="Times New Roman"/>
                <w:bCs/>
                <w:color w:val="auto"/>
                <w:highlight w:val="none"/>
                <w:lang w:eastAsia="zh-CN"/>
              </w:rPr>
              <w:t>，不涉及国家和地方公益林，不涉及国家和地方重点保护野生植物</w:t>
            </w:r>
            <w:r>
              <w:rPr>
                <w:rFonts w:hint="default" w:ascii="Times New Roman" w:hAnsi="Times New Roman" w:cs="Times New Roman"/>
                <w:bCs/>
                <w:color w:val="auto"/>
                <w:highlight w:val="none"/>
              </w:rPr>
              <w:t>。</w:t>
            </w:r>
            <w:bookmarkStart w:id="31" w:name="_Toc20114"/>
            <w:bookmarkStart w:id="32" w:name="_Toc78298343"/>
            <w:bookmarkStart w:id="33" w:name="_Toc82120793"/>
            <w:bookmarkStart w:id="34" w:name="_Toc68691107"/>
            <w:bookmarkStart w:id="35" w:name="_Toc69831437"/>
          </w:p>
          <w:p w14:paraId="256D61E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none"/>
              </w:rPr>
            </w:pPr>
            <w:r>
              <w:rPr>
                <w:rFonts w:hint="eastAsia" w:cs="Times New Roman"/>
                <w:bCs/>
                <w:color w:val="auto"/>
                <w:highlight w:val="none"/>
                <w:lang w:val="en-US" w:eastAsia="zh-CN"/>
              </w:rPr>
              <w:t>根据黑龙江省林业和草原局发布《关于更新</w:t>
            </w:r>
            <w:r>
              <w:rPr>
                <w:rFonts w:hint="default" w:ascii="Times New Roman" w:hAnsi="Times New Roman" w:cs="Times New Roman"/>
                <w:bCs/>
                <w:color w:val="auto"/>
                <w:highlight w:val="none"/>
              </w:rPr>
              <w:t>黑龙江省湿地名录</w:t>
            </w:r>
            <w:r>
              <w:rPr>
                <w:rFonts w:hint="eastAsia" w:cs="Times New Roman"/>
                <w:bCs/>
                <w:color w:val="auto"/>
                <w:highlight w:val="none"/>
                <w:lang w:val="en-US" w:eastAsia="zh-CN"/>
              </w:rPr>
              <w:t>数据的公告</w:t>
            </w:r>
            <w:r>
              <w:rPr>
                <w:rFonts w:hint="default" w:ascii="Times New Roman" w:hAnsi="Times New Roman" w:cs="Times New Roman"/>
                <w:bCs/>
                <w:color w:val="auto"/>
                <w:highlight w:val="none"/>
              </w:rPr>
              <w:t>》</w:t>
            </w:r>
            <w:r>
              <w:rPr>
                <w:rFonts w:hint="eastAsia" w:cs="Times New Roman"/>
                <w:bCs/>
                <w:color w:val="auto"/>
                <w:highlight w:val="none"/>
                <w:lang w:eastAsia="zh-CN"/>
              </w:rPr>
              <w:t>，</w:t>
            </w:r>
            <w:r>
              <w:rPr>
                <w:rFonts w:hint="eastAsia" w:cs="Times New Roman"/>
                <w:bCs/>
                <w:color w:val="auto"/>
                <w:highlight w:val="none"/>
                <w:lang w:val="en-US" w:eastAsia="zh-CN"/>
              </w:rPr>
              <w:t>对照黑龙江省湿地名录数据</w:t>
            </w:r>
            <w:r>
              <w:rPr>
                <w:rFonts w:hint="default" w:ascii="Times New Roman" w:hAnsi="Times New Roman" w:cs="Times New Roman"/>
                <w:bCs/>
                <w:color w:val="auto"/>
                <w:highlight w:val="none"/>
              </w:rPr>
              <w:t>，</w:t>
            </w:r>
            <w:r>
              <w:rPr>
                <w:rFonts w:hint="eastAsia" w:cs="Times New Roman"/>
                <w:bCs/>
                <w:color w:val="auto"/>
                <w:highlight w:val="none"/>
                <w:lang w:val="en-US" w:eastAsia="zh-CN"/>
              </w:rPr>
              <w:t>评价范围不涉及湿地</w:t>
            </w:r>
            <w:r>
              <w:rPr>
                <w:rFonts w:hint="default" w:ascii="Times New Roman" w:hAnsi="Times New Roman" w:cs="Times New Roman"/>
                <w:bCs/>
                <w:color w:val="auto"/>
                <w:highlight w:val="none"/>
              </w:rPr>
              <w:t>。</w:t>
            </w:r>
          </w:p>
          <w:p w14:paraId="3C98D77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5、水生生态环境现状</w:t>
            </w:r>
            <w:bookmarkEnd w:id="31"/>
            <w:bookmarkEnd w:id="32"/>
            <w:bookmarkEnd w:id="33"/>
            <w:bookmarkEnd w:id="34"/>
            <w:bookmarkEnd w:id="35"/>
          </w:p>
          <w:p w14:paraId="7497833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bookmarkStart w:id="36" w:name="_Toc82120794"/>
            <w:bookmarkStart w:id="37" w:name="_Toc78298345"/>
            <w:bookmarkStart w:id="38" w:name="_Toc4719"/>
            <w:bookmarkStart w:id="39" w:name="_Toc69831438"/>
            <w:bookmarkStart w:id="40" w:name="_Toc68691108"/>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鱼类</w:t>
            </w:r>
          </w:p>
          <w:p w14:paraId="0537802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根据调查</w:t>
            </w:r>
            <w:r>
              <w:rPr>
                <w:rFonts w:hint="default" w:ascii="Times New Roman" w:hAnsi="Times New Roman" w:cs="Times New Roman"/>
                <w:color w:val="auto"/>
                <w:highlight w:val="none"/>
                <w:lang w:val="en-US" w:eastAsia="zh-CN"/>
              </w:rPr>
              <w:t>相关资料</w:t>
            </w:r>
            <w:r>
              <w:rPr>
                <w:rFonts w:hint="default" w:ascii="Times New Roman" w:hAnsi="Times New Roman" w:cs="Times New Roman"/>
                <w:color w:val="auto"/>
                <w:highlight w:val="none"/>
                <w:lang w:eastAsia="zh-CN"/>
              </w:rPr>
              <w:t>和实地走访，</w:t>
            </w:r>
            <w:r>
              <w:rPr>
                <w:rFonts w:hint="eastAsia" w:cs="Times New Roman"/>
                <w:color w:val="auto"/>
                <w:highlight w:val="none"/>
                <w:lang w:val="en-US" w:eastAsia="zh-CN"/>
              </w:rPr>
              <w:t>格木克河</w:t>
            </w:r>
            <w:r>
              <w:rPr>
                <w:rFonts w:hint="default" w:ascii="Times New Roman" w:hAnsi="Times New Roman" w:cs="Times New Roman"/>
                <w:color w:val="auto"/>
                <w:highlight w:val="none"/>
                <w:lang w:eastAsia="zh-CN"/>
              </w:rPr>
              <w:t>的鱼类主要为小型低值经济鱼类，有鲫鱼，鲶，</w:t>
            </w:r>
            <w:r>
              <w:rPr>
                <w:rFonts w:hint="default" w:ascii="Times New Roman" w:hAnsi="Times New Roman" w:cs="Times New Roman"/>
                <w:color w:val="auto"/>
                <w:highlight w:val="none"/>
                <w:lang w:val="en-US" w:eastAsia="zh-CN"/>
              </w:rPr>
              <w:t>鲤鱼</w:t>
            </w:r>
            <w:r>
              <w:rPr>
                <w:rFonts w:hint="default" w:ascii="Times New Roman" w:hAnsi="Times New Roman" w:cs="Times New Roman"/>
                <w:color w:val="auto"/>
                <w:highlight w:val="none"/>
                <w:lang w:eastAsia="zh-CN"/>
              </w:rPr>
              <w:t>等。其中鲫鱼、</w:t>
            </w:r>
            <w:r>
              <w:rPr>
                <w:rFonts w:hint="default" w:ascii="Times New Roman" w:hAnsi="Times New Roman" w:cs="Times New Roman"/>
                <w:color w:val="auto"/>
                <w:highlight w:val="none"/>
                <w:lang w:val="en-US" w:eastAsia="zh-CN"/>
              </w:rPr>
              <w:t>鲤鱼</w:t>
            </w:r>
            <w:r>
              <w:rPr>
                <w:rFonts w:hint="default" w:ascii="Times New Roman" w:hAnsi="Times New Roman" w:cs="Times New Roman"/>
                <w:color w:val="auto"/>
                <w:highlight w:val="none"/>
                <w:lang w:eastAsia="zh-CN"/>
              </w:rPr>
              <w:t>为群落优势种，因适应能力强、繁殖周期短，在河段内分布广泛。</w:t>
            </w:r>
          </w:p>
          <w:p w14:paraId="761078F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lang w:eastAsia="zh-CN"/>
              </w:rPr>
            </w:pPr>
            <w:r>
              <w:rPr>
                <w:rFonts w:hint="eastAsia" w:cs="Times New Roman"/>
                <w:color w:val="auto"/>
                <w:highlight w:val="yellow"/>
                <w:lang w:val="en-US" w:eastAsia="zh-CN"/>
              </w:rPr>
              <w:t>涉水工程范围内</w:t>
            </w:r>
            <w:r>
              <w:rPr>
                <w:rFonts w:hint="default" w:ascii="Times New Roman" w:hAnsi="Times New Roman" w:cs="Times New Roman"/>
                <w:color w:val="auto"/>
                <w:highlight w:val="yellow"/>
                <w:lang w:eastAsia="zh-CN"/>
              </w:rPr>
              <w:t>不涉及重要珍稀水生生物栖息地，亦不涉及重要珍稀鱼类的产卵场、索饵场、越冬场（统称"三场"）及洄游通道，河段水生生态系统以普通经济鱼类及常见浮游生物为主体，无水生生物保护敏感对象。</w:t>
            </w:r>
          </w:p>
          <w:p w14:paraId="2E3EE97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（2）浮游生物</w:t>
            </w:r>
          </w:p>
          <w:p w14:paraId="5C337FA7">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河段内浮游植物主要以绿藻门、硅藻门为优势类群。浮游动物主要为铃虫、球形砂壳虫等原生动物为绝对优势类群，偶见轮虫，无枝角类、桡足类优势种。底栖动物以环节动物、节肢动物为优势类群。</w:t>
            </w:r>
          </w:p>
          <w:p w14:paraId="6AAA10B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（3）水生植物</w:t>
            </w:r>
          </w:p>
          <w:p w14:paraId="64C953F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受水流冲刷严重地段，水土流失导致岸坡出现坍塌，坡面陡峭，冲刷段几乎无植物生长。</w:t>
            </w:r>
            <w:r>
              <w:rPr>
                <w:rFonts w:hint="eastAsia" w:cs="Times New Roman"/>
                <w:color w:val="auto"/>
                <w:highlight w:val="none"/>
                <w:lang w:val="en-US" w:eastAsia="zh-CN"/>
              </w:rPr>
              <w:t>本项目在枯水期施工</w:t>
            </w:r>
            <w:r>
              <w:rPr>
                <w:rFonts w:hint="default" w:ascii="Times New Roman" w:hAnsi="Times New Roman" w:cs="Times New Roman"/>
                <w:color w:val="auto"/>
                <w:highlight w:val="none"/>
                <w:lang w:eastAsia="zh-CN"/>
              </w:rPr>
              <w:t>，不涉及水生植物影响。</w:t>
            </w:r>
          </w:p>
          <w:p w14:paraId="7D766D8B">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6、河势稳定性</w:t>
            </w:r>
          </w:p>
          <w:p w14:paraId="6355AC5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上游河段河道河床起伏不大，坡度较缓，</w:t>
            </w:r>
            <w:r>
              <w:rPr>
                <w:rFonts w:hint="eastAsia" w:cs="Times New Roman"/>
                <w:color w:val="auto"/>
                <w:highlight w:val="none"/>
                <w:lang w:val="en-US" w:eastAsia="zh-CN"/>
              </w:rPr>
              <w:t>改道工程增大河道行洪断面，顺直河道</w:t>
            </w:r>
            <w:r>
              <w:rPr>
                <w:rFonts w:hint="default" w:ascii="Times New Roman" w:hAnsi="Times New Roman" w:eastAsia="宋体" w:cs="Times New Roman"/>
                <w:color w:val="auto"/>
                <w:highlight w:val="none"/>
                <w:lang w:eastAsia="zh-CN"/>
              </w:rPr>
              <w:t>，河道稳定性较好。</w:t>
            </w:r>
          </w:p>
          <w:p w14:paraId="76A089DE">
            <w:pPr>
              <w:pStyle w:val="84"/>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二、</w:t>
            </w:r>
            <w:r>
              <w:rPr>
                <w:rFonts w:hint="default" w:ascii="Times New Roman" w:hAnsi="Times New Roman" w:cs="Times New Roman"/>
                <w:b/>
                <w:color w:val="auto"/>
                <w:highlight w:val="none"/>
              </w:rPr>
              <w:t>项目区域环境空气质量现状</w:t>
            </w:r>
            <w:bookmarkEnd w:id="36"/>
            <w:bookmarkEnd w:id="37"/>
            <w:bookmarkEnd w:id="38"/>
          </w:p>
          <w:p w14:paraId="56D1F0AD">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根据《环境影响评价技术导则大气环境》（HJ2.2</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2018）6.2.1.1项目所在区域达标判定，优先采用国家或地方生态环境主管部门公开发布的评价基准年环境质量公告或环境质量报告中的数据或结论。</w:t>
            </w:r>
          </w:p>
          <w:p w14:paraId="6691004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color w:val="auto"/>
                <w:highlight w:val="none"/>
              </w:rPr>
            </w:pPr>
            <w:r>
              <w:rPr>
                <w:rFonts w:hint="default" w:ascii="Times New Roman" w:hAnsi="Times New Roman" w:cs="Times New Roman"/>
                <w:bCs/>
                <w:color w:val="auto"/>
                <w:highlight w:val="none"/>
              </w:rPr>
              <w:t>本项目位于绥化市。根据《2025年黑龙江省生态环境质量状况》，绥化市空气质量级别未</w:t>
            </w:r>
            <w:r>
              <w:rPr>
                <w:rFonts w:hint="default" w:ascii="Times New Roman" w:hAnsi="Times New Roman" w:cs="Times New Roman"/>
                <w:bCs/>
                <w:color w:val="auto"/>
                <w:highlight w:val="none"/>
                <w:lang w:val="en-US" w:eastAsia="zh-CN"/>
              </w:rPr>
              <w:t>达到</w:t>
            </w:r>
            <w:r>
              <w:rPr>
                <w:rFonts w:hint="default" w:ascii="Times New Roman" w:hAnsi="Times New Roman" w:eastAsia="宋体" w:cs="Times New Roman"/>
                <w:color w:val="auto"/>
                <w:sz w:val="24"/>
                <w:highlight w:val="none"/>
              </w:rPr>
              <w:t>《环境空气质量标准》（GB3095</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w:t>
            </w:r>
            <w:r>
              <w:rPr>
                <w:rFonts w:hint="default" w:ascii="Times New Roman" w:hAnsi="Times New Roman" w:cs="Times New Roman"/>
                <w:color w:val="auto"/>
                <w:sz w:val="24"/>
                <w:highlight w:val="none"/>
                <w:lang w:val="en-US" w:eastAsia="zh-CN"/>
              </w:rPr>
              <w:t>26</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中过渡阶段浓度限值</w:t>
            </w:r>
            <w:r>
              <w:rPr>
                <w:rFonts w:hint="default" w:ascii="Times New Roman" w:hAnsi="Times New Roman" w:eastAsia="宋体" w:cs="Times New Roman"/>
                <w:color w:val="auto"/>
                <w:sz w:val="24"/>
                <w:highlight w:val="none"/>
              </w:rPr>
              <w:t>的二级标准</w:t>
            </w:r>
            <w:r>
              <w:rPr>
                <w:rFonts w:hint="default" w:ascii="Times New Roman" w:hAnsi="Times New Roman" w:cs="Times New Roman"/>
                <w:bCs/>
                <w:color w:val="auto"/>
                <w:highlight w:val="none"/>
              </w:rPr>
              <w:t>，达标天数为307天</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84.3%</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。P</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bscript"/>
              </w:rPr>
              <w:t>2.5</w:t>
            </w:r>
            <w:r>
              <w:rPr>
                <w:rFonts w:hint="default" w:ascii="Times New Roman" w:hAnsi="Times New Roman" w:cs="Times New Roman"/>
                <w:bCs/>
                <w:color w:val="auto"/>
                <w:highlight w:val="none"/>
              </w:rPr>
              <w:t>、P</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bscript"/>
              </w:rPr>
              <w:t>10</w:t>
            </w:r>
            <w:r>
              <w:rPr>
                <w:rFonts w:hint="default" w:ascii="Times New Roman" w:hAnsi="Times New Roman" w:cs="Times New Roman"/>
                <w:bCs/>
                <w:color w:val="auto"/>
                <w:highlight w:val="none"/>
              </w:rPr>
              <w:t>、SO</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rPr>
              <w:t>、NO</w:t>
            </w:r>
            <w:r>
              <w:rPr>
                <w:rFonts w:hint="default" w:ascii="Times New Roman" w:hAnsi="Times New Roman" w:cs="Times New Roman"/>
                <w:bCs/>
                <w:color w:val="auto"/>
                <w:highlight w:val="none"/>
                <w:vertAlign w:val="subscript"/>
              </w:rPr>
              <w:t>2</w:t>
            </w:r>
            <w:r>
              <w:rPr>
                <w:rFonts w:hint="default" w:ascii="Times New Roman" w:hAnsi="Times New Roman" w:cs="Times New Roman"/>
                <w:bCs/>
                <w:color w:val="auto"/>
                <w:highlight w:val="none"/>
              </w:rPr>
              <w:t>、CO</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95per和O</w:t>
            </w:r>
            <w:r>
              <w:rPr>
                <w:rFonts w:hint="default" w:ascii="Times New Roman" w:hAnsi="Times New Roman" w:cs="Times New Roman"/>
                <w:bCs/>
                <w:color w:val="auto"/>
                <w:highlight w:val="none"/>
                <w:vertAlign w:val="subscript"/>
              </w:rPr>
              <w:t>3</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8h</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90per年均浓度分别为38μg/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、54μg/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、6μg/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、19μg/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、1.1</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rPr>
              <w:t>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和119μg/</w:t>
            </w:r>
            <w:r>
              <w:rPr>
                <w:rFonts w:hint="default" w:ascii="Times New Roman" w:hAnsi="Times New Roman" w:cs="Times New Roman"/>
                <w:bCs/>
                <w:color w:val="auto"/>
                <w:highlight w:val="none"/>
                <w:lang w:eastAsia="zh-CN"/>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w:t>
            </w:r>
          </w:p>
          <w:p w14:paraId="6B0319EC">
            <w:pPr>
              <w:keepNext w:val="0"/>
              <w:keepLines w:val="0"/>
              <w:pageBreakBefore w:val="0"/>
              <w:widowControl w:val="0"/>
              <w:tabs>
                <w:tab w:val="left" w:pos="720"/>
              </w:tabs>
              <w:kinsoku/>
              <w:wordWrap/>
              <w:overflowPunct/>
              <w:topLinePunct w:val="0"/>
              <w:autoSpaceDE/>
              <w:autoSpaceDN/>
              <w:bidi w:val="0"/>
              <w:spacing w:line="500" w:lineRule="exact"/>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1"/>
                <w:szCs w:val="21"/>
                <w:highlight w:val="none"/>
                <w:lang w:val="en-US" w:eastAsia="zh-CN"/>
              </w:rPr>
              <w:t>表3</w:t>
            </w:r>
            <w:r>
              <w:rPr>
                <w:rFonts w:hint="default" w:ascii="Times New Roman" w:hAnsi="Times New Roman"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 xml:space="preserve">1 </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环境空气质量统计一览表</w:t>
            </w:r>
            <w:r>
              <w:rPr>
                <w:rFonts w:hint="default" w:ascii="Times New Roman" w:hAnsi="Times New Roman" w:eastAsia="宋体" w:cs="Times New Roman"/>
                <w:b/>
                <w:color w:val="auto"/>
                <w:sz w:val="24"/>
                <w:szCs w:val="24"/>
                <w:highlight w:val="none"/>
                <w:lang w:val="en-US" w:eastAsia="zh-CN"/>
              </w:rPr>
              <w:t xml:space="preserve"> </w:t>
            </w:r>
          </w:p>
          <w:tbl>
            <w:tblPr>
              <w:tblStyle w:val="2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4"/>
              <w:gridCol w:w="1274"/>
              <w:gridCol w:w="1274"/>
              <w:gridCol w:w="1274"/>
              <w:gridCol w:w="1275"/>
              <w:gridCol w:w="1275"/>
            </w:tblGrid>
            <w:tr w14:paraId="3279E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9B9D56D">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污染物</w:t>
                  </w:r>
                </w:p>
              </w:tc>
              <w:tc>
                <w:tcPr>
                  <w:tcW w:w="833" w:type="pct"/>
                  <w:tcBorders>
                    <w:tl2br w:val="nil"/>
                    <w:tr2bl w:val="nil"/>
                  </w:tcBorders>
                  <w:noWrap w:val="0"/>
                  <w:vAlign w:val="center"/>
                </w:tcPr>
                <w:p w14:paraId="4CCA83F0">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年评价指标</w:t>
                  </w:r>
                </w:p>
              </w:tc>
              <w:tc>
                <w:tcPr>
                  <w:tcW w:w="833" w:type="pct"/>
                  <w:tcBorders>
                    <w:tl2br w:val="nil"/>
                    <w:tr2bl w:val="nil"/>
                  </w:tcBorders>
                  <w:noWrap w:val="0"/>
                  <w:vAlign w:val="center"/>
                </w:tcPr>
                <w:p w14:paraId="56C00E29">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现状浓度</w:t>
                  </w:r>
                </w:p>
                <w:p w14:paraId="2C73CC95">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（μg/</w:t>
                  </w:r>
                  <w:r>
                    <w:rPr>
                      <w:rFonts w:hint="default" w:ascii="Times New Roman" w:hAnsi="Times New Roman" w:cs="Times New Roman"/>
                      <w:color w:val="000000"/>
                      <w:szCs w:val="21"/>
                      <w:highlight w:val="none"/>
                      <w:lang w:eastAsia="zh-CN"/>
                    </w:rPr>
                    <w:t>m</w:t>
                  </w:r>
                  <w:r>
                    <w:rPr>
                      <w:rFonts w:hint="default" w:ascii="Times New Roman" w:hAnsi="Times New Roman" w:eastAsia="宋体" w:cs="Times New Roman"/>
                      <w:color w:val="000000"/>
                      <w:szCs w:val="21"/>
                      <w:highlight w:val="none"/>
                      <w:vertAlign w:val="superscript"/>
                    </w:rPr>
                    <w:t>3</w:t>
                  </w: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1F5E4F6F">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标准值</w:t>
                  </w:r>
                </w:p>
                <w:p w14:paraId="3CA500CD">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（μg/</w:t>
                  </w:r>
                  <w:r>
                    <w:rPr>
                      <w:rFonts w:hint="default" w:ascii="Times New Roman" w:hAnsi="Times New Roman" w:cs="Times New Roman"/>
                      <w:color w:val="000000"/>
                      <w:szCs w:val="21"/>
                      <w:highlight w:val="none"/>
                      <w:lang w:eastAsia="zh-CN"/>
                    </w:rPr>
                    <w:t>m</w:t>
                  </w:r>
                  <w:r>
                    <w:rPr>
                      <w:rFonts w:hint="default" w:ascii="Times New Roman" w:hAnsi="Times New Roman" w:eastAsia="宋体" w:cs="Times New Roman"/>
                      <w:color w:val="000000"/>
                      <w:szCs w:val="21"/>
                      <w:highlight w:val="none"/>
                      <w:vertAlign w:val="superscript"/>
                    </w:rPr>
                    <w:t>3</w:t>
                  </w: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7C4902A1">
                  <w:pPr>
                    <w:shd w:val="clear" w:color="auto" w:fill="auto"/>
                    <w:tabs>
                      <w:tab w:val="left" w:pos="3960"/>
                    </w:tabs>
                    <w:snapToGrid w:val="0"/>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占标率</w:t>
                  </w:r>
                </w:p>
                <w:p w14:paraId="78766151">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w:t>
                  </w:r>
                </w:p>
              </w:tc>
              <w:tc>
                <w:tcPr>
                  <w:tcW w:w="833" w:type="pct"/>
                  <w:tcBorders>
                    <w:tl2br w:val="nil"/>
                    <w:tr2bl w:val="nil"/>
                  </w:tcBorders>
                  <w:noWrap w:val="0"/>
                  <w:vAlign w:val="center"/>
                </w:tcPr>
                <w:p w14:paraId="397069A8">
                  <w:pPr>
                    <w:shd w:val="clear" w:color="auto" w:fill="auto"/>
                    <w:tabs>
                      <w:tab w:val="left" w:pos="3960"/>
                    </w:tabs>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rPr>
                    <w:t>达标情况</w:t>
                  </w:r>
                </w:p>
              </w:tc>
            </w:tr>
            <w:tr w14:paraId="0F843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124BEBB9">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SO</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p>
              </w:tc>
              <w:tc>
                <w:tcPr>
                  <w:tcW w:w="833" w:type="pct"/>
                  <w:tcBorders>
                    <w:tl2br w:val="nil"/>
                    <w:tr2bl w:val="nil"/>
                  </w:tcBorders>
                  <w:noWrap w:val="0"/>
                  <w:vAlign w:val="center"/>
                </w:tcPr>
                <w:p w14:paraId="20BA71D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4F1CEDD1">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w:t>
                  </w:r>
                </w:p>
              </w:tc>
              <w:tc>
                <w:tcPr>
                  <w:tcW w:w="833" w:type="pct"/>
                  <w:tcBorders>
                    <w:tl2br w:val="nil"/>
                    <w:tr2bl w:val="nil"/>
                  </w:tcBorders>
                  <w:noWrap w:val="0"/>
                  <w:vAlign w:val="center"/>
                </w:tcPr>
                <w:p w14:paraId="062A1D7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833" w:type="pct"/>
                  <w:tcBorders>
                    <w:tl2br w:val="nil"/>
                    <w:tr2bl w:val="nil"/>
                  </w:tcBorders>
                  <w:noWrap w:val="0"/>
                  <w:vAlign w:val="center"/>
                </w:tcPr>
                <w:p w14:paraId="5C57E72D">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10.00</w:t>
                  </w:r>
                </w:p>
              </w:tc>
              <w:tc>
                <w:tcPr>
                  <w:tcW w:w="833" w:type="pct"/>
                  <w:tcBorders>
                    <w:tl2br w:val="nil"/>
                    <w:tr2bl w:val="nil"/>
                  </w:tcBorders>
                  <w:noWrap w:val="0"/>
                  <w:vAlign w:val="center"/>
                </w:tcPr>
                <w:p w14:paraId="4028E70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4B72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811218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NO</w:t>
                  </w:r>
                  <w:r>
                    <w:rPr>
                      <w:rFonts w:hint="default" w:ascii="Times New Roman" w:hAnsi="Times New Roman" w:eastAsia="宋体" w:cs="Times New Roman"/>
                      <w:snapToGrid w:val="0"/>
                      <w:color w:val="auto"/>
                      <w:kern w:val="0"/>
                      <w:sz w:val="21"/>
                      <w:szCs w:val="21"/>
                      <w:highlight w:val="none"/>
                      <w:vertAlign w:val="subscript"/>
                      <w:lang w:val="en-US" w:eastAsia="zh-CN" w:bidi="ar-SA"/>
                    </w:rPr>
                    <w:t>2</w:t>
                  </w:r>
                </w:p>
              </w:tc>
              <w:tc>
                <w:tcPr>
                  <w:tcW w:w="833" w:type="pct"/>
                  <w:tcBorders>
                    <w:tl2br w:val="nil"/>
                    <w:tr2bl w:val="nil"/>
                  </w:tcBorders>
                  <w:noWrap w:val="0"/>
                  <w:vAlign w:val="center"/>
                </w:tcPr>
                <w:p w14:paraId="42A2D94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2C243A3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19</w:t>
                  </w:r>
                </w:p>
              </w:tc>
              <w:tc>
                <w:tcPr>
                  <w:tcW w:w="833" w:type="pct"/>
                  <w:tcBorders>
                    <w:tl2br w:val="nil"/>
                    <w:tr2bl w:val="nil"/>
                  </w:tcBorders>
                  <w:noWrap w:val="0"/>
                  <w:vAlign w:val="center"/>
                </w:tcPr>
                <w:p w14:paraId="19A043E5">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40</w:t>
                  </w:r>
                </w:p>
              </w:tc>
              <w:tc>
                <w:tcPr>
                  <w:tcW w:w="833" w:type="pct"/>
                  <w:tcBorders>
                    <w:tl2br w:val="nil"/>
                    <w:tr2bl w:val="nil"/>
                  </w:tcBorders>
                  <w:noWrap w:val="0"/>
                  <w:vAlign w:val="center"/>
                </w:tcPr>
                <w:p w14:paraId="0CA383E8">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45.00</w:t>
                  </w:r>
                </w:p>
              </w:tc>
              <w:tc>
                <w:tcPr>
                  <w:tcW w:w="833" w:type="pct"/>
                  <w:tcBorders>
                    <w:tl2br w:val="nil"/>
                    <w:tr2bl w:val="nil"/>
                  </w:tcBorders>
                  <w:noWrap w:val="0"/>
                  <w:vAlign w:val="center"/>
                </w:tcPr>
                <w:p w14:paraId="4C3AC86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00BC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A27C05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P</w:t>
                  </w:r>
                  <w:r>
                    <w:rPr>
                      <w:rFonts w:hint="default" w:ascii="Times New Roman" w:hAnsi="Times New Roman" w:cs="Times New Roman"/>
                      <w:snapToGrid w:val="0"/>
                      <w:color w:val="auto"/>
                      <w:kern w:val="0"/>
                      <w:sz w:val="21"/>
                      <w:szCs w:val="21"/>
                      <w:highlight w:val="none"/>
                      <w:lang w:val="en-US" w:eastAsia="zh-CN" w:bidi="ar-SA"/>
                    </w:rPr>
                    <w:t>m</w:t>
                  </w:r>
                  <w:r>
                    <w:rPr>
                      <w:rFonts w:hint="default" w:ascii="Times New Roman" w:hAnsi="Times New Roman" w:eastAsia="宋体" w:cs="Times New Roman"/>
                      <w:snapToGrid w:val="0"/>
                      <w:color w:val="auto"/>
                      <w:kern w:val="0"/>
                      <w:sz w:val="21"/>
                      <w:szCs w:val="21"/>
                      <w:highlight w:val="none"/>
                      <w:vertAlign w:val="subscript"/>
                      <w:lang w:val="en-US" w:eastAsia="zh-CN" w:bidi="ar-SA"/>
                    </w:rPr>
                    <w:t>10</w:t>
                  </w:r>
                </w:p>
              </w:tc>
              <w:tc>
                <w:tcPr>
                  <w:tcW w:w="833" w:type="pct"/>
                  <w:tcBorders>
                    <w:tl2br w:val="nil"/>
                    <w:tr2bl w:val="nil"/>
                  </w:tcBorders>
                  <w:noWrap w:val="0"/>
                  <w:vAlign w:val="center"/>
                </w:tcPr>
                <w:p w14:paraId="3D4C00BA">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5912100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54</w:t>
                  </w:r>
                </w:p>
              </w:tc>
              <w:tc>
                <w:tcPr>
                  <w:tcW w:w="833" w:type="pct"/>
                  <w:tcBorders>
                    <w:tl2br w:val="nil"/>
                    <w:tr2bl w:val="nil"/>
                  </w:tcBorders>
                  <w:noWrap w:val="0"/>
                  <w:vAlign w:val="center"/>
                </w:tcPr>
                <w:p w14:paraId="5598FBE6">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60</w:t>
                  </w:r>
                </w:p>
              </w:tc>
              <w:tc>
                <w:tcPr>
                  <w:tcW w:w="833" w:type="pct"/>
                  <w:tcBorders>
                    <w:tl2br w:val="nil"/>
                    <w:tr2bl w:val="nil"/>
                  </w:tcBorders>
                  <w:noWrap w:val="0"/>
                  <w:vAlign w:val="center"/>
                </w:tcPr>
                <w:p w14:paraId="4F2335CE">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90.00</w:t>
                  </w:r>
                </w:p>
              </w:tc>
              <w:tc>
                <w:tcPr>
                  <w:tcW w:w="833" w:type="pct"/>
                  <w:tcBorders>
                    <w:tl2br w:val="nil"/>
                    <w:tr2bl w:val="nil"/>
                  </w:tcBorders>
                  <w:noWrap w:val="0"/>
                  <w:vAlign w:val="center"/>
                </w:tcPr>
                <w:p w14:paraId="21689B9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5DD23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146B8A11">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P</w:t>
                  </w:r>
                  <w:r>
                    <w:rPr>
                      <w:rFonts w:hint="default" w:ascii="Times New Roman" w:hAnsi="Times New Roman" w:cs="Times New Roman"/>
                      <w:snapToGrid w:val="0"/>
                      <w:color w:val="auto"/>
                      <w:kern w:val="0"/>
                      <w:sz w:val="21"/>
                      <w:szCs w:val="21"/>
                      <w:highlight w:val="none"/>
                      <w:lang w:val="en-US" w:eastAsia="zh-CN" w:bidi="ar-SA"/>
                    </w:rPr>
                    <w:t>m</w:t>
                  </w:r>
                  <w:r>
                    <w:rPr>
                      <w:rFonts w:hint="default" w:ascii="Times New Roman" w:hAnsi="Times New Roman" w:eastAsia="宋体" w:cs="Times New Roman"/>
                      <w:snapToGrid w:val="0"/>
                      <w:color w:val="auto"/>
                      <w:kern w:val="0"/>
                      <w:sz w:val="21"/>
                      <w:szCs w:val="21"/>
                      <w:highlight w:val="none"/>
                      <w:vertAlign w:val="subscript"/>
                      <w:lang w:val="en-US" w:eastAsia="zh-CN" w:bidi="ar-SA"/>
                    </w:rPr>
                    <w:t>2.5</w:t>
                  </w:r>
                </w:p>
              </w:tc>
              <w:tc>
                <w:tcPr>
                  <w:tcW w:w="833" w:type="pct"/>
                  <w:tcBorders>
                    <w:tl2br w:val="nil"/>
                    <w:tr2bl w:val="nil"/>
                  </w:tcBorders>
                  <w:noWrap w:val="0"/>
                  <w:vAlign w:val="center"/>
                </w:tcPr>
                <w:p w14:paraId="2C198C8A">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年平均质量浓度</w:t>
                  </w:r>
                </w:p>
              </w:tc>
              <w:tc>
                <w:tcPr>
                  <w:tcW w:w="833" w:type="pct"/>
                  <w:tcBorders>
                    <w:tl2br w:val="nil"/>
                    <w:tr2bl w:val="nil"/>
                  </w:tcBorders>
                  <w:noWrap w:val="0"/>
                  <w:vAlign w:val="center"/>
                </w:tcPr>
                <w:p w14:paraId="14404BEB">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38</w:t>
                  </w:r>
                </w:p>
              </w:tc>
              <w:tc>
                <w:tcPr>
                  <w:tcW w:w="833" w:type="pct"/>
                  <w:tcBorders>
                    <w:tl2br w:val="nil"/>
                    <w:tr2bl w:val="nil"/>
                  </w:tcBorders>
                  <w:noWrap w:val="0"/>
                  <w:vAlign w:val="center"/>
                </w:tcPr>
                <w:p w14:paraId="44DF2917">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30</w:t>
                  </w:r>
                </w:p>
              </w:tc>
              <w:tc>
                <w:tcPr>
                  <w:tcW w:w="833" w:type="pct"/>
                  <w:tcBorders>
                    <w:tl2br w:val="nil"/>
                    <w:tr2bl w:val="nil"/>
                  </w:tcBorders>
                  <w:noWrap w:val="0"/>
                  <w:vAlign w:val="center"/>
                </w:tcPr>
                <w:p w14:paraId="56FEF83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126.70</w:t>
                  </w:r>
                </w:p>
              </w:tc>
              <w:tc>
                <w:tcPr>
                  <w:tcW w:w="833" w:type="pct"/>
                  <w:tcBorders>
                    <w:tl2br w:val="nil"/>
                    <w:tr2bl w:val="nil"/>
                  </w:tcBorders>
                  <w:noWrap w:val="0"/>
                  <w:vAlign w:val="center"/>
                </w:tcPr>
                <w:p w14:paraId="407C14A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超标</w:t>
                  </w:r>
                </w:p>
              </w:tc>
            </w:tr>
            <w:tr w14:paraId="583D9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4F27EC4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CO</w:t>
                  </w:r>
                </w:p>
              </w:tc>
              <w:tc>
                <w:tcPr>
                  <w:tcW w:w="833" w:type="pct"/>
                  <w:tcBorders>
                    <w:tl2br w:val="nil"/>
                    <w:tr2bl w:val="nil"/>
                  </w:tcBorders>
                  <w:noWrap w:val="0"/>
                  <w:vAlign w:val="center"/>
                </w:tcPr>
                <w:p w14:paraId="4B6BC5E8">
                  <w:pPr>
                    <w:widowControl w:val="0"/>
                    <w:shd w:val="clear" w:color="auto" w:fill="auto"/>
                    <w:spacing w:line="240" w:lineRule="auto"/>
                    <w:ind w:firstLine="0" w:firstLineChars="0"/>
                    <w:jc w:val="left"/>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第95百分位数日平均质量浓度</w:t>
                  </w:r>
                </w:p>
              </w:tc>
              <w:tc>
                <w:tcPr>
                  <w:tcW w:w="833" w:type="pct"/>
                  <w:tcBorders>
                    <w:tl2br w:val="nil"/>
                    <w:tr2bl w:val="nil"/>
                  </w:tcBorders>
                  <w:noWrap w:val="0"/>
                  <w:vAlign w:val="center"/>
                </w:tcPr>
                <w:p w14:paraId="0743E020">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1100</w:t>
                  </w:r>
                </w:p>
              </w:tc>
              <w:tc>
                <w:tcPr>
                  <w:tcW w:w="833" w:type="pct"/>
                  <w:tcBorders>
                    <w:tl2br w:val="nil"/>
                    <w:tr2bl w:val="nil"/>
                  </w:tcBorders>
                  <w:noWrap w:val="0"/>
                  <w:vAlign w:val="center"/>
                </w:tcPr>
                <w:p w14:paraId="0CA18374">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4000</w:t>
                  </w:r>
                </w:p>
              </w:tc>
              <w:tc>
                <w:tcPr>
                  <w:tcW w:w="833" w:type="pct"/>
                  <w:tcBorders>
                    <w:tl2br w:val="nil"/>
                    <w:tr2bl w:val="nil"/>
                  </w:tcBorders>
                  <w:noWrap w:val="0"/>
                  <w:vAlign w:val="center"/>
                </w:tcPr>
                <w:p w14:paraId="7E7D0D19">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27.50</w:t>
                  </w:r>
                </w:p>
              </w:tc>
              <w:tc>
                <w:tcPr>
                  <w:tcW w:w="833" w:type="pct"/>
                  <w:tcBorders>
                    <w:tl2br w:val="nil"/>
                    <w:tr2bl w:val="nil"/>
                  </w:tcBorders>
                  <w:noWrap w:val="0"/>
                  <w:vAlign w:val="center"/>
                </w:tcPr>
                <w:p w14:paraId="110B74EB">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r w14:paraId="4B14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pct"/>
                  <w:tcBorders>
                    <w:tl2br w:val="nil"/>
                    <w:tr2bl w:val="nil"/>
                  </w:tcBorders>
                  <w:noWrap w:val="0"/>
                  <w:vAlign w:val="center"/>
                </w:tcPr>
                <w:p w14:paraId="3BAD8565">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O</w:t>
                  </w:r>
                  <w:r>
                    <w:rPr>
                      <w:rFonts w:hint="default" w:ascii="Times New Roman" w:hAnsi="Times New Roman" w:eastAsia="宋体" w:cs="Times New Roman"/>
                      <w:snapToGrid w:val="0"/>
                      <w:color w:val="auto"/>
                      <w:kern w:val="0"/>
                      <w:sz w:val="21"/>
                      <w:szCs w:val="21"/>
                      <w:highlight w:val="none"/>
                      <w:vertAlign w:val="subscript"/>
                      <w:lang w:val="en-US" w:eastAsia="zh-CN" w:bidi="ar-SA"/>
                    </w:rPr>
                    <w:t>3</w:t>
                  </w:r>
                </w:p>
              </w:tc>
              <w:tc>
                <w:tcPr>
                  <w:tcW w:w="833" w:type="pct"/>
                  <w:tcBorders>
                    <w:tl2br w:val="nil"/>
                    <w:tr2bl w:val="nil"/>
                  </w:tcBorders>
                  <w:noWrap w:val="0"/>
                  <w:vAlign w:val="center"/>
                </w:tcPr>
                <w:p w14:paraId="72BEAF33">
                  <w:pPr>
                    <w:widowControl w:val="0"/>
                    <w:shd w:val="clear" w:color="auto" w:fill="auto"/>
                    <w:spacing w:line="240" w:lineRule="auto"/>
                    <w:ind w:firstLine="0" w:firstLineChars="0"/>
                    <w:jc w:val="left"/>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第90百分位数8h平均质量浓度</w:t>
                  </w:r>
                </w:p>
              </w:tc>
              <w:tc>
                <w:tcPr>
                  <w:tcW w:w="833" w:type="pct"/>
                  <w:tcBorders>
                    <w:tl2br w:val="nil"/>
                    <w:tr2bl w:val="nil"/>
                  </w:tcBorders>
                  <w:noWrap w:val="0"/>
                  <w:vAlign w:val="center"/>
                </w:tcPr>
                <w:p w14:paraId="616FC49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119</w:t>
                  </w:r>
                </w:p>
              </w:tc>
              <w:tc>
                <w:tcPr>
                  <w:tcW w:w="833" w:type="pct"/>
                  <w:tcBorders>
                    <w:tl2br w:val="nil"/>
                    <w:tr2bl w:val="nil"/>
                  </w:tcBorders>
                  <w:noWrap w:val="0"/>
                  <w:vAlign w:val="center"/>
                </w:tcPr>
                <w:p w14:paraId="6D06A033">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160</w:t>
                  </w:r>
                </w:p>
              </w:tc>
              <w:tc>
                <w:tcPr>
                  <w:tcW w:w="833" w:type="pct"/>
                  <w:tcBorders>
                    <w:tl2br w:val="nil"/>
                    <w:tr2bl w:val="nil"/>
                  </w:tcBorders>
                  <w:noWrap w:val="0"/>
                  <w:vAlign w:val="center"/>
                </w:tcPr>
                <w:p w14:paraId="2B7BC1DC">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75.00</w:t>
                  </w:r>
                </w:p>
              </w:tc>
              <w:tc>
                <w:tcPr>
                  <w:tcW w:w="833" w:type="pct"/>
                  <w:tcBorders>
                    <w:tl2br w:val="nil"/>
                    <w:tr2bl w:val="nil"/>
                  </w:tcBorders>
                  <w:noWrap w:val="0"/>
                  <w:vAlign w:val="center"/>
                </w:tcPr>
                <w:p w14:paraId="1F4BB36F">
                  <w:pPr>
                    <w:widowControl w:val="0"/>
                    <w:shd w:val="clear" w:color="auto" w:fill="auto"/>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达标</w:t>
                  </w:r>
                </w:p>
              </w:tc>
            </w:tr>
          </w:tbl>
          <w:p w14:paraId="330E5CBE">
            <w:pPr>
              <w:pStyle w:val="84"/>
              <w:keepNext w:val="0"/>
              <w:keepLines w:val="0"/>
              <w:pageBreakBefore w:val="0"/>
              <w:widowControl w:val="0"/>
              <w:kinsoku/>
              <w:wordWrap/>
              <w:overflowPunct/>
              <w:topLinePunct w:val="0"/>
              <w:autoSpaceDE/>
              <w:autoSpaceDN/>
              <w:bidi w:val="0"/>
              <w:adjustRightInd w:val="0"/>
              <w:snapToGrid w:val="0"/>
              <w:spacing w:line="500" w:lineRule="exact"/>
              <w:ind w:left="0" w:leftChars="0" w:firstLine="480" w:firstLineChars="200"/>
              <w:textAlignment w:val="auto"/>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由上表可知，该地区P</w:t>
            </w:r>
            <w:r>
              <w:rPr>
                <w:rFonts w:hint="eastAsia" w:cs="Times New Roman"/>
                <w:b w:val="0"/>
                <w:bCs/>
                <w:color w:val="auto"/>
                <w:highlight w:val="none"/>
                <w:lang w:val="en-US" w:eastAsia="zh-CN"/>
              </w:rPr>
              <w:t>M</w:t>
            </w:r>
            <w:r>
              <w:rPr>
                <w:rFonts w:hint="default" w:ascii="Times New Roman" w:hAnsi="Times New Roman" w:cs="Times New Roman"/>
                <w:b w:val="0"/>
                <w:bCs/>
                <w:color w:val="auto"/>
                <w:highlight w:val="none"/>
                <w:vertAlign w:val="subscript"/>
              </w:rPr>
              <w:t>2.5</w:t>
            </w:r>
            <w:r>
              <w:rPr>
                <w:rFonts w:hint="default" w:ascii="Times New Roman" w:hAnsi="Times New Roman" w:cs="Times New Roman"/>
                <w:b w:val="0"/>
                <w:bCs/>
                <w:color w:val="auto"/>
                <w:highlight w:val="none"/>
              </w:rPr>
              <w:t>常规指标因子不均能满足</w:t>
            </w:r>
            <w:r>
              <w:rPr>
                <w:rFonts w:hint="default" w:ascii="Times New Roman" w:hAnsi="Times New Roman" w:eastAsia="宋体" w:cs="Times New Roman"/>
                <w:color w:val="auto"/>
                <w:sz w:val="24"/>
                <w:highlight w:val="none"/>
              </w:rPr>
              <w:t>《环境空气质量标准》（GB3095</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w:t>
            </w:r>
            <w:r>
              <w:rPr>
                <w:rFonts w:hint="default" w:ascii="Times New Roman" w:hAnsi="Times New Roman" w:cs="Times New Roman"/>
                <w:color w:val="auto"/>
                <w:sz w:val="24"/>
                <w:highlight w:val="none"/>
                <w:lang w:val="en-US" w:eastAsia="zh-CN"/>
              </w:rPr>
              <w:t>26</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中过渡阶段浓度限值</w:t>
            </w:r>
            <w:r>
              <w:rPr>
                <w:rFonts w:hint="default" w:ascii="Times New Roman" w:hAnsi="Times New Roman" w:eastAsia="宋体" w:cs="Times New Roman"/>
                <w:color w:val="auto"/>
                <w:sz w:val="24"/>
                <w:highlight w:val="none"/>
              </w:rPr>
              <w:t>的二级标准</w:t>
            </w:r>
            <w:r>
              <w:rPr>
                <w:rFonts w:hint="default" w:ascii="Times New Roman" w:hAnsi="Times New Roman" w:cs="Times New Roman"/>
                <w:b w:val="0"/>
                <w:bCs/>
                <w:color w:val="auto"/>
                <w:highlight w:val="none"/>
              </w:rPr>
              <w:t>要求，项目所在区域属于环境空气质量不达标区域。</w:t>
            </w:r>
          </w:p>
          <w:p w14:paraId="169D1C1B">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三、</w:t>
            </w:r>
            <w:r>
              <w:rPr>
                <w:rFonts w:hint="default" w:ascii="Times New Roman" w:hAnsi="Times New Roman" w:cs="Times New Roman"/>
                <w:b/>
                <w:color w:val="auto"/>
                <w:highlight w:val="none"/>
              </w:rPr>
              <w:t>地表水环境质量现状</w:t>
            </w:r>
          </w:p>
          <w:p w14:paraId="302C377C">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1、水环境质量现状</w:t>
            </w:r>
          </w:p>
          <w:p w14:paraId="2E8E06A1">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yellow"/>
                <w:lang w:val="en-US" w:eastAsia="zh-CN"/>
              </w:rPr>
            </w:pPr>
            <w:r>
              <w:rPr>
                <w:rFonts w:hint="default" w:ascii="Times New Roman" w:hAnsi="Times New Roman" w:cs="Times New Roman"/>
                <w:color w:val="auto"/>
                <w:highlight w:val="yellow"/>
              </w:rPr>
              <w:t>本项目涉及的地表水体为</w:t>
            </w:r>
            <w:r>
              <w:rPr>
                <w:rFonts w:hint="eastAsia" w:cs="Times New Roman"/>
                <w:color w:val="auto"/>
                <w:highlight w:val="yellow"/>
                <w:lang w:val="en-US" w:eastAsia="zh-CN"/>
              </w:rPr>
              <w:t>格木克河</w:t>
            </w:r>
            <w:r>
              <w:rPr>
                <w:rFonts w:hint="default" w:ascii="Times New Roman" w:hAnsi="Times New Roman" w:cs="Times New Roman"/>
                <w:color w:val="auto"/>
                <w:highlight w:val="yellow"/>
              </w:rPr>
              <w:t>，属于</w:t>
            </w:r>
            <w:r>
              <w:rPr>
                <w:rFonts w:hint="default" w:ascii="Times New Roman" w:hAnsi="Times New Roman" w:cs="Times New Roman"/>
                <w:color w:val="auto"/>
                <w:highlight w:val="yellow"/>
                <w:lang w:val="en-US" w:eastAsia="zh-CN"/>
              </w:rPr>
              <w:t>呼兰河一级支流</w:t>
            </w:r>
            <w:r>
              <w:rPr>
                <w:rFonts w:hint="default" w:ascii="Times New Roman" w:hAnsi="Times New Roman" w:cs="Times New Roman"/>
                <w:color w:val="auto"/>
                <w:highlight w:val="yellow"/>
              </w:rPr>
              <w:t>，无水功能区划，</w:t>
            </w:r>
            <w:r>
              <w:rPr>
                <w:rFonts w:hint="default" w:ascii="Times New Roman" w:hAnsi="Times New Roman" w:cs="Times New Roman"/>
                <w:color w:val="auto"/>
                <w:highlight w:val="yellow"/>
                <w:lang w:val="en-US" w:eastAsia="zh-CN"/>
              </w:rPr>
              <w:t>根据《黑龙江省水环境生态补偿办法》（黑环发[2024]22号），距离最近的国考断面为呼兰河绥望桥断面，水质目标</w:t>
            </w:r>
            <w:r>
              <w:rPr>
                <w:rFonts w:hint="default" w:ascii="Times New Roman" w:hAnsi="Times New Roman" w:cs="Times New Roman"/>
                <w:color w:val="auto"/>
                <w:highlight w:val="yellow"/>
                <w:lang w:val="en-US" w:eastAsia="zh-CN"/>
              </w:rPr>
              <w:fldChar w:fldCharType="begin"/>
            </w:r>
            <w:r>
              <w:rPr>
                <w:rFonts w:hint="default" w:ascii="Times New Roman" w:hAnsi="Times New Roman" w:cs="Times New Roman"/>
                <w:color w:val="auto"/>
                <w:highlight w:val="yellow"/>
                <w:lang w:val="en-US" w:eastAsia="zh-CN"/>
              </w:rPr>
              <w:instrText xml:space="preserve"> = 3 \* ROMAN \* MERGEFORMAT </w:instrText>
            </w:r>
            <w:r>
              <w:rPr>
                <w:rFonts w:hint="default" w:ascii="Times New Roman" w:hAnsi="Times New Roman" w:cs="Times New Roman"/>
                <w:color w:val="auto"/>
                <w:highlight w:val="yellow"/>
                <w:lang w:val="en-US" w:eastAsia="zh-CN"/>
              </w:rPr>
              <w:fldChar w:fldCharType="separate"/>
            </w:r>
            <w:r>
              <w:rPr>
                <w:rFonts w:hint="default" w:ascii="Times New Roman" w:hAnsi="Times New Roman" w:cs="Times New Roman"/>
                <w:color w:val="auto"/>
                <w:highlight w:val="yellow"/>
              </w:rPr>
              <w:t>III</w:t>
            </w:r>
            <w:r>
              <w:rPr>
                <w:rFonts w:hint="default" w:ascii="Times New Roman" w:hAnsi="Times New Roman" w:cs="Times New Roman"/>
                <w:color w:val="auto"/>
                <w:highlight w:val="yellow"/>
                <w:lang w:val="en-US" w:eastAsia="zh-CN"/>
              </w:rPr>
              <w:fldChar w:fldCharType="end"/>
            </w:r>
            <w:r>
              <w:rPr>
                <w:rFonts w:hint="default" w:ascii="Times New Roman" w:hAnsi="Times New Roman" w:cs="Times New Roman"/>
                <w:color w:val="auto"/>
                <w:highlight w:val="yellow"/>
              </w:rPr>
              <w:t>类</w:t>
            </w:r>
            <w:r>
              <w:rPr>
                <w:rFonts w:hint="default" w:ascii="Times New Roman" w:hAnsi="Times New Roman" w:cs="Times New Roman"/>
                <w:color w:val="auto"/>
                <w:highlight w:val="yellow"/>
                <w:lang w:eastAsia="zh-CN"/>
              </w:rPr>
              <w:t>，</w:t>
            </w:r>
            <w:r>
              <w:rPr>
                <w:rFonts w:hint="default" w:ascii="Times New Roman" w:hAnsi="Times New Roman" w:cs="Times New Roman"/>
                <w:color w:val="auto"/>
                <w:highlight w:val="yellow"/>
                <w:lang w:val="en-US" w:eastAsia="zh-CN"/>
              </w:rPr>
              <w:t>故执行</w:t>
            </w:r>
            <w:r>
              <w:rPr>
                <w:rFonts w:hint="default" w:ascii="Times New Roman" w:hAnsi="Times New Roman" w:cs="Times New Roman"/>
                <w:color w:val="auto"/>
                <w:highlight w:val="yellow"/>
                <w:lang w:val="en-US" w:eastAsia="zh-CN"/>
              </w:rPr>
              <w:fldChar w:fldCharType="begin"/>
            </w:r>
            <w:r>
              <w:rPr>
                <w:rFonts w:hint="default" w:ascii="Times New Roman" w:hAnsi="Times New Roman" w:cs="Times New Roman"/>
                <w:color w:val="auto"/>
                <w:highlight w:val="yellow"/>
                <w:lang w:val="en-US" w:eastAsia="zh-CN"/>
              </w:rPr>
              <w:instrText xml:space="preserve"> = 3 \* ROMAN \* MERGEFORMAT </w:instrText>
            </w:r>
            <w:r>
              <w:rPr>
                <w:rFonts w:hint="default" w:ascii="Times New Roman" w:hAnsi="Times New Roman" w:cs="Times New Roman"/>
                <w:color w:val="auto"/>
                <w:highlight w:val="yellow"/>
                <w:lang w:val="en-US" w:eastAsia="zh-CN"/>
              </w:rPr>
              <w:fldChar w:fldCharType="separate"/>
            </w:r>
            <w:r>
              <w:rPr>
                <w:rFonts w:hint="default" w:ascii="Times New Roman" w:hAnsi="Times New Roman" w:cs="Times New Roman"/>
                <w:color w:val="auto"/>
                <w:highlight w:val="yellow"/>
              </w:rPr>
              <w:t>III</w:t>
            </w:r>
            <w:r>
              <w:rPr>
                <w:rFonts w:hint="default" w:ascii="Times New Roman" w:hAnsi="Times New Roman" w:cs="Times New Roman"/>
                <w:color w:val="auto"/>
                <w:highlight w:val="yellow"/>
                <w:lang w:val="en-US" w:eastAsia="zh-CN"/>
              </w:rPr>
              <w:fldChar w:fldCharType="end"/>
            </w:r>
            <w:r>
              <w:rPr>
                <w:rFonts w:hint="default" w:ascii="Times New Roman" w:hAnsi="Times New Roman" w:cs="Times New Roman"/>
                <w:color w:val="auto"/>
                <w:highlight w:val="yellow"/>
              </w:rPr>
              <w:t>类</w:t>
            </w:r>
            <w:r>
              <w:rPr>
                <w:rFonts w:hint="default" w:ascii="Times New Roman" w:hAnsi="Times New Roman" w:cs="Times New Roman"/>
                <w:color w:val="auto"/>
                <w:highlight w:val="yellow"/>
                <w:lang w:val="en-US" w:eastAsia="zh-CN"/>
              </w:rPr>
              <w:t>标准。</w:t>
            </w:r>
          </w:p>
          <w:p w14:paraId="398FF4D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szCs w:val="21"/>
                <w:highlight w:val="yellow"/>
              </w:rPr>
            </w:pPr>
            <w:r>
              <w:rPr>
                <w:rFonts w:hint="default" w:ascii="Times New Roman" w:hAnsi="Times New Roman" w:cs="Times New Roman"/>
                <w:color w:val="auto"/>
                <w:szCs w:val="21"/>
                <w:highlight w:val="yellow"/>
              </w:rPr>
              <w:t>根据《2025年黑龙江省生态环境质量状况》，绥化市地表水国家考核断面共10个，Ⅰ</w:t>
            </w:r>
            <w:r>
              <w:rPr>
                <w:rFonts w:hint="default" w:ascii="Times New Roman" w:hAnsi="Times New Roman" w:cs="Times New Roman"/>
                <w:color w:val="auto"/>
                <w:szCs w:val="21"/>
                <w:highlight w:val="yellow"/>
                <w:lang w:eastAsia="zh-CN"/>
              </w:rPr>
              <w:t>～</w:t>
            </w:r>
            <w:r>
              <w:rPr>
                <w:rFonts w:hint="default" w:ascii="Times New Roman" w:hAnsi="Times New Roman" w:cs="Times New Roman"/>
                <w:color w:val="auto"/>
                <w:szCs w:val="21"/>
                <w:highlight w:val="yellow"/>
              </w:rPr>
              <w:t>Ⅲ类水质比例为80.0%。无劣V类水质断面。</w:t>
            </w:r>
          </w:p>
          <w:bookmarkEnd w:id="39"/>
          <w:bookmarkEnd w:id="40"/>
          <w:p w14:paraId="361FDE0B">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bookmarkStart w:id="41" w:name="_Toc69831440"/>
            <w:bookmarkStart w:id="42" w:name="_Toc68691110"/>
            <w:bookmarkStart w:id="43" w:name="_Toc78298347"/>
            <w:r>
              <w:rPr>
                <w:rFonts w:hint="default" w:ascii="Times New Roman" w:hAnsi="Times New Roman" w:cs="Times New Roman"/>
                <w:color w:val="auto"/>
                <w:highlight w:val="none"/>
              </w:rPr>
              <w:t>2、水文情势</w:t>
            </w:r>
          </w:p>
          <w:p w14:paraId="5412F77C">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根据流域的特征及本次治理布置选取</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个控制断面。</w:t>
            </w:r>
          </w:p>
          <w:p w14:paraId="023044AD">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eastAsia" w:cs="Times New Roman"/>
                <w:color w:val="auto"/>
                <w:highlight w:val="none"/>
                <w:lang w:val="en-US" w:eastAsia="zh-CN"/>
              </w:rPr>
              <w:t>水文参数</w:t>
            </w:r>
          </w:p>
          <w:p w14:paraId="2DFAB7EF">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yellow"/>
              </w:rPr>
              <w:t>庆安镇水位站位于呼兰河支流格木克河下游，地理坐标为东经127°30′，北纬46°52′，距离河口41km，集水面积618km</w:t>
            </w:r>
            <w:r>
              <w:rPr>
                <w:rFonts w:hint="default" w:ascii="Times New Roman" w:hAnsi="Times New Roman" w:cs="Times New Roman"/>
                <w:color w:val="auto"/>
                <w:highlight w:val="yellow"/>
                <w:vertAlign w:val="superscript"/>
              </w:rPr>
              <w:t>2</w:t>
            </w:r>
            <w:r>
              <w:rPr>
                <w:rFonts w:hint="default" w:ascii="Times New Roman" w:hAnsi="Times New Roman" w:cs="Times New Roman"/>
                <w:color w:val="auto"/>
                <w:highlight w:val="yellow"/>
              </w:rPr>
              <w:t>，该站于1972年1月设立，具有1972年～2010年实测流量资料，1972年～2010年水位资料。</w:t>
            </w:r>
          </w:p>
          <w:p w14:paraId="68665A73">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color w:val="auto"/>
                <w:sz w:val="21"/>
                <w:szCs w:val="21"/>
                <w:highlight w:val="yellow"/>
              </w:rPr>
            </w:pPr>
            <w:r>
              <w:rPr>
                <w:rFonts w:hint="default" w:ascii="Times New Roman" w:hAnsi="Times New Roman" w:cs="Times New Roman"/>
                <w:b/>
                <w:color w:val="auto"/>
                <w:sz w:val="21"/>
                <w:szCs w:val="21"/>
                <w:highlight w:val="yellow"/>
              </w:rPr>
              <w:t>表</w:t>
            </w:r>
            <w:r>
              <w:rPr>
                <w:rFonts w:hint="default" w:ascii="Times New Roman" w:hAnsi="Times New Roman" w:cs="Times New Roman"/>
                <w:b/>
                <w:color w:val="auto"/>
                <w:sz w:val="21"/>
                <w:szCs w:val="21"/>
                <w:highlight w:val="yellow"/>
                <w:lang w:val="en-US" w:eastAsia="zh-CN"/>
              </w:rPr>
              <w:t xml:space="preserve">3—2  </w:t>
            </w:r>
            <w:r>
              <w:rPr>
                <w:rFonts w:hint="eastAsia" w:cs="Times New Roman"/>
                <w:b/>
                <w:color w:val="auto"/>
                <w:sz w:val="21"/>
                <w:szCs w:val="21"/>
                <w:highlight w:val="yellow"/>
                <w:lang w:val="en-US" w:eastAsia="zh-CN"/>
              </w:rPr>
              <w:t>呼兰河干支流单站设计年径流成果</w:t>
            </w:r>
            <w:r>
              <w:rPr>
                <w:rFonts w:hint="default" w:ascii="Times New Roman" w:hAnsi="Times New Roman" w:cs="Times New Roman"/>
                <w:b/>
                <w:color w:val="auto"/>
                <w:sz w:val="21"/>
                <w:szCs w:val="21"/>
                <w:highlight w:val="yellow"/>
              </w:rPr>
              <w:t>表</w:t>
            </w:r>
          </w:p>
          <w:tbl>
            <w:tblPr>
              <w:tblStyle w:val="25"/>
              <w:tblW w:w="7656"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0"/>
              <w:gridCol w:w="890"/>
              <w:gridCol w:w="954"/>
              <w:gridCol w:w="801"/>
              <w:gridCol w:w="752"/>
              <w:gridCol w:w="879"/>
              <w:gridCol w:w="775"/>
              <w:gridCol w:w="945"/>
            </w:tblGrid>
            <w:tr w14:paraId="520F5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84" w:type="pct"/>
                  <w:vMerge w:val="restart"/>
                  <w:tcBorders>
                    <w:top w:val="single" w:color="auto" w:sz="4" w:space="0"/>
                    <w:left w:val="single" w:color="auto" w:sz="0" w:space="0"/>
                    <w:tl2br w:val="nil"/>
                    <w:tr2bl w:val="nil"/>
                  </w:tcBorders>
                  <w:noWrap/>
                  <w:vAlign w:val="center"/>
                </w:tcPr>
                <w:p w14:paraId="4CC90A33">
                  <w:pPr>
                    <w:spacing w:line="240" w:lineRule="auto"/>
                    <w:ind w:firstLine="0" w:firstLineChars="0"/>
                    <w:jc w:val="center"/>
                    <w:rPr>
                      <w:rFonts w:hint="eastAsia" w:ascii="Times New Roman" w:hAnsi="Times New Roman" w:eastAsia="宋体" w:cs="Times New Roman"/>
                      <w:color w:val="auto"/>
                      <w:sz w:val="21"/>
                      <w:szCs w:val="20"/>
                      <w:highlight w:val="yellow"/>
                      <w:lang w:eastAsia="zh-CN"/>
                    </w:rPr>
                  </w:pPr>
                  <w:r>
                    <w:rPr>
                      <w:rFonts w:hint="eastAsia" w:cs="Times New Roman"/>
                      <w:color w:val="auto"/>
                      <w:sz w:val="21"/>
                      <w:szCs w:val="20"/>
                      <w:highlight w:val="yellow"/>
                      <w:lang w:val="en-US" w:eastAsia="zh-CN"/>
                    </w:rPr>
                    <w:t>站名</w:t>
                  </w:r>
                </w:p>
              </w:tc>
              <w:tc>
                <w:tcPr>
                  <w:tcW w:w="581" w:type="pct"/>
                  <w:vMerge w:val="restart"/>
                  <w:tcBorders>
                    <w:top w:val="single" w:color="auto" w:sz="4" w:space="0"/>
                    <w:left w:val="single" w:color="auto" w:sz="4" w:space="0"/>
                    <w:tl2br w:val="nil"/>
                    <w:tr2bl w:val="nil"/>
                  </w:tcBorders>
                  <w:noWrap/>
                  <w:vAlign w:val="center"/>
                </w:tcPr>
                <w:p w14:paraId="5BAFEFE9">
                  <w:pPr>
                    <w:spacing w:line="240" w:lineRule="auto"/>
                    <w:ind w:firstLine="0" w:firstLineChars="0"/>
                    <w:jc w:val="center"/>
                    <w:rPr>
                      <w:rFonts w:hint="default" w:cs="Times New Roman"/>
                      <w:color w:val="auto"/>
                      <w:sz w:val="21"/>
                      <w:szCs w:val="20"/>
                      <w:highlight w:val="yellow"/>
                      <w:lang w:val="en-US" w:eastAsia="zh-CN"/>
                    </w:rPr>
                  </w:pPr>
                  <w:r>
                    <w:rPr>
                      <w:rFonts w:hint="eastAsia" w:cs="Times New Roman"/>
                      <w:color w:val="auto"/>
                      <w:sz w:val="21"/>
                      <w:szCs w:val="20"/>
                      <w:highlight w:val="yellow"/>
                      <w:lang w:val="en-US" w:eastAsia="zh-CN"/>
                    </w:rPr>
                    <w:t>单位</w:t>
                  </w:r>
                </w:p>
              </w:tc>
              <w:tc>
                <w:tcPr>
                  <w:tcW w:w="623" w:type="pct"/>
                  <w:vMerge w:val="restart"/>
                  <w:tcBorders>
                    <w:top w:val="single" w:color="auto" w:sz="4" w:space="0"/>
                    <w:tl2br w:val="nil"/>
                    <w:tr2bl w:val="nil"/>
                  </w:tcBorders>
                  <w:noWrap/>
                  <w:vAlign w:val="center"/>
                </w:tcPr>
                <w:p w14:paraId="5B4F2DA7">
                  <w:pPr>
                    <w:spacing w:line="240" w:lineRule="auto"/>
                    <w:ind w:firstLine="0" w:firstLineChars="0"/>
                    <w:jc w:val="center"/>
                    <w:rPr>
                      <w:rFonts w:hint="eastAsia" w:ascii="Times New Roman" w:hAnsi="Times New Roman" w:eastAsia="宋体" w:cs="Times New Roman"/>
                      <w:color w:val="auto"/>
                      <w:sz w:val="21"/>
                      <w:szCs w:val="20"/>
                      <w:highlight w:val="yellow"/>
                      <w:lang w:val="en-US" w:eastAsia="zh-CN"/>
                    </w:rPr>
                  </w:pPr>
                  <w:r>
                    <w:rPr>
                      <w:rFonts w:hint="eastAsia" w:cs="Times New Roman"/>
                      <w:color w:val="auto"/>
                      <w:sz w:val="21"/>
                      <w:szCs w:val="20"/>
                      <w:highlight w:val="yellow"/>
                      <w:lang w:val="en-US" w:eastAsia="zh-CN"/>
                    </w:rPr>
                    <w:t>均值</w:t>
                  </w:r>
                </w:p>
              </w:tc>
              <w:tc>
                <w:tcPr>
                  <w:tcW w:w="523" w:type="pct"/>
                  <w:vMerge w:val="restart"/>
                  <w:tcBorders>
                    <w:top w:val="single" w:color="auto" w:sz="4" w:space="0"/>
                    <w:right w:val="single" w:color="auto" w:sz="4" w:space="0"/>
                    <w:tl2br w:val="nil"/>
                    <w:tr2bl w:val="nil"/>
                  </w:tcBorders>
                  <w:noWrap w:val="0"/>
                  <w:vAlign w:val="center"/>
                </w:tcPr>
                <w:p w14:paraId="485550FE">
                  <w:pPr>
                    <w:spacing w:line="240" w:lineRule="auto"/>
                    <w:ind w:firstLine="0" w:firstLineChars="0"/>
                    <w:jc w:val="center"/>
                    <w:rPr>
                      <w:rFonts w:hint="default" w:ascii="Times New Roman" w:hAnsi="Times New Roman" w:eastAsia="宋体" w:cs="Times New Roman"/>
                      <w:color w:val="auto"/>
                      <w:sz w:val="21"/>
                      <w:szCs w:val="20"/>
                      <w:highlight w:val="yellow"/>
                      <w:lang w:val="en-US" w:eastAsia="zh-CN"/>
                    </w:rPr>
                  </w:pPr>
                  <w:r>
                    <w:rPr>
                      <w:rFonts w:hint="eastAsia" w:cs="Times New Roman"/>
                      <w:color w:val="auto"/>
                      <w:sz w:val="21"/>
                      <w:szCs w:val="20"/>
                      <w:highlight w:val="yellow"/>
                      <w:lang w:val="en-US" w:eastAsia="zh-CN"/>
                    </w:rPr>
                    <w:t>C</w:t>
                  </w:r>
                </w:p>
              </w:tc>
              <w:tc>
                <w:tcPr>
                  <w:tcW w:w="2188" w:type="pct"/>
                  <w:gridSpan w:val="4"/>
                  <w:tcBorders>
                    <w:top w:val="single" w:color="auto" w:sz="4" w:space="0"/>
                    <w:right w:val="single" w:color="auto" w:sz="4" w:space="0"/>
                    <w:tl2br w:val="nil"/>
                    <w:tr2bl w:val="nil"/>
                  </w:tcBorders>
                  <w:noWrap w:val="0"/>
                  <w:vAlign w:val="center"/>
                </w:tcPr>
                <w:p w14:paraId="3B1BF8E8">
                  <w:pPr>
                    <w:spacing w:line="240" w:lineRule="auto"/>
                    <w:ind w:firstLine="0" w:firstLineChars="0"/>
                    <w:jc w:val="center"/>
                    <w:rPr>
                      <w:rFonts w:hint="default" w:ascii="Times New Roman" w:hAnsi="Times New Roman" w:eastAsia="宋体" w:cs="Times New Roman"/>
                      <w:color w:val="auto"/>
                      <w:sz w:val="21"/>
                      <w:szCs w:val="20"/>
                      <w:highlight w:val="yellow"/>
                    </w:rPr>
                  </w:pPr>
                  <w:r>
                    <w:rPr>
                      <w:rFonts w:hint="default" w:ascii="Times New Roman" w:hAnsi="Times New Roman" w:eastAsia="宋体" w:cs="Times New Roman"/>
                      <w:color w:val="auto"/>
                      <w:sz w:val="21"/>
                      <w:szCs w:val="20"/>
                      <w:highlight w:val="yellow"/>
                    </w:rPr>
                    <w:t>设计值</w:t>
                  </w:r>
                  <w:r>
                    <w:rPr>
                      <w:rFonts w:hint="eastAsia" w:cs="Times New Roman"/>
                      <w:color w:val="auto"/>
                      <w:sz w:val="21"/>
                      <w:szCs w:val="20"/>
                      <w:highlight w:val="yellow"/>
                      <w:lang w:val="en-US" w:eastAsia="zh-CN"/>
                    </w:rPr>
                    <w:t>P（%）</w:t>
                  </w:r>
                </w:p>
              </w:tc>
            </w:tr>
            <w:tr w14:paraId="3FF94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84" w:type="pct"/>
                  <w:vMerge w:val="continue"/>
                  <w:tcBorders>
                    <w:left w:val="single" w:color="auto" w:sz="4" w:space="0"/>
                    <w:tl2br w:val="nil"/>
                    <w:tr2bl w:val="nil"/>
                  </w:tcBorders>
                  <w:noWrap w:val="0"/>
                  <w:vAlign w:val="center"/>
                </w:tcPr>
                <w:p w14:paraId="7984CA21">
                  <w:pPr>
                    <w:spacing w:line="240" w:lineRule="auto"/>
                    <w:ind w:firstLine="0" w:firstLineChars="0"/>
                    <w:jc w:val="center"/>
                    <w:rPr>
                      <w:rFonts w:hint="default" w:ascii="Times New Roman" w:hAnsi="Times New Roman" w:eastAsia="宋体" w:cs="Times New Roman"/>
                      <w:color w:val="auto"/>
                      <w:sz w:val="21"/>
                      <w:szCs w:val="20"/>
                      <w:highlight w:val="yellow"/>
                    </w:rPr>
                  </w:pPr>
                </w:p>
              </w:tc>
              <w:tc>
                <w:tcPr>
                  <w:tcW w:w="581" w:type="pct"/>
                  <w:vMerge w:val="continue"/>
                  <w:tcBorders>
                    <w:left w:val="single" w:color="auto" w:sz="4" w:space="0"/>
                    <w:tl2br w:val="nil"/>
                    <w:tr2bl w:val="nil"/>
                  </w:tcBorders>
                  <w:noWrap w:val="0"/>
                  <w:vAlign w:val="center"/>
                </w:tcPr>
                <w:p w14:paraId="55803B8F">
                  <w:pPr>
                    <w:spacing w:line="240" w:lineRule="auto"/>
                    <w:ind w:firstLine="0" w:firstLineChars="0"/>
                    <w:jc w:val="center"/>
                    <w:rPr>
                      <w:rFonts w:hint="default" w:ascii="Times New Roman" w:hAnsi="Times New Roman" w:eastAsia="宋体" w:cs="Times New Roman"/>
                      <w:color w:val="auto"/>
                      <w:sz w:val="21"/>
                      <w:szCs w:val="20"/>
                      <w:highlight w:val="yellow"/>
                    </w:rPr>
                  </w:pPr>
                </w:p>
              </w:tc>
              <w:tc>
                <w:tcPr>
                  <w:tcW w:w="623" w:type="pct"/>
                  <w:vMerge w:val="continue"/>
                  <w:tcBorders>
                    <w:tl2br w:val="nil"/>
                    <w:tr2bl w:val="nil"/>
                  </w:tcBorders>
                  <w:noWrap w:val="0"/>
                  <w:vAlign w:val="center"/>
                </w:tcPr>
                <w:p w14:paraId="19045734">
                  <w:pPr>
                    <w:spacing w:line="240" w:lineRule="auto"/>
                    <w:ind w:firstLine="0" w:firstLineChars="0"/>
                    <w:jc w:val="center"/>
                    <w:rPr>
                      <w:rFonts w:hint="default" w:ascii="Times New Roman" w:hAnsi="Times New Roman" w:eastAsia="宋体" w:cs="Times New Roman"/>
                      <w:color w:val="auto"/>
                      <w:sz w:val="21"/>
                      <w:szCs w:val="20"/>
                      <w:highlight w:val="yellow"/>
                    </w:rPr>
                  </w:pPr>
                </w:p>
              </w:tc>
              <w:tc>
                <w:tcPr>
                  <w:tcW w:w="523" w:type="pct"/>
                  <w:vMerge w:val="continue"/>
                  <w:tcBorders>
                    <w:right w:val="single" w:color="auto" w:sz="4" w:space="0"/>
                    <w:tl2br w:val="nil"/>
                    <w:tr2bl w:val="nil"/>
                  </w:tcBorders>
                  <w:shd w:val="clear" w:color="auto" w:fill="auto"/>
                  <w:noWrap/>
                  <w:vAlign w:val="center"/>
                </w:tcPr>
                <w:p w14:paraId="0034918D">
                  <w:pPr>
                    <w:pStyle w:val="141"/>
                    <w:rPr>
                      <w:rFonts w:hint="default" w:ascii="Times New Roman" w:hAnsi="Times New Roman" w:eastAsia="宋体" w:cs="Times New Roman"/>
                      <w:color w:val="000000"/>
                      <w:kern w:val="0"/>
                      <w:sz w:val="21"/>
                      <w:szCs w:val="22"/>
                      <w:highlight w:val="yellow"/>
                      <w:lang w:val="en-US" w:eastAsia="zh-CN" w:bidi="ar-SA"/>
                    </w:rPr>
                  </w:pPr>
                </w:p>
              </w:tc>
              <w:tc>
                <w:tcPr>
                  <w:tcW w:w="491" w:type="pct"/>
                  <w:tcBorders>
                    <w:tl2br w:val="nil"/>
                    <w:tr2bl w:val="nil"/>
                  </w:tcBorders>
                  <w:shd w:val="clear" w:color="auto" w:fill="auto"/>
                  <w:noWrap/>
                  <w:vAlign w:val="center"/>
                </w:tcPr>
                <w:p w14:paraId="50D1800E">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75</w:t>
                  </w:r>
                </w:p>
              </w:tc>
              <w:tc>
                <w:tcPr>
                  <w:tcW w:w="574" w:type="pct"/>
                  <w:tcBorders>
                    <w:tl2br w:val="nil"/>
                    <w:tr2bl w:val="nil"/>
                  </w:tcBorders>
                  <w:shd w:val="clear" w:color="auto" w:fill="auto"/>
                  <w:noWrap/>
                  <w:vAlign w:val="center"/>
                </w:tcPr>
                <w:p w14:paraId="714066ED">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80</w:t>
                  </w:r>
                </w:p>
              </w:tc>
              <w:tc>
                <w:tcPr>
                  <w:tcW w:w="506" w:type="pct"/>
                  <w:tcBorders>
                    <w:tl2br w:val="nil"/>
                    <w:tr2bl w:val="nil"/>
                  </w:tcBorders>
                  <w:shd w:val="clear" w:color="auto" w:fill="auto"/>
                  <w:noWrap/>
                  <w:vAlign w:val="center"/>
                </w:tcPr>
                <w:p w14:paraId="3B27C8AE">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90</w:t>
                  </w:r>
                </w:p>
              </w:tc>
              <w:tc>
                <w:tcPr>
                  <w:tcW w:w="617" w:type="pct"/>
                  <w:tcBorders>
                    <w:right w:val="single" w:color="auto" w:sz="4" w:space="0"/>
                    <w:tl2br w:val="nil"/>
                    <w:tr2bl w:val="nil"/>
                  </w:tcBorders>
                  <w:shd w:val="clear" w:color="auto" w:fill="auto"/>
                  <w:noWrap/>
                  <w:vAlign w:val="center"/>
                </w:tcPr>
                <w:p w14:paraId="18363CBF">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95</w:t>
                  </w:r>
                </w:p>
              </w:tc>
            </w:tr>
            <w:tr w14:paraId="4AE2D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84" w:type="pct"/>
                  <w:vMerge w:val="restart"/>
                  <w:tcBorders>
                    <w:left w:val="single" w:color="auto" w:sz="4" w:space="0"/>
                    <w:tl2br w:val="nil"/>
                    <w:tr2bl w:val="nil"/>
                  </w:tcBorders>
                  <w:shd w:val="clear" w:color="auto" w:fill="auto"/>
                  <w:noWrap/>
                  <w:vAlign w:val="center"/>
                </w:tcPr>
                <w:p w14:paraId="6452D100">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庆安镇站</w:t>
                  </w:r>
                </w:p>
              </w:tc>
              <w:tc>
                <w:tcPr>
                  <w:tcW w:w="581" w:type="pct"/>
                  <w:tcBorders>
                    <w:left w:val="single" w:color="auto" w:sz="4" w:space="0"/>
                    <w:tl2br w:val="nil"/>
                    <w:tr2bl w:val="nil"/>
                  </w:tcBorders>
                  <w:shd w:val="clear" w:color="auto" w:fill="auto"/>
                  <w:noWrap/>
                  <w:vAlign w:val="center"/>
                </w:tcPr>
                <w:p w14:paraId="4E2C0C4A">
                  <w:pPr>
                    <w:pStyle w:val="141"/>
                    <w:rPr>
                      <w:rFonts w:hint="default" w:ascii="Times New Roman" w:hAnsi="Times New Roman"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mm</w:t>
                  </w:r>
                </w:p>
              </w:tc>
              <w:tc>
                <w:tcPr>
                  <w:tcW w:w="623" w:type="pct"/>
                  <w:tcBorders>
                    <w:tl2br w:val="nil"/>
                    <w:tr2bl w:val="nil"/>
                  </w:tcBorders>
                  <w:shd w:val="clear" w:color="auto" w:fill="auto"/>
                  <w:noWrap/>
                  <w:vAlign w:val="center"/>
                </w:tcPr>
                <w:p w14:paraId="3B843711">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94.6</w:t>
                  </w:r>
                </w:p>
              </w:tc>
              <w:tc>
                <w:tcPr>
                  <w:tcW w:w="523" w:type="pct"/>
                  <w:tcBorders>
                    <w:tl2br w:val="nil"/>
                    <w:tr2bl w:val="nil"/>
                  </w:tcBorders>
                  <w:shd w:val="clear" w:color="auto" w:fill="auto"/>
                  <w:noWrap/>
                  <w:vAlign w:val="center"/>
                </w:tcPr>
                <w:p w14:paraId="26760DAA">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0.86</w:t>
                  </w:r>
                </w:p>
              </w:tc>
              <w:tc>
                <w:tcPr>
                  <w:tcW w:w="491" w:type="pct"/>
                  <w:tcBorders>
                    <w:tl2br w:val="nil"/>
                    <w:tr2bl w:val="nil"/>
                  </w:tcBorders>
                  <w:shd w:val="clear" w:color="auto" w:fill="auto"/>
                  <w:noWrap/>
                  <w:vAlign w:val="center"/>
                </w:tcPr>
                <w:p w14:paraId="22C61F3C">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35.5</w:t>
                  </w:r>
                </w:p>
              </w:tc>
              <w:tc>
                <w:tcPr>
                  <w:tcW w:w="574" w:type="pct"/>
                  <w:tcBorders>
                    <w:tl2br w:val="nil"/>
                    <w:tr2bl w:val="nil"/>
                  </w:tcBorders>
                  <w:shd w:val="clear" w:color="auto" w:fill="auto"/>
                  <w:noWrap/>
                  <w:vAlign w:val="center"/>
                </w:tcPr>
                <w:p w14:paraId="71F9AC6B">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29.0</w:t>
                  </w:r>
                </w:p>
              </w:tc>
              <w:tc>
                <w:tcPr>
                  <w:tcW w:w="506" w:type="pct"/>
                  <w:tcBorders>
                    <w:tl2br w:val="nil"/>
                    <w:tr2bl w:val="nil"/>
                  </w:tcBorders>
                  <w:shd w:val="clear" w:color="auto" w:fill="auto"/>
                  <w:noWrap/>
                  <w:vAlign w:val="center"/>
                </w:tcPr>
                <w:p w14:paraId="08C5E214">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16.1</w:t>
                  </w:r>
                </w:p>
              </w:tc>
              <w:tc>
                <w:tcPr>
                  <w:tcW w:w="617" w:type="pct"/>
                  <w:tcBorders>
                    <w:right w:val="single" w:color="auto" w:sz="4" w:space="0"/>
                    <w:tl2br w:val="nil"/>
                    <w:tr2bl w:val="nil"/>
                  </w:tcBorders>
                  <w:shd w:val="clear" w:color="auto" w:fill="auto"/>
                  <w:noWrap/>
                  <w:vAlign w:val="center"/>
                </w:tcPr>
                <w:p w14:paraId="72E3CA1B">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9.26</w:t>
                  </w:r>
                </w:p>
              </w:tc>
            </w:tr>
            <w:tr w14:paraId="48D45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84" w:type="pct"/>
                  <w:vMerge w:val="continue"/>
                  <w:tcBorders>
                    <w:left w:val="single" w:color="auto" w:sz="4" w:space="0"/>
                    <w:bottom w:val="single" w:color="auto" w:sz="4" w:space="0"/>
                    <w:tl2br w:val="nil"/>
                    <w:tr2bl w:val="nil"/>
                  </w:tcBorders>
                  <w:shd w:val="clear" w:color="auto" w:fill="auto"/>
                  <w:noWrap/>
                  <w:vAlign w:val="center"/>
                </w:tcPr>
                <w:p w14:paraId="687D80FC">
                  <w:pPr>
                    <w:pStyle w:val="141"/>
                    <w:rPr>
                      <w:rFonts w:hint="default" w:ascii="Times New Roman" w:hAnsi="Times New Roman" w:eastAsia="宋体" w:cs="Times New Roman"/>
                      <w:color w:val="000000"/>
                      <w:kern w:val="0"/>
                      <w:sz w:val="21"/>
                      <w:szCs w:val="22"/>
                      <w:highlight w:val="yellow"/>
                      <w:lang w:val="en-US" w:eastAsia="zh-CN" w:bidi="ar-SA"/>
                    </w:rPr>
                  </w:pPr>
                </w:p>
              </w:tc>
              <w:tc>
                <w:tcPr>
                  <w:tcW w:w="581" w:type="pct"/>
                  <w:tcBorders>
                    <w:left w:val="single" w:color="auto" w:sz="4" w:space="0"/>
                    <w:bottom w:val="single" w:color="auto" w:sz="4" w:space="0"/>
                    <w:tl2br w:val="nil"/>
                    <w:tr2bl w:val="nil"/>
                  </w:tcBorders>
                  <w:shd w:val="clear" w:color="auto" w:fill="auto"/>
                  <w:noWrap/>
                  <w:vAlign w:val="center"/>
                </w:tcPr>
                <w:p w14:paraId="007FAC3E">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10</w:t>
                  </w:r>
                  <w:r>
                    <w:rPr>
                      <w:rFonts w:hint="eastAsia" w:ascii="Times New Roman" w:hAnsi="Times New Roman" w:cs="Times New Roman"/>
                      <w:color w:val="000000"/>
                      <w:kern w:val="0"/>
                      <w:sz w:val="21"/>
                      <w:szCs w:val="22"/>
                      <w:highlight w:val="yellow"/>
                      <w:vertAlign w:val="superscript"/>
                      <w:lang w:val="en-US" w:eastAsia="zh-CN" w:bidi="ar-SA"/>
                    </w:rPr>
                    <w:t>8</w:t>
                  </w:r>
                  <w:r>
                    <w:rPr>
                      <w:rFonts w:hint="eastAsia" w:ascii="Times New Roman" w:hAnsi="Times New Roman" w:cs="Times New Roman"/>
                      <w:color w:val="000000"/>
                      <w:kern w:val="0"/>
                      <w:sz w:val="21"/>
                      <w:szCs w:val="22"/>
                      <w:highlight w:val="yellow"/>
                      <w:lang w:val="en-US" w:eastAsia="zh-CN" w:bidi="ar-SA"/>
                    </w:rPr>
                    <w:t>m</w:t>
                  </w:r>
                  <w:r>
                    <w:rPr>
                      <w:rFonts w:hint="eastAsia" w:ascii="Times New Roman" w:hAnsi="Times New Roman" w:cs="Times New Roman"/>
                      <w:color w:val="000000"/>
                      <w:kern w:val="0"/>
                      <w:sz w:val="21"/>
                      <w:szCs w:val="22"/>
                      <w:highlight w:val="yellow"/>
                      <w:vertAlign w:val="superscript"/>
                      <w:lang w:val="en-US" w:eastAsia="zh-CN" w:bidi="ar-SA"/>
                    </w:rPr>
                    <w:t>3</w:t>
                  </w:r>
                </w:p>
              </w:tc>
              <w:tc>
                <w:tcPr>
                  <w:tcW w:w="623" w:type="pct"/>
                  <w:tcBorders>
                    <w:bottom w:val="single" w:color="auto" w:sz="4" w:space="0"/>
                    <w:tl2br w:val="nil"/>
                    <w:tr2bl w:val="nil"/>
                  </w:tcBorders>
                  <w:shd w:val="clear" w:color="auto" w:fill="auto"/>
                  <w:noWrap/>
                  <w:vAlign w:val="center"/>
                </w:tcPr>
                <w:p w14:paraId="6A080EAE">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0.585</w:t>
                  </w:r>
                </w:p>
              </w:tc>
              <w:tc>
                <w:tcPr>
                  <w:tcW w:w="523" w:type="pct"/>
                  <w:tcBorders>
                    <w:bottom w:val="single" w:color="auto" w:sz="4" w:space="0"/>
                    <w:tl2br w:val="nil"/>
                    <w:tr2bl w:val="nil"/>
                  </w:tcBorders>
                  <w:shd w:val="clear" w:color="auto" w:fill="auto"/>
                  <w:noWrap/>
                  <w:vAlign w:val="center"/>
                </w:tcPr>
                <w:p w14:paraId="60FBB908">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0.86</w:t>
                  </w:r>
                </w:p>
              </w:tc>
              <w:tc>
                <w:tcPr>
                  <w:tcW w:w="491" w:type="pct"/>
                  <w:tcBorders>
                    <w:bottom w:val="single" w:color="auto" w:sz="4" w:space="0"/>
                    <w:tl2br w:val="nil"/>
                    <w:tr2bl w:val="nil"/>
                  </w:tcBorders>
                  <w:shd w:val="clear" w:color="auto" w:fill="auto"/>
                  <w:noWrap/>
                  <w:vAlign w:val="center"/>
                </w:tcPr>
                <w:p w14:paraId="29A23078">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0.219</w:t>
                  </w:r>
                </w:p>
              </w:tc>
              <w:tc>
                <w:tcPr>
                  <w:tcW w:w="574" w:type="pct"/>
                  <w:tcBorders>
                    <w:bottom w:val="single" w:color="auto" w:sz="4" w:space="0"/>
                    <w:tl2br w:val="nil"/>
                    <w:tr2bl w:val="nil"/>
                  </w:tcBorders>
                  <w:shd w:val="clear" w:color="auto" w:fill="auto"/>
                  <w:noWrap/>
                  <w:vAlign w:val="center"/>
                </w:tcPr>
                <w:p w14:paraId="5CBE815F">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0.179</w:t>
                  </w:r>
                </w:p>
              </w:tc>
              <w:tc>
                <w:tcPr>
                  <w:tcW w:w="506" w:type="pct"/>
                  <w:tcBorders>
                    <w:bottom w:val="single" w:color="auto" w:sz="4" w:space="0"/>
                    <w:tl2br w:val="nil"/>
                    <w:tr2bl w:val="nil"/>
                  </w:tcBorders>
                  <w:shd w:val="clear" w:color="auto" w:fill="auto"/>
                  <w:noWrap/>
                  <w:vAlign w:val="center"/>
                </w:tcPr>
                <w:p w14:paraId="2EFEAE8B">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0.100</w:t>
                  </w:r>
                </w:p>
              </w:tc>
              <w:tc>
                <w:tcPr>
                  <w:tcW w:w="617" w:type="pct"/>
                  <w:tcBorders>
                    <w:bottom w:val="single" w:color="auto" w:sz="4" w:space="0"/>
                    <w:right w:val="single" w:color="auto" w:sz="4" w:space="0"/>
                    <w:tl2br w:val="nil"/>
                    <w:tr2bl w:val="nil"/>
                  </w:tcBorders>
                  <w:shd w:val="clear" w:color="auto" w:fill="auto"/>
                  <w:noWrap/>
                  <w:vAlign w:val="center"/>
                </w:tcPr>
                <w:p w14:paraId="7FA9DCA1">
                  <w:pPr>
                    <w:pStyle w:val="141"/>
                    <w:rPr>
                      <w:rFonts w:hint="default" w:ascii="Times New Roman" w:hAnsi="Times New Roman" w:eastAsia="宋体" w:cs="Times New Roman"/>
                      <w:color w:val="000000"/>
                      <w:kern w:val="0"/>
                      <w:sz w:val="21"/>
                      <w:szCs w:val="22"/>
                      <w:highlight w:val="yellow"/>
                      <w:lang w:val="en-US" w:eastAsia="zh-CN" w:bidi="ar-SA"/>
                    </w:rPr>
                  </w:pPr>
                  <w:r>
                    <w:rPr>
                      <w:rFonts w:hint="eastAsia" w:ascii="Times New Roman" w:hAnsi="Times New Roman" w:cs="Times New Roman"/>
                      <w:color w:val="000000"/>
                      <w:kern w:val="0"/>
                      <w:sz w:val="21"/>
                      <w:szCs w:val="22"/>
                      <w:highlight w:val="yellow"/>
                      <w:lang w:val="en-US" w:eastAsia="zh-CN" w:bidi="ar-SA"/>
                    </w:rPr>
                    <w:t>0.057</w:t>
                  </w:r>
                </w:p>
              </w:tc>
            </w:tr>
          </w:tbl>
          <w:p w14:paraId="7A176007">
            <w:pPr>
              <w:pStyle w:val="84"/>
              <w:keepNext w:val="0"/>
              <w:keepLines w:val="0"/>
              <w:pageBreakBefore w:val="0"/>
              <w:widowControl w:val="0"/>
              <w:kinsoku/>
              <w:wordWrap/>
              <w:overflowPunct/>
              <w:topLinePunct w:val="0"/>
              <w:autoSpaceDE/>
              <w:autoSpaceDN/>
              <w:bidi w:val="0"/>
              <w:adjustRightInd w:val="0"/>
              <w:snapToGrid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w:t>
            </w:r>
            <w:r>
              <w:rPr>
                <w:rFonts w:hint="default" w:ascii="Times New Roman" w:hAnsi="Times New Roman" w:cs="Times New Roman"/>
                <w:color w:val="auto"/>
                <w:highlight w:val="none"/>
              </w:rPr>
              <w:t>）控制断面洪水</w:t>
            </w:r>
          </w:p>
          <w:p w14:paraId="29A4440A">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3—</w:t>
            </w:r>
            <w:r>
              <w:rPr>
                <w:rFonts w:hint="eastAsia"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控制断面涉及洪水成果表   单位</w:t>
            </w:r>
            <w:r>
              <w:rPr>
                <w:rFonts w:hint="default" w:ascii="Times New Roman" w:hAnsi="Times New Roman" w:cs="Times New Roman"/>
                <w:b/>
                <w:color w:val="auto"/>
                <w:sz w:val="21"/>
                <w:szCs w:val="21"/>
                <w:highlight w:val="none"/>
                <w:lang w:eastAsia="zh-CN"/>
              </w:rPr>
              <w:t>:m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/s</w:t>
            </w:r>
          </w:p>
          <w:tbl>
            <w:tblPr>
              <w:tblStyle w:val="25"/>
              <w:tblW w:w="4998" w:type="pct"/>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1813"/>
              <w:gridCol w:w="638"/>
              <w:gridCol w:w="683"/>
              <w:gridCol w:w="802"/>
              <w:gridCol w:w="698"/>
              <w:gridCol w:w="857"/>
            </w:tblGrid>
            <w:tr w14:paraId="7BE10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7" w:type="pct"/>
                  <w:vMerge w:val="restart"/>
                  <w:tcBorders>
                    <w:top w:val="single" w:color="auto" w:sz="4" w:space="0"/>
                    <w:left w:val="single" w:color="auto" w:sz="0" w:space="0"/>
                    <w:tl2br w:val="nil"/>
                    <w:tr2bl w:val="nil"/>
                  </w:tcBorders>
                  <w:noWrap/>
                  <w:vAlign w:val="center"/>
                </w:tcPr>
                <w:p w14:paraId="4BE1E787">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断面</w:t>
                  </w:r>
                </w:p>
              </w:tc>
              <w:tc>
                <w:tcPr>
                  <w:tcW w:w="803" w:type="pct"/>
                  <w:vMerge w:val="restart"/>
                  <w:tcBorders>
                    <w:top w:val="single" w:color="auto" w:sz="4" w:space="0"/>
                    <w:tl2br w:val="nil"/>
                    <w:tr2bl w:val="nil"/>
                  </w:tcBorders>
                  <w:noWrap/>
                  <w:vAlign w:val="center"/>
                </w:tcPr>
                <w:p w14:paraId="17C28799">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eastAsia" w:cs="Times New Roman"/>
                      <w:color w:val="auto"/>
                      <w:sz w:val="21"/>
                      <w:szCs w:val="20"/>
                      <w:highlight w:val="none"/>
                      <w:lang w:val="en-US" w:eastAsia="zh-CN"/>
                    </w:rPr>
                    <w:t>控制</w:t>
                  </w:r>
                  <w:r>
                    <w:rPr>
                      <w:rFonts w:hint="default" w:ascii="Times New Roman" w:hAnsi="Times New Roman" w:eastAsia="宋体" w:cs="Times New Roman"/>
                      <w:color w:val="auto"/>
                      <w:sz w:val="21"/>
                      <w:szCs w:val="20"/>
                      <w:highlight w:val="none"/>
                    </w:rPr>
                    <w:t>面积</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k</w:t>
                  </w:r>
                  <w:r>
                    <w:rPr>
                      <w:rFonts w:hint="default" w:ascii="Times New Roman" w:hAnsi="Times New Roman" w:cs="Times New Roman"/>
                      <w:color w:val="auto"/>
                      <w:sz w:val="21"/>
                      <w:szCs w:val="20"/>
                      <w:highlight w:val="none"/>
                      <w:lang w:eastAsia="zh-CN"/>
                    </w:rPr>
                    <w:t>m</w:t>
                  </w:r>
                  <w:r>
                    <w:rPr>
                      <w:rFonts w:hint="default" w:ascii="Times New Roman" w:hAnsi="Times New Roman" w:eastAsia="宋体" w:cs="Times New Roman"/>
                      <w:color w:val="auto"/>
                      <w:sz w:val="21"/>
                      <w:szCs w:val="20"/>
                      <w:highlight w:val="none"/>
                      <w:vertAlign w:val="superscript"/>
                    </w:rPr>
                    <w:t>2</w:t>
                  </w:r>
                  <w:r>
                    <w:rPr>
                      <w:rFonts w:hint="default" w:ascii="Times New Roman" w:hAnsi="Times New Roman" w:eastAsia="宋体" w:cs="Times New Roman"/>
                      <w:color w:val="auto"/>
                      <w:sz w:val="21"/>
                      <w:szCs w:val="20"/>
                      <w:highlight w:val="none"/>
                      <w:vertAlign w:val="baseline"/>
                      <w:lang w:eastAsia="zh-CN"/>
                    </w:rPr>
                    <w:t>）</w:t>
                  </w:r>
                </w:p>
              </w:tc>
              <w:tc>
                <w:tcPr>
                  <w:tcW w:w="2718" w:type="pct"/>
                  <w:gridSpan w:val="5"/>
                  <w:tcBorders>
                    <w:top w:val="single" w:color="auto" w:sz="4" w:space="0"/>
                    <w:right w:val="single" w:color="auto" w:sz="4" w:space="0"/>
                    <w:tl2br w:val="nil"/>
                    <w:tr2bl w:val="nil"/>
                  </w:tcBorders>
                  <w:noWrap w:val="0"/>
                  <w:vAlign w:val="center"/>
                </w:tcPr>
                <w:p w14:paraId="743E7A09">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rPr>
                    <w:t>设计值</w:t>
                  </w:r>
                  <w:r>
                    <w:rPr>
                      <w:rFonts w:hint="eastAsia" w:cs="Times New Roman"/>
                      <w:color w:val="auto"/>
                      <w:sz w:val="21"/>
                      <w:szCs w:val="20"/>
                      <w:highlight w:val="none"/>
                      <w:lang w:val="en-US" w:eastAsia="zh-CN"/>
                    </w:rPr>
                    <w:t>P（%）</w:t>
                  </w:r>
                </w:p>
              </w:tc>
            </w:tr>
            <w:tr w14:paraId="30861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7" w:type="pct"/>
                  <w:vMerge w:val="continue"/>
                  <w:tcBorders>
                    <w:left w:val="single" w:color="auto" w:sz="4" w:space="0"/>
                    <w:tl2br w:val="nil"/>
                    <w:tr2bl w:val="nil"/>
                  </w:tcBorders>
                  <w:noWrap w:val="0"/>
                  <w:vAlign w:val="center"/>
                </w:tcPr>
                <w:p w14:paraId="583FEF5E">
                  <w:pPr>
                    <w:spacing w:line="240" w:lineRule="auto"/>
                    <w:ind w:firstLine="0" w:firstLineChars="0"/>
                    <w:jc w:val="center"/>
                    <w:rPr>
                      <w:rFonts w:hint="default" w:ascii="Times New Roman" w:hAnsi="Times New Roman" w:eastAsia="宋体" w:cs="Times New Roman"/>
                      <w:color w:val="auto"/>
                      <w:sz w:val="21"/>
                      <w:szCs w:val="20"/>
                      <w:highlight w:val="none"/>
                    </w:rPr>
                  </w:pPr>
                </w:p>
              </w:tc>
              <w:tc>
                <w:tcPr>
                  <w:tcW w:w="803" w:type="pct"/>
                  <w:vMerge w:val="continue"/>
                  <w:tcBorders>
                    <w:tl2br w:val="nil"/>
                    <w:tr2bl w:val="nil"/>
                  </w:tcBorders>
                  <w:noWrap w:val="0"/>
                  <w:vAlign w:val="center"/>
                </w:tcPr>
                <w:p w14:paraId="7BDF2CC9">
                  <w:pPr>
                    <w:spacing w:line="240" w:lineRule="auto"/>
                    <w:ind w:firstLine="0" w:firstLineChars="0"/>
                    <w:jc w:val="center"/>
                    <w:rPr>
                      <w:rFonts w:hint="default" w:ascii="Times New Roman" w:hAnsi="Times New Roman" w:eastAsia="宋体" w:cs="Times New Roman"/>
                      <w:color w:val="auto"/>
                      <w:sz w:val="21"/>
                      <w:szCs w:val="20"/>
                      <w:highlight w:val="none"/>
                    </w:rPr>
                  </w:pPr>
                </w:p>
              </w:tc>
              <w:tc>
                <w:tcPr>
                  <w:tcW w:w="480" w:type="pct"/>
                  <w:tcBorders>
                    <w:tl2br w:val="nil"/>
                    <w:tr2bl w:val="nil"/>
                  </w:tcBorders>
                  <w:shd w:val="clear" w:color="auto" w:fill="auto"/>
                  <w:noWrap/>
                  <w:vAlign w:val="top"/>
                </w:tcPr>
                <w:p w14:paraId="6FB6557B">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2</w:t>
                  </w:r>
                </w:p>
              </w:tc>
              <w:tc>
                <w:tcPr>
                  <w:tcW w:w="509" w:type="pct"/>
                  <w:tcBorders>
                    <w:tl2br w:val="nil"/>
                    <w:tr2bl w:val="nil"/>
                  </w:tcBorders>
                  <w:shd w:val="clear" w:color="auto" w:fill="auto"/>
                  <w:noWrap/>
                  <w:vAlign w:val="top"/>
                </w:tcPr>
                <w:p w14:paraId="661DC6E7">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3.33</w:t>
                  </w:r>
                </w:p>
              </w:tc>
              <w:tc>
                <w:tcPr>
                  <w:tcW w:w="587" w:type="pct"/>
                  <w:tcBorders>
                    <w:tl2br w:val="nil"/>
                    <w:tr2bl w:val="nil"/>
                  </w:tcBorders>
                  <w:shd w:val="clear" w:color="auto" w:fill="auto"/>
                  <w:noWrap/>
                  <w:vAlign w:val="top"/>
                </w:tcPr>
                <w:p w14:paraId="184F700C">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5</w:t>
                  </w:r>
                </w:p>
              </w:tc>
              <w:tc>
                <w:tcPr>
                  <w:tcW w:w="519" w:type="pct"/>
                  <w:tcBorders>
                    <w:tl2br w:val="nil"/>
                    <w:tr2bl w:val="nil"/>
                  </w:tcBorders>
                  <w:shd w:val="clear" w:color="auto" w:fill="auto"/>
                  <w:noWrap/>
                  <w:vAlign w:val="top"/>
                </w:tcPr>
                <w:p w14:paraId="4670DC2D">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10</w:t>
                  </w:r>
                </w:p>
              </w:tc>
              <w:tc>
                <w:tcPr>
                  <w:tcW w:w="621" w:type="pct"/>
                  <w:tcBorders>
                    <w:right w:val="single" w:color="auto" w:sz="4" w:space="0"/>
                    <w:tl2br w:val="nil"/>
                    <w:tr2bl w:val="nil"/>
                  </w:tcBorders>
                  <w:shd w:val="clear" w:color="auto" w:fill="auto"/>
                  <w:noWrap/>
                  <w:vAlign w:val="top"/>
                </w:tcPr>
                <w:p w14:paraId="5A927E7E">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20</w:t>
                  </w:r>
                </w:p>
              </w:tc>
            </w:tr>
            <w:tr w14:paraId="6A37F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7" w:type="pct"/>
                  <w:tcBorders>
                    <w:left w:val="single" w:color="auto" w:sz="4" w:space="0"/>
                    <w:tl2br w:val="nil"/>
                    <w:tr2bl w:val="nil"/>
                  </w:tcBorders>
                  <w:shd w:val="clear" w:color="auto" w:fill="auto"/>
                  <w:noWrap/>
                  <w:vAlign w:val="top"/>
                </w:tcPr>
                <w:p w14:paraId="14F63374">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双银河汇入口上断面</w:t>
                  </w:r>
                </w:p>
              </w:tc>
              <w:tc>
                <w:tcPr>
                  <w:tcW w:w="803" w:type="pct"/>
                  <w:tcBorders>
                    <w:tl2br w:val="nil"/>
                    <w:tr2bl w:val="nil"/>
                  </w:tcBorders>
                  <w:shd w:val="clear" w:color="auto" w:fill="auto"/>
                  <w:noWrap/>
                  <w:vAlign w:val="top"/>
                </w:tcPr>
                <w:p w14:paraId="4B51A591">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158</w:t>
                  </w:r>
                </w:p>
              </w:tc>
              <w:tc>
                <w:tcPr>
                  <w:tcW w:w="480" w:type="pct"/>
                  <w:tcBorders>
                    <w:tl2br w:val="nil"/>
                    <w:tr2bl w:val="nil"/>
                  </w:tcBorders>
                  <w:shd w:val="clear" w:color="auto" w:fill="auto"/>
                  <w:noWrap/>
                  <w:vAlign w:val="top"/>
                </w:tcPr>
                <w:p w14:paraId="4710DA19">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197</w:t>
                  </w:r>
                </w:p>
              </w:tc>
              <w:tc>
                <w:tcPr>
                  <w:tcW w:w="509" w:type="pct"/>
                  <w:tcBorders>
                    <w:tl2br w:val="nil"/>
                    <w:tr2bl w:val="nil"/>
                  </w:tcBorders>
                  <w:shd w:val="clear" w:color="auto" w:fill="auto"/>
                  <w:noWrap/>
                  <w:vAlign w:val="top"/>
                </w:tcPr>
                <w:p w14:paraId="28D53981">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162</w:t>
                  </w:r>
                </w:p>
              </w:tc>
              <w:tc>
                <w:tcPr>
                  <w:tcW w:w="587" w:type="pct"/>
                  <w:tcBorders>
                    <w:tl2br w:val="nil"/>
                    <w:tr2bl w:val="nil"/>
                  </w:tcBorders>
                  <w:shd w:val="clear" w:color="auto" w:fill="auto"/>
                  <w:noWrap/>
                  <w:vAlign w:val="top"/>
                </w:tcPr>
                <w:p w14:paraId="0200C952">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135</w:t>
                  </w:r>
                </w:p>
              </w:tc>
              <w:tc>
                <w:tcPr>
                  <w:tcW w:w="519" w:type="pct"/>
                  <w:tcBorders>
                    <w:tl2br w:val="nil"/>
                    <w:tr2bl w:val="nil"/>
                  </w:tcBorders>
                  <w:shd w:val="clear" w:color="auto" w:fill="auto"/>
                  <w:noWrap/>
                  <w:vAlign w:val="top"/>
                </w:tcPr>
                <w:p w14:paraId="7B217BBE">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94</w:t>
                  </w:r>
                </w:p>
              </w:tc>
              <w:tc>
                <w:tcPr>
                  <w:tcW w:w="621" w:type="pct"/>
                  <w:tcBorders>
                    <w:right w:val="single" w:color="auto" w:sz="4" w:space="0"/>
                    <w:tl2br w:val="nil"/>
                    <w:tr2bl w:val="nil"/>
                  </w:tcBorders>
                  <w:shd w:val="clear" w:color="auto" w:fill="auto"/>
                  <w:noWrap/>
                  <w:vAlign w:val="top"/>
                </w:tcPr>
                <w:p w14:paraId="52031708">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45</w:t>
                  </w:r>
                </w:p>
              </w:tc>
            </w:tr>
            <w:tr w14:paraId="25FA0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7" w:type="pct"/>
                  <w:tcBorders>
                    <w:left w:val="single" w:color="auto" w:sz="4" w:space="0"/>
                    <w:bottom w:val="single" w:color="auto" w:sz="4" w:space="0"/>
                    <w:tl2br w:val="nil"/>
                    <w:tr2bl w:val="nil"/>
                  </w:tcBorders>
                  <w:shd w:val="clear" w:color="auto" w:fill="auto"/>
                  <w:noWrap/>
                  <w:vAlign w:val="top"/>
                </w:tcPr>
                <w:p w14:paraId="1B8C9768">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庆安镇站（本工程）</w:t>
                  </w:r>
                </w:p>
              </w:tc>
              <w:tc>
                <w:tcPr>
                  <w:tcW w:w="803" w:type="pct"/>
                  <w:tcBorders>
                    <w:bottom w:val="single" w:color="auto" w:sz="4" w:space="0"/>
                    <w:tl2br w:val="nil"/>
                    <w:tr2bl w:val="nil"/>
                  </w:tcBorders>
                  <w:shd w:val="clear" w:color="auto" w:fill="auto"/>
                  <w:noWrap/>
                  <w:vAlign w:val="top"/>
                </w:tcPr>
                <w:p w14:paraId="38BD61E9">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618</w:t>
                  </w:r>
                </w:p>
              </w:tc>
              <w:tc>
                <w:tcPr>
                  <w:tcW w:w="480" w:type="pct"/>
                  <w:tcBorders>
                    <w:bottom w:val="single" w:color="auto" w:sz="4" w:space="0"/>
                    <w:tl2br w:val="nil"/>
                    <w:tr2bl w:val="nil"/>
                  </w:tcBorders>
                  <w:shd w:val="clear" w:color="auto" w:fill="auto"/>
                  <w:noWrap/>
                  <w:vAlign w:val="top"/>
                </w:tcPr>
                <w:p w14:paraId="4A8FB35E">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699</w:t>
                  </w:r>
                </w:p>
              </w:tc>
              <w:tc>
                <w:tcPr>
                  <w:tcW w:w="509" w:type="pct"/>
                  <w:tcBorders>
                    <w:bottom w:val="single" w:color="auto" w:sz="4" w:space="0"/>
                    <w:tl2br w:val="nil"/>
                    <w:tr2bl w:val="nil"/>
                  </w:tcBorders>
                  <w:shd w:val="clear" w:color="auto" w:fill="auto"/>
                  <w:noWrap/>
                  <w:vAlign w:val="top"/>
                </w:tcPr>
                <w:p w14:paraId="7BB6CA04">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530</w:t>
                  </w:r>
                </w:p>
              </w:tc>
              <w:tc>
                <w:tcPr>
                  <w:tcW w:w="587" w:type="pct"/>
                  <w:tcBorders>
                    <w:bottom w:val="single" w:color="auto" w:sz="4" w:space="0"/>
                    <w:tl2br w:val="nil"/>
                    <w:tr2bl w:val="nil"/>
                  </w:tcBorders>
                  <w:shd w:val="clear" w:color="auto" w:fill="auto"/>
                  <w:noWrap/>
                  <w:vAlign w:val="top"/>
                </w:tcPr>
                <w:p w14:paraId="727F7BDF">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437</w:t>
                  </w:r>
                </w:p>
              </w:tc>
              <w:tc>
                <w:tcPr>
                  <w:tcW w:w="519" w:type="pct"/>
                  <w:tcBorders>
                    <w:bottom w:val="single" w:color="auto" w:sz="4" w:space="0"/>
                    <w:tl2br w:val="nil"/>
                    <w:tr2bl w:val="nil"/>
                  </w:tcBorders>
                  <w:shd w:val="clear" w:color="auto" w:fill="auto"/>
                  <w:noWrap/>
                  <w:vAlign w:val="top"/>
                </w:tcPr>
                <w:p w14:paraId="2080CF02">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263</w:t>
                  </w:r>
                </w:p>
              </w:tc>
              <w:tc>
                <w:tcPr>
                  <w:tcW w:w="621" w:type="pct"/>
                  <w:tcBorders>
                    <w:bottom w:val="single" w:color="auto" w:sz="4" w:space="0"/>
                    <w:right w:val="single" w:color="auto" w:sz="4" w:space="0"/>
                    <w:tl2br w:val="nil"/>
                    <w:tr2bl w:val="nil"/>
                  </w:tcBorders>
                  <w:shd w:val="clear" w:color="auto" w:fill="auto"/>
                  <w:noWrap/>
                  <w:vAlign w:val="top"/>
                </w:tcPr>
                <w:p w14:paraId="5E896F6B">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124</w:t>
                  </w:r>
                </w:p>
              </w:tc>
            </w:tr>
            <w:tr w14:paraId="683F8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477" w:type="pct"/>
                  <w:tcBorders>
                    <w:left w:val="single" w:color="auto" w:sz="4" w:space="0"/>
                    <w:bottom w:val="single" w:color="auto" w:sz="4" w:space="0"/>
                  </w:tcBorders>
                  <w:shd w:val="clear" w:color="auto" w:fill="auto"/>
                  <w:vAlign w:val="top"/>
                </w:tcPr>
                <w:p w14:paraId="4AC01058">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河口</w:t>
                  </w:r>
                </w:p>
              </w:tc>
              <w:tc>
                <w:tcPr>
                  <w:tcW w:w="803" w:type="pct"/>
                  <w:tcBorders>
                    <w:bottom w:val="single" w:color="auto" w:sz="4" w:space="0"/>
                  </w:tcBorders>
                  <w:shd w:val="clear" w:color="auto" w:fill="auto"/>
                  <w:vAlign w:val="top"/>
                </w:tcPr>
                <w:p w14:paraId="16D40194">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791</w:t>
                  </w:r>
                </w:p>
              </w:tc>
              <w:tc>
                <w:tcPr>
                  <w:tcW w:w="480" w:type="pct"/>
                  <w:tcBorders>
                    <w:bottom w:val="single" w:color="auto" w:sz="4" w:space="0"/>
                  </w:tcBorders>
                  <w:shd w:val="clear" w:color="auto" w:fill="auto"/>
                  <w:vAlign w:val="top"/>
                </w:tcPr>
                <w:p w14:paraId="70459670">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730</w:t>
                  </w:r>
                </w:p>
              </w:tc>
              <w:tc>
                <w:tcPr>
                  <w:tcW w:w="509" w:type="pct"/>
                  <w:tcBorders>
                    <w:bottom w:val="single" w:color="auto" w:sz="4" w:space="0"/>
                  </w:tcBorders>
                  <w:shd w:val="clear" w:color="auto" w:fill="auto"/>
                  <w:vAlign w:val="top"/>
                </w:tcPr>
                <w:p w14:paraId="13F39602">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579</w:t>
                  </w:r>
                </w:p>
              </w:tc>
              <w:tc>
                <w:tcPr>
                  <w:tcW w:w="587" w:type="pct"/>
                  <w:tcBorders>
                    <w:bottom w:val="single" w:color="auto" w:sz="4" w:space="0"/>
                  </w:tcBorders>
                  <w:shd w:val="clear" w:color="auto" w:fill="auto"/>
                  <w:vAlign w:val="top"/>
                </w:tcPr>
                <w:p w14:paraId="6A43041B">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461</w:t>
                  </w:r>
                </w:p>
              </w:tc>
              <w:tc>
                <w:tcPr>
                  <w:tcW w:w="519" w:type="pct"/>
                  <w:tcBorders>
                    <w:bottom w:val="single" w:color="auto" w:sz="4" w:space="0"/>
                  </w:tcBorders>
                  <w:shd w:val="clear" w:color="auto" w:fill="auto"/>
                  <w:vAlign w:val="top"/>
                </w:tcPr>
                <w:p w14:paraId="240CFD77">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281</w:t>
                  </w:r>
                </w:p>
              </w:tc>
              <w:tc>
                <w:tcPr>
                  <w:tcW w:w="621" w:type="pct"/>
                  <w:tcBorders>
                    <w:bottom w:val="single" w:color="auto" w:sz="4" w:space="0"/>
                    <w:right w:val="single" w:color="auto" w:sz="4" w:space="0"/>
                  </w:tcBorders>
                  <w:shd w:val="clear" w:color="auto" w:fill="auto"/>
                  <w:vAlign w:val="top"/>
                </w:tcPr>
                <w:p w14:paraId="00C795FA">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134</w:t>
                  </w:r>
                </w:p>
              </w:tc>
            </w:tr>
          </w:tbl>
          <w:p w14:paraId="64C5F6CA">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施工洪水</w:t>
            </w:r>
          </w:p>
          <w:p w14:paraId="32CC03F5">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sz w:val="24"/>
                <w:szCs w:val="24"/>
                <w:highlight w:val="none"/>
              </w:rPr>
              <w:t>根据本阶段施工组织设计要求，需推求工程位置处春汛、秋汛设计洪水。分别统计庆安镇站春汛（4、5月份）、秋汛（9、10月份）洪量，采用P-Ⅲ型理论频率曲线，Cs与Cv的倍比关系取2.25，适线确定施工期洪水参数，得到庆安镇站分期设计洪水的1日、3日、7日洪量成果。分期洪水洪峰流量采用大汛洪水洪峰与一日洪量关系插值计算，工程地点施工洪水按面积指数0.67移用</w:t>
            </w:r>
            <w:r>
              <w:rPr>
                <w:rFonts w:hint="default" w:ascii="Times New Roman" w:hAnsi="Times New Roman" w:eastAsia="宋体" w:cs="Times New Roman"/>
                <w:color w:val="auto"/>
                <w:sz w:val="24"/>
                <w:szCs w:val="24"/>
                <w:highlight w:val="none"/>
              </w:rPr>
              <w:t>。</w:t>
            </w:r>
          </w:p>
          <w:p w14:paraId="4A49B687">
            <w:pPr>
              <w:keepNext w:val="0"/>
              <w:keepLines w:val="0"/>
              <w:pageBreakBefore w:val="0"/>
              <w:widowControl w:val="0"/>
              <w:kinsoku/>
              <w:wordWrap/>
              <w:overflowPunct/>
              <w:topLinePunct w:val="0"/>
              <w:autoSpaceDE/>
              <w:autoSpaceDN/>
              <w:bidi w:val="0"/>
              <w:spacing w:line="500" w:lineRule="exact"/>
              <w:ind w:firstLine="211" w:firstLineChars="100"/>
              <w:jc w:val="center"/>
              <w:textAlignment w:val="auto"/>
              <w:rPr>
                <w:rFonts w:hint="default" w:ascii="Times New Roman" w:hAnsi="Times New Roman" w:eastAsia="宋体" w:cs="Times New Roman"/>
                <w:b/>
                <w:color w:val="auto"/>
                <w:kern w:val="2"/>
                <w:sz w:val="21"/>
                <w:szCs w:val="21"/>
                <w:highlight w:val="none"/>
                <w:lang w:val="en-US" w:eastAsia="zh-CN" w:bidi="ar-SA"/>
              </w:rPr>
            </w:pPr>
          </w:p>
          <w:p w14:paraId="13C7ECEC">
            <w:pPr>
              <w:keepNext w:val="0"/>
              <w:keepLines w:val="0"/>
              <w:pageBreakBefore w:val="0"/>
              <w:widowControl w:val="0"/>
              <w:kinsoku/>
              <w:wordWrap/>
              <w:overflowPunct/>
              <w:topLinePunct w:val="0"/>
              <w:autoSpaceDE/>
              <w:autoSpaceDN/>
              <w:bidi w:val="0"/>
              <w:spacing w:line="500" w:lineRule="exact"/>
              <w:ind w:firstLine="211" w:firstLineChars="100"/>
              <w:jc w:val="center"/>
              <w:textAlignment w:val="auto"/>
              <w:rPr>
                <w:rFonts w:hint="default" w:ascii="Times New Roman" w:hAnsi="Times New Roman" w:eastAsia="宋体" w:cs="Times New Roman"/>
                <w:b/>
                <w:color w:val="auto"/>
                <w:kern w:val="2"/>
                <w:sz w:val="21"/>
                <w:szCs w:val="21"/>
                <w:highlight w:val="none"/>
                <w:lang w:val="en-US" w:eastAsia="zh-CN" w:bidi="ar-SA"/>
              </w:rPr>
            </w:pPr>
          </w:p>
          <w:p w14:paraId="268EF8D5">
            <w:pPr>
              <w:keepNext w:val="0"/>
              <w:keepLines w:val="0"/>
              <w:pageBreakBefore w:val="0"/>
              <w:widowControl w:val="0"/>
              <w:kinsoku/>
              <w:wordWrap/>
              <w:overflowPunct/>
              <w:topLinePunct w:val="0"/>
              <w:autoSpaceDE/>
              <w:autoSpaceDN/>
              <w:bidi w:val="0"/>
              <w:spacing w:line="500" w:lineRule="exact"/>
              <w:ind w:firstLine="211" w:firstLineChars="10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default" w:ascii="Times New Roman" w:hAnsi="Times New Roman" w:cs="Times New Roman"/>
                <w:b/>
                <w:color w:val="auto"/>
                <w:kern w:val="2"/>
                <w:sz w:val="21"/>
                <w:szCs w:val="21"/>
                <w:highlight w:val="none"/>
                <w:lang w:val="en-US" w:eastAsia="zh-CN" w:bidi="ar-SA"/>
              </w:rPr>
              <w:t>—</w:t>
            </w:r>
            <w:r>
              <w:rPr>
                <w:rFonts w:hint="eastAsia" w:cs="Times New Roman"/>
                <w:b/>
                <w:color w:val="auto"/>
                <w:kern w:val="2"/>
                <w:sz w:val="21"/>
                <w:szCs w:val="21"/>
                <w:highlight w:val="none"/>
                <w:lang w:val="en-US" w:eastAsia="zh-CN" w:bidi="ar-SA"/>
              </w:rPr>
              <w:t>4</w:t>
            </w:r>
            <w:r>
              <w:rPr>
                <w:rFonts w:hint="default" w:ascii="Times New Roman" w:hAnsi="Times New Roman"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施工洪水</w:t>
            </w:r>
            <w:r>
              <w:rPr>
                <w:rFonts w:hint="default" w:ascii="Times New Roman" w:hAnsi="Times New Roman" w:eastAsia="宋体" w:cs="Times New Roman"/>
                <w:b/>
                <w:color w:val="auto"/>
                <w:kern w:val="2"/>
                <w:sz w:val="21"/>
                <w:szCs w:val="21"/>
                <w:highlight w:val="none"/>
                <w:lang w:val="en-US" w:eastAsia="zh-CN" w:bidi="ar-SA"/>
              </w:rPr>
              <w:t>成果表</w:t>
            </w:r>
          </w:p>
          <w:tbl>
            <w:tblPr>
              <w:tblStyle w:val="25"/>
              <w:tblW w:w="764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1813"/>
              <w:gridCol w:w="1338"/>
              <w:gridCol w:w="692"/>
              <w:gridCol w:w="767"/>
              <w:gridCol w:w="723"/>
              <w:gridCol w:w="646"/>
            </w:tblGrid>
            <w:tr w14:paraId="1227F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58" w:type="pct"/>
                  <w:vMerge w:val="restart"/>
                  <w:tcBorders>
                    <w:tl2br w:val="nil"/>
                    <w:tr2bl w:val="nil"/>
                  </w:tcBorders>
                  <w:shd w:val="clear" w:color="auto" w:fill="auto"/>
                  <w:noWrap/>
                  <w:vAlign w:val="center"/>
                </w:tcPr>
                <w:p w14:paraId="678BF6EA">
                  <w:pPr>
                    <w:pStyle w:val="114"/>
                    <w:ind w:right="113" w:rightChars="0" w:firstLine="0" w:firstLineChars="0"/>
                    <w:rPr>
                      <w:rFonts w:hint="default" w:ascii="Times New Roman" w:hAnsi="Times New Roman" w:eastAsia="宋体" w:cs="Times New Roman"/>
                      <w:color w:val="000000"/>
                      <w:kern w:val="2"/>
                      <w:sz w:val="21"/>
                      <w:szCs w:val="20"/>
                      <w:highlight w:val="none"/>
                      <w:lang w:val="en-US" w:eastAsia="zh-CN" w:bidi="ar-SA"/>
                    </w:rPr>
                  </w:pPr>
                  <w:r>
                    <w:rPr>
                      <w:rFonts w:ascii="Times New Roman" w:hAnsi="Times New Roman"/>
                      <w:color w:val="000000"/>
                      <w:highlight w:val="none"/>
                    </w:rPr>
                    <w:t>工程位置</w:t>
                  </w:r>
                </w:p>
              </w:tc>
              <w:tc>
                <w:tcPr>
                  <w:tcW w:w="784" w:type="pct"/>
                  <w:vMerge w:val="restart"/>
                  <w:tcBorders>
                    <w:tl2br w:val="nil"/>
                    <w:tr2bl w:val="nil"/>
                  </w:tcBorders>
                  <w:noWrap/>
                  <w:vAlign w:val="center"/>
                </w:tcPr>
                <w:p w14:paraId="25DBE292">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eastAsia" w:cs="Times New Roman"/>
                      <w:color w:val="auto"/>
                      <w:sz w:val="21"/>
                      <w:szCs w:val="20"/>
                      <w:highlight w:val="none"/>
                      <w:lang w:val="en-US" w:eastAsia="zh-CN"/>
                    </w:rPr>
                    <w:t>控制</w:t>
                  </w:r>
                  <w:r>
                    <w:rPr>
                      <w:rFonts w:hint="default" w:ascii="Times New Roman" w:hAnsi="Times New Roman" w:eastAsia="宋体" w:cs="Times New Roman"/>
                      <w:color w:val="auto"/>
                      <w:sz w:val="21"/>
                      <w:szCs w:val="20"/>
                      <w:highlight w:val="none"/>
                    </w:rPr>
                    <w:t>面积</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k</w:t>
                  </w:r>
                  <w:r>
                    <w:rPr>
                      <w:rFonts w:hint="default" w:ascii="Times New Roman" w:hAnsi="Times New Roman" w:cs="Times New Roman"/>
                      <w:color w:val="auto"/>
                      <w:sz w:val="21"/>
                      <w:szCs w:val="20"/>
                      <w:highlight w:val="none"/>
                      <w:lang w:eastAsia="zh-CN"/>
                    </w:rPr>
                    <w:t>m</w:t>
                  </w:r>
                  <w:r>
                    <w:rPr>
                      <w:rFonts w:hint="default" w:ascii="Times New Roman" w:hAnsi="Times New Roman" w:eastAsia="宋体" w:cs="Times New Roman"/>
                      <w:color w:val="auto"/>
                      <w:sz w:val="21"/>
                      <w:szCs w:val="20"/>
                      <w:highlight w:val="none"/>
                      <w:vertAlign w:val="superscript"/>
                    </w:rPr>
                    <w:t>2</w:t>
                  </w:r>
                  <w:r>
                    <w:rPr>
                      <w:rFonts w:hint="default" w:ascii="Times New Roman" w:hAnsi="Times New Roman" w:eastAsia="宋体" w:cs="Times New Roman"/>
                      <w:color w:val="auto"/>
                      <w:sz w:val="21"/>
                      <w:szCs w:val="20"/>
                      <w:highlight w:val="none"/>
                      <w:vertAlign w:val="baseline"/>
                      <w:lang w:eastAsia="zh-CN"/>
                    </w:rPr>
                    <w:t>）</w:t>
                  </w:r>
                </w:p>
              </w:tc>
              <w:tc>
                <w:tcPr>
                  <w:tcW w:w="941" w:type="pct"/>
                  <w:vMerge w:val="restart"/>
                  <w:tcBorders>
                    <w:tl2br w:val="nil"/>
                    <w:tr2bl w:val="nil"/>
                  </w:tcBorders>
                  <w:noWrap/>
                  <w:vAlign w:val="center"/>
                </w:tcPr>
                <w:p w14:paraId="51A58BDC">
                  <w:pPr>
                    <w:spacing w:line="240" w:lineRule="auto"/>
                    <w:ind w:firstLine="0" w:firstLineChars="0"/>
                    <w:jc w:val="center"/>
                    <w:rPr>
                      <w:rFonts w:hint="eastAsia"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项目</w:t>
                  </w:r>
                </w:p>
              </w:tc>
              <w:tc>
                <w:tcPr>
                  <w:tcW w:w="2115" w:type="pct"/>
                  <w:gridSpan w:val="4"/>
                  <w:tcBorders>
                    <w:tl2br w:val="nil"/>
                    <w:tr2bl w:val="nil"/>
                  </w:tcBorders>
                  <w:noWrap/>
                  <w:vAlign w:val="center"/>
                </w:tcPr>
                <w:p w14:paraId="1327308A">
                  <w:pPr>
                    <w:spacing w:line="240" w:lineRule="auto"/>
                    <w:ind w:firstLine="0" w:firstLineChars="0"/>
                    <w:jc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设计值</w:t>
                  </w:r>
                  <w:r>
                    <w:rPr>
                      <w:rFonts w:hint="eastAsia" w:cs="Times New Roman"/>
                      <w:color w:val="auto"/>
                      <w:sz w:val="21"/>
                      <w:szCs w:val="20"/>
                      <w:highlight w:val="none"/>
                      <w:lang w:val="en-US" w:eastAsia="zh-CN"/>
                    </w:rPr>
                    <w:t>P（%）</w:t>
                  </w:r>
                </w:p>
              </w:tc>
            </w:tr>
            <w:tr w14:paraId="53DB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58" w:type="pct"/>
                  <w:vMerge w:val="continue"/>
                  <w:tcBorders>
                    <w:tl2br w:val="nil"/>
                    <w:tr2bl w:val="nil"/>
                  </w:tcBorders>
                  <w:noWrap/>
                  <w:vAlign w:val="center"/>
                </w:tcPr>
                <w:p w14:paraId="3284C073">
                  <w:pPr>
                    <w:spacing w:line="240" w:lineRule="auto"/>
                    <w:ind w:firstLine="0" w:firstLineChars="0"/>
                    <w:jc w:val="center"/>
                    <w:rPr>
                      <w:rFonts w:hint="default" w:ascii="Times New Roman" w:hAnsi="Times New Roman" w:eastAsia="宋体" w:cs="Times New Roman"/>
                      <w:color w:val="auto"/>
                      <w:sz w:val="21"/>
                      <w:szCs w:val="20"/>
                      <w:highlight w:val="none"/>
                    </w:rPr>
                  </w:pPr>
                </w:p>
              </w:tc>
              <w:tc>
                <w:tcPr>
                  <w:tcW w:w="784" w:type="pct"/>
                  <w:vMerge w:val="continue"/>
                  <w:tcBorders>
                    <w:tl2br w:val="nil"/>
                    <w:tr2bl w:val="nil"/>
                  </w:tcBorders>
                  <w:noWrap/>
                  <w:vAlign w:val="center"/>
                </w:tcPr>
                <w:p w14:paraId="6B010669">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p>
              </w:tc>
              <w:tc>
                <w:tcPr>
                  <w:tcW w:w="941" w:type="pct"/>
                  <w:vMerge w:val="continue"/>
                  <w:tcBorders>
                    <w:bottom w:val="single" w:color="auto" w:sz="4" w:space="0"/>
                    <w:tl2br w:val="nil"/>
                    <w:tr2bl w:val="nil"/>
                  </w:tcBorders>
                  <w:shd w:val="clear" w:color="auto" w:fill="auto"/>
                  <w:noWrap/>
                  <w:vAlign w:val="top"/>
                </w:tcPr>
                <w:p w14:paraId="256FE9C2">
                  <w:pPr>
                    <w:pStyle w:val="141"/>
                    <w:rPr>
                      <w:rFonts w:hint="default" w:ascii="Times New Roman" w:hAnsi="Times New Roman" w:eastAsia="宋体" w:cs="Times New Roman"/>
                      <w:highlight w:val="none"/>
                      <w:lang w:val="en-US" w:eastAsia="zh-CN"/>
                    </w:rPr>
                  </w:pPr>
                </w:p>
              </w:tc>
              <w:tc>
                <w:tcPr>
                  <w:tcW w:w="519" w:type="pct"/>
                  <w:tcBorders>
                    <w:bottom w:val="single" w:color="auto" w:sz="4" w:space="0"/>
                    <w:right w:val="single" w:color="auto" w:sz="4" w:space="0"/>
                    <w:tl2br w:val="nil"/>
                    <w:tr2bl w:val="nil"/>
                  </w:tcBorders>
                  <w:shd w:val="clear" w:color="auto" w:fill="auto"/>
                  <w:noWrap/>
                  <w:vAlign w:val="top"/>
                </w:tcPr>
                <w:p w14:paraId="6B514AC5">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3.33</w:t>
                  </w:r>
                </w:p>
              </w:tc>
              <w:tc>
                <w:tcPr>
                  <w:tcW w:w="568" w:type="pct"/>
                  <w:tcBorders>
                    <w:bottom w:val="single" w:color="auto" w:sz="4" w:space="0"/>
                    <w:right w:val="single" w:color="auto" w:sz="4" w:space="0"/>
                    <w:tl2br w:val="nil"/>
                    <w:tr2bl w:val="nil"/>
                  </w:tcBorders>
                  <w:shd w:val="clear" w:color="auto" w:fill="auto"/>
                  <w:noWrap/>
                  <w:vAlign w:val="top"/>
                </w:tcPr>
                <w:p w14:paraId="5D43A484">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5</w:t>
                  </w:r>
                </w:p>
              </w:tc>
              <w:tc>
                <w:tcPr>
                  <w:tcW w:w="539" w:type="pct"/>
                  <w:tcBorders>
                    <w:bottom w:val="single" w:color="auto" w:sz="4" w:space="0"/>
                    <w:right w:val="single" w:color="auto" w:sz="4" w:space="0"/>
                    <w:tl2br w:val="nil"/>
                    <w:tr2bl w:val="nil"/>
                  </w:tcBorders>
                  <w:shd w:val="clear" w:color="auto" w:fill="auto"/>
                  <w:noWrap/>
                  <w:vAlign w:val="top"/>
                </w:tcPr>
                <w:p w14:paraId="0F7FEEB1">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10</w:t>
                  </w:r>
                </w:p>
              </w:tc>
              <w:tc>
                <w:tcPr>
                  <w:tcW w:w="488" w:type="pct"/>
                  <w:tcBorders>
                    <w:bottom w:val="single" w:color="auto" w:sz="4" w:space="0"/>
                    <w:tl2br w:val="nil"/>
                    <w:tr2bl w:val="nil"/>
                  </w:tcBorders>
                  <w:shd w:val="clear" w:color="auto" w:fill="auto"/>
                  <w:noWrap/>
                  <w:vAlign w:val="top"/>
                </w:tcPr>
                <w:p w14:paraId="65F5CD97">
                  <w:pPr>
                    <w:pStyle w:val="141"/>
                    <w:rPr>
                      <w:rFonts w:hint="default" w:ascii="Times New Roman" w:hAnsi="Times New Roman" w:eastAsia="宋体" w:cs="Times New Roman"/>
                      <w:color w:val="000000"/>
                      <w:kern w:val="0"/>
                      <w:sz w:val="21"/>
                      <w:szCs w:val="22"/>
                      <w:highlight w:val="none"/>
                      <w:lang w:val="en-US" w:eastAsia="zh-CN" w:bidi="ar-SA"/>
                    </w:rPr>
                  </w:pPr>
                  <w:r>
                    <w:rPr>
                      <w:rFonts w:ascii="Times New Roman" w:hAnsi="Times New Roman" w:cs="Times New Roman"/>
                      <w:highlight w:val="none"/>
                    </w:rPr>
                    <w:t>20</w:t>
                  </w:r>
                </w:p>
              </w:tc>
            </w:tr>
            <w:tr w14:paraId="3AD53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58" w:type="pct"/>
                  <w:vMerge w:val="restart"/>
                  <w:tcBorders>
                    <w:tl2br w:val="nil"/>
                    <w:tr2bl w:val="nil"/>
                  </w:tcBorders>
                  <w:noWrap/>
                  <w:vAlign w:val="center"/>
                </w:tcPr>
                <w:p w14:paraId="20DC5B08">
                  <w:pPr>
                    <w:spacing w:line="240" w:lineRule="auto"/>
                    <w:ind w:firstLine="0" w:firstLineChars="0"/>
                    <w:jc w:val="center"/>
                    <w:rPr>
                      <w:rFonts w:hint="eastAsia" w:cs="Times New Roman"/>
                      <w:color w:val="auto"/>
                      <w:sz w:val="21"/>
                      <w:szCs w:val="20"/>
                      <w:highlight w:val="none"/>
                      <w:lang w:val="en-US" w:eastAsia="zh-CN"/>
                    </w:rPr>
                  </w:pPr>
                  <w:bookmarkStart w:id="44" w:name="_Toc82120797"/>
                  <w:bookmarkStart w:id="45" w:name="_Toc23063"/>
                  <w:r>
                    <w:rPr>
                      <w:rFonts w:ascii="Times New Roman" w:hAnsi="Times New Roman"/>
                      <w:color w:val="000000"/>
                      <w:highlight w:val="none"/>
                    </w:rPr>
                    <w:t>庆安镇水文站</w:t>
                  </w:r>
                </w:p>
              </w:tc>
              <w:tc>
                <w:tcPr>
                  <w:tcW w:w="784" w:type="pct"/>
                  <w:vMerge w:val="restart"/>
                  <w:tcBorders>
                    <w:tl2br w:val="nil"/>
                    <w:tr2bl w:val="nil"/>
                  </w:tcBorders>
                  <w:noWrap/>
                  <w:vAlign w:val="center"/>
                </w:tcPr>
                <w:p w14:paraId="4C2E0C1C">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618</w:t>
                  </w:r>
                </w:p>
              </w:tc>
              <w:tc>
                <w:tcPr>
                  <w:tcW w:w="941" w:type="pct"/>
                  <w:tcBorders>
                    <w:right w:val="single" w:color="auto" w:sz="4" w:space="0"/>
                    <w:tl2br w:val="nil"/>
                    <w:tr2bl w:val="nil"/>
                  </w:tcBorders>
                  <w:noWrap/>
                  <w:vAlign w:val="center"/>
                </w:tcPr>
                <w:p w14:paraId="2627282E">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ascii="Times New Roman" w:hAnsi="Times New Roman" w:cs="Times New Roman"/>
                      <w:highlight w:val="none"/>
                      <w:lang w:val="en-US" w:eastAsia="zh-CN"/>
                    </w:rPr>
                    <w:t>5~6洪峰</w:t>
                  </w:r>
                </w:p>
              </w:tc>
              <w:tc>
                <w:tcPr>
                  <w:tcW w:w="519" w:type="pct"/>
                  <w:tcBorders>
                    <w:right w:val="single" w:color="auto" w:sz="4" w:space="0"/>
                    <w:tl2br w:val="nil"/>
                    <w:tr2bl w:val="nil"/>
                  </w:tcBorders>
                  <w:noWrap/>
                  <w:vAlign w:val="center"/>
                </w:tcPr>
                <w:p w14:paraId="0924996B">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58.3</w:t>
                  </w:r>
                </w:p>
              </w:tc>
              <w:tc>
                <w:tcPr>
                  <w:tcW w:w="568" w:type="pct"/>
                  <w:tcBorders>
                    <w:right w:val="single" w:color="auto" w:sz="4" w:space="0"/>
                    <w:tl2br w:val="nil"/>
                    <w:tr2bl w:val="nil"/>
                  </w:tcBorders>
                  <w:noWrap/>
                  <w:vAlign w:val="center"/>
                </w:tcPr>
                <w:p w14:paraId="40420FEE">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50.7</w:t>
                  </w:r>
                </w:p>
              </w:tc>
              <w:tc>
                <w:tcPr>
                  <w:tcW w:w="539" w:type="pct"/>
                  <w:tcBorders>
                    <w:right w:val="single" w:color="auto" w:sz="4" w:space="0"/>
                    <w:tl2br w:val="nil"/>
                    <w:tr2bl w:val="nil"/>
                  </w:tcBorders>
                  <w:noWrap/>
                  <w:vAlign w:val="center"/>
                </w:tcPr>
                <w:p w14:paraId="09DD902D">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34.5</w:t>
                  </w:r>
                </w:p>
              </w:tc>
              <w:tc>
                <w:tcPr>
                  <w:tcW w:w="488" w:type="pct"/>
                  <w:tcBorders>
                    <w:tl2br w:val="nil"/>
                    <w:tr2bl w:val="nil"/>
                  </w:tcBorders>
                  <w:noWrap/>
                  <w:vAlign w:val="center"/>
                </w:tcPr>
                <w:p w14:paraId="2ECD7779">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20.4</w:t>
                  </w:r>
                </w:p>
              </w:tc>
            </w:tr>
            <w:tr w14:paraId="7940A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58" w:type="pct"/>
                  <w:vMerge w:val="continue"/>
                  <w:tcBorders>
                    <w:bottom w:val="single" w:color="auto" w:sz="4" w:space="0"/>
                    <w:tl2br w:val="nil"/>
                    <w:tr2bl w:val="nil"/>
                  </w:tcBorders>
                  <w:noWrap/>
                  <w:vAlign w:val="center"/>
                </w:tcPr>
                <w:p w14:paraId="1349C110">
                  <w:pPr>
                    <w:spacing w:line="240" w:lineRule="auto"/>
                    <w:ind w:firstLine="0" w:firstLineChars="0"/>
                    <w:jc w:val="center"/>
                    <w:rPr>
                      <w:rFonts w:hint="eastAsia" w:cs="Times New Roman"/>
                      <w:color w:val="auto"/>
                      <w:sz w:val="21"/>
                      <w:szCs w:val="20"/>
                      <w:highlight w:val="none"/>
                      <w:lang w:val="en-US" w:eastAsia="zh-CN"/>
                    </w:rPr>
                  </w:pPr>
                </w:p>
              </w:tc>
              <w:tc>
                <w:tcPr>
                  <w:tcW w:w="784" w:type="pct"/>
                  <w:vMerge w:val="continue"/>
                  <w:tcBorders>
                    <w:bottom w:val="single" w:color="auto" w:sz="4" w:space="0"/>
                    <w:tl2br w:val="nil"/>
                    <w:tr2bl w:val="nil"/>
                  </w:tcBorders>
                  <w:noWrap/>
                  <w:vAlign w:val="center"/>
                </w:tcPr>
                <w:p w14:paraId="544BE37B">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p>
              </w:tc>
              <w:tc>
                <w:tcPr>
                  <w:tcW w:w="941" w:type="pct"/>
                  <w:tcBorders>
                    <w:bottom w:val="single" w:color="auto" w:sz="4" w:space="0"/>
                    <w:right w:val="single" w:color="auto" w:sz="4" w:space="0"/>
                    <w:tl2br w:val="nil"/>
                    <w:tr2bl w:val="nil"/>
                  </w:tcBorders>
                  <w:noWrap/>
                  <w:vAlign w:val="center"/>
                </w:tcPr>
                <w:p w14:paraId="478EAF0E">
                  <w:pPr>
                    <w:spacing w:line="240" w:lineRule="auto"/>
                    <w:ind w:firstLine="0" w:firstLineChars="0"/>
                    <w:jc w:val="center"/>
                    <w:rPr>
                      <w:rFonts w:hint="eastAsia" w:cs="Times New Roman"/>
                      <w:color w:val="auto"/>
                      <w:sz w:val="21"/>
                      <w:szCs w:val="20"/>
                      <w:highlight w:val="none"/>
                      <w:lang w:val="en-US" w:eastAsia="zh-CN"/>
                    </w:rPr>
                  </w:pPr>
                  <w:r>
                    <w:rPr>
                      <w:rFonts w:hint="eastAsia" w:cs="Times New Roman"/>
                      <w:color w:val="auto"/>
                      <w:sz w:val="21"/>
                      <w:szCs w:val="20"/>
                      <w:highlight w:val="none"/>
                      <w:lang w:val="en-US" w:eastAsia="zh-CN"/>
                    </w:rPr>
                    <w:t>9~10洪峰</w:t>
                  </w:r>
                </w:p>
              </w:tc>
              <w:tc>
                <w:tcPr>
                  <w:tcW w:w="519" w:type="pct"/>
                  <w:tcBorders>
                    <w:bottom w:val="single" w:color="auto" w:sz="4" w:space="0"/>
                    <w:right w:val="single" w:color="auto" w:sz="4" w:space="0"/>
                    <w:tl2br w:val="nil"/>
                    <w:tr2bl w:val="nil"/>
                  </w:tcBorders>
                  <w:noWrap/>
                  <w:vAlign w:val="center"/>
                </w:tcPr>
                <w:p w14:paraId="35927744">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196.1</w:t>
                  </w:r>
                </w:p>
              </w:tc>
              <w:tc>
                <w:tcPr>
                  <w:tcW w:w="568" w:type="pct"/>
                  <w:tcBorders>
                    <w:bottom w:val="single" w:color="auto" w:sz="4" w:space="0"/>
                    <w:right w:val="single" w:color="auto" w:sz="4" w:space="0"/>
                    <w:tl2br w:val="nil"/>
                    <w:tr2bl w:val="nil"/>
                  </w:tcBorders>
                  <w:noWrap/>
                  <w:vAlign w:val="center"/>
                </w:tcPr>
                <w:p w14:paraId="73D9136C">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166</w:t>
                  </w:r>
                </w:p>
              </w:tc>
              <w:tc>
                <w:tcPr>
                  <w:tcW w:w="539" w:type="pct"/>
                  <w:tcBorders>
                    <w:bottom w:val="single" w:color="auto" w:sz="4" w:space="0"/>
                    <w:right w:val="single" w:color="auto" w:sz="4" w:space="0"/>
                    <w:tl2br w:val="nil"/>
                    <w:tr2bl w:val="nil"/>
                  </w:tcBorders>
                  <w:noWrap/>
                  <w:vAlign w:val="center"/>
                </w:tcPr>
                <w:p w14:paraId="5411AF98">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99</w:t>
                  </w:r>
                </w:p>
              </w:tc>
              <w:tc>
                <w:tcPr>
                  <w:tcW w:w="488" w:type="pct"/>
                  <w:tcBorders>
                    <w:bottom w:val="single" w:color="auto" w:sz="4" w:space="0"/>
                    <w:tl2br w:val="nil"/>
                    <w:tr2bl w:val="nil"/>
                  </w:tcBorders>
                  <w:noWrap/>
                  <w:vAlign w:val="center"/>
                </w:tcPr>
                <w:p w14:paraId="254C3307">
                  <w:pPr>
                    <w:spacing w:line="240" w:lineRule="auto"/>
                    <w:ind w:firstLine="0" w:firstLineChars="0"/>
                    <w:jc w:val="center"/>
                    <w:rPr>
                      <w:rFonts w:hint="default" w:ascii="Times New Roman" w:hAnsi="Times New Roman" w:eastAsia="宋体" w:cs="Times New Roman"/>
                      <w:color w:val="auto"/>
                      <w:sz w:val="21"/>
                      <w:szCs w:val="20"/>
                      <w:highlight w:val="none"/>
                      <w:lang w:val="en-US" w:eastAsia="zh-CN"/>
                    </w:rPr>
                  </w:pPr>
                  <w:r>
                    <w:rPr>
                      <w:rFonts w:hint="eastAsia" w:cs="Times New Roman"/>
                      <w:color w:val="auto"/>
                      <w:sz w:val="21"/>
                      <w:szCs w:val="20"/>
                      <w:highlight w:val="none"/>
                      <w:lang w:val="en-US" w:eastAsia="zh-CN"/>
                    </w:rPr>
                    <w:t>45.6</w:t>
                  </w:r>
                </w:p>
              </w:tc>
            </w:tr>
          </w:tbl>
          <w:p w14:paraId="79C8C93A">
            <w:pPr>
              <w:pStyle w:val="84"/>
              <w:keepNext w:val="0"/>
              <w:keepLines w:val="0"/>
              <w:pageBreakBefore w:val="0"/>
              <w:widowControl w:val="0"/>
              <w:kinsoku/>
              <w:wordWrap/>
              <w:overflowPunct/>
              <w:topLinePunct w:val="0"/>
              <w:autoSpaceDE/>
              <w:autoSpaceDN/>
              <w:bidi w:val="0"/>
              <w:adjustRightInd w:val="0"/>
              <w:snapToGrid w:val="0"/>
              <w:spacing w:line="500" w:lineRule="exact"/>
              <w:ind w:firstLine="482"/>
              <w:textAlignment w:val="auto"/>
              <w:rPr>
                <w:rFonts w:hint="default" w:ascii="Times New Roman" w:hAnsi="Times New Roman" w:cs="Times New Roman"/>
                <w:b/>
                <w:color w:val="auto"/>
                <w:sz w:val="28"/>
                <w:szCs w:val="28"/>
                <w:highlight w:val="none"/>
              </w:rPr>
            </w:pPr>
            <w:r>
              <w:rPr>
                <w:rFonts w:hint="default" w:ascii="Times New Roman" w:hAnsi="Times New Roman" w:cs="Times New Roman"/>
                <w:b/>
                <w:color w:val="auto"/>
                <w:highlight w:val="none"/>
                <w:lang w:val="en-US" w:eastAsia="zh-CN"/>
              </w:rPr>
              <w:t>四、</w:t>
            </w:r>
            <w:r>
              <w:rPr>
                <w:rFonts w:hint="default" w:ascii="Times New Roman" w:hAnsi="Times New Roman" w:cs="Times New Roman"/>
                <w:b/>
                <w:color w:val="auto"/>
                <w:highlight w:val="none"/>
              </w:rPr>
              <w:t>声环境质量现状</w:t>
            </w:r>
            <w:bookmarkEnd w:id="41"/>
            <w:bookmarkEnd w:id="42"/>
            <w:bookmarkEnd w:id="43"/>
            <w:bookmarkEnd w:id="44"/>
            <w:bookmarkEnd w:id="45"/>
          </w:p>
          <w:p w14:paraId="6F97026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本工</w:t>
            </w:r>
            <w:r>
              <w:rPr>
                <w:rFonts w:hint="default" w:ascii="Times New Roman" w:hAnsi="Times New Roman" w:cs="Times New Roman"/>
                <w:color w:val="auto"/>
                <w:spacing w:val="-4"/>
                <w:sz w:val="24"/>
                <w:highlight w:val="none"/>
              </w:rPr>
              <w:t>程位于</w:t>
            </w:r>
            <w:r>
              <w:rPr>
                <w:rFonts w:hint="eastAsia" w:cs="Times New Roman"/>
                <w:color w:val="auto"/>
                <w:spacing w:val="-4"/>
                <w:sz w:val="24"/>
                <w:highlight w:val="none"/>
                <w:lang w:val="en-US" w:eastAsia="zh-CN"/>
              </w:rPr>
              <w:t>城镇</w:t>
            </w:r>
            <w:r>
              <w:rPr>
                <w:rFonts w:hint="default" w:ascii="Times New Roman" w:hAnsi="Times New Roman" w:cs="Times New Roman"/>
                <w:color w:val="auto"/>
                <w:spacing w:val="-4"/>
                <w:sz w:val="24"/>
                <w:highlight w:val="none"/>
              </w:rPr>
              <w:t>地区，</w:t>
            </w:r>
            <w:r>
              <w:rPr>
                <w:rFonts w:hint="default" w:ascii="Times New Roman" w:hAnsi="Times New Roman" w:cs="Times New Roman"/>
                <w:color w:val="auto"/>
                <w:kern w:val="0"/>
                <w:sz w:val="24"/>
                <w:highlight w:val="none"/>
              </w:rPr>
              <w:t>参照《声环境质量标准》（GB3096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2008），本项目所在区域</w:t>
            </w:r>
            <w:r>
              <w:rPr>
                <w:rFonts w:hint="default" w:ascii="Times New Roman" w:hAnsi="Times New Roman" w:cs="Times New Roman"/>
                <w:color w:val="auto"/>
                <w:kern w:val="0"/>
                <w:sz w:val="24"/>
                <w:highlight w:val="none"/>
                <w:lang w:val="en-US" w:eastAsia="zh-CN"/>
              </w:rPr>
              <w:t>的</w:t>
            </w:r>
            <w:r>
              <w:rPr>
                <w:rFonts w:hint="default" w:ascii="Times New Roman" w:hAnsi="Times New Roman" w:cs="Times New Roman"/>
                <w:color w:val="auto"/>
                <w:kern w:val="0"/>
                <w:sz w:val="24"/>
                <w:highlight w:val="none"/>
              </w:rPr>
              <w:t>声功能区划按1类区执行。</w:t>
            </w:r>
            <w:r>
              <w:rPr>
                <w:rFonts w:hint="default" w:ascii="Times New Roman" w:hAnsi="Times New Roman" w:cs="Times New Roman"/>
                <w:color w:val="auto"/>
                <w:sz w:val="24"/>
                <w:highlight w:val="none"/>
              </w:rPr>
              <w:t>工程所在区域无大型排放废气、废水和噪声的工业企业污染源，周边为农田</w:t>
            </w:r>
            <w:r>
              <w:rPr>
                <w:rFonts w:hint="eastAsia" w:cs="Times New Roman"/>
                <w:color w:val="auto"/>
                <w:sz w:val="24"/>
                <w:highlight w:val="none"/>
                <w:lang w:val="en-US" w:eastAsia="zh-CN"/>
              </w:rPr>
              <w:t>和住宅区</w:t>
            </w:r>
            <w:r>
              <w:rPr>
                <w:rFonts w:hint="default" w:ascii="Times New Roman" w:hAnsi="Times New Roman" w:cs="Times New Roman"/>
                <w:color w:val="auto"/>
                <w:sz w:val="24"/>
                <w:highlight w:val="none"/>
              </w:rPr>
              <w:t>，声环境质量良好，可满足</w:t>
            </w:r>
            <w:r>
              <w:rPr>
                <w:rFonts w:hint="default" w:ascii="Times New Roman" w:hAnsi="Times New Roman" w:cs="Times New Roman"/>
                <w:color w:val="auto"/>
                <w:kern w:val="0"/>
                <w:sz w:val="24"/>
                <w:highlight w:val="none"/>
              </w:rPr>
              <w:t>《声环境质量标准》（GB3096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2008）1类标准</w:t>
            </w:r>
            <w:r>
              <w:rPr>
                <w:rFonts w:hint="default" w:ascii="Times New Roman" w:hAnsi="Times New Roman" w:cs="Times New Roman"/>
                <w:color w:val="auto"/>
                <w:sz w:val="24"/>
                <w:highlight w:val="none"/>
              </w:rPr>
              <w:t>。</w:t>
            </w:r>
          </w:p>
          <w:p w14:paraId="10A2EA1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sz w:val="24"/>
                <w:highlight w:val="none"/>
                <w:lang w:val="en-US" w:eastAsia="zh-CN"/>
              </w:rPr>
              <w:t>本项目施工</w:t>
            </w:r>
            <w:r>
              <w:rPr>
                <w:rFonts w:hint="eastAsia" w:cs="Times New Roman"/>
                <w:color w:val="auto"/>
                <w:sz w:val="24"/>
                <w:highlight w:val="none"/>
                <w:lang w:val="en-US" w:eastAsia="zh-CN"/>
              </w:rPr>
              <w:t>临时设施</w:t>
            </w:r>
            <w:r>
              <w:rPr>
                <w:rFonts w:hint="default" w:ascii="Times New Roman" w:hAnsi="Times New Roman" w:cs="Times New Roman"/>
                <w:color w:val="auto"/>
                <w:sz w:val="24"/>
                <w:highlight w:val="none"/>
                <w:lang w:val="en-US" w:eastAsia="zh-CN"/>
              </w:rPr>
              <w:t>两侧</w:t>
            </w:r>
            <w:r>
              <w:rPr>
                <w:rFonts w:hint="eastAsia" w:cs="Times New Roman"/>
                <w:color w:val="auto"/>
                <w:sz w:val="24"/>
                <w:highlight w:val="none"/>
                <w:lang w:val="en-US" w:eastAsia="zh-CN"/>
              </w:rPr>
              <w:t>20</w:t>
            </w:r>
            <w:r>
              <w:rPr>
                <w:rFonts w:hint="default" w:ascii="Times New Roman" w:hAnsi="Times New Roman" w:cs="Times New Roman"/>
                <w:color w:val="auto"/>
                <w:sz w:val="24"/>
                <w:highlight w:val="none"/>
                <w:lang w:val="en-US" w:eastAsia="zh-CN"/>
              </w:rPr>
              <w:t>0m范围内无环境敏感点，因此不进行声环境质量补测</w:t>
            </w:r>
            <w:r>
              <w:rPr>
                <w:rFonts w:hint="default" w:ascii="Times New Roman" w:hAnsi="Times New Roman" w:cs="Times New Roman"/>
                <w:color w:val="auto"/>
                <w:kern w:val="0"/>
                <w:sz w:val="24"/>
                <w:highlight w:val="none"/>
                <w:lang w:val="en-US" w:eastAsia="zh-CN"/>
              </w:rPr>
              <w:t>。</w:t>
            </w:r>
          </w:p>
          <w:p w14:paraId="1E9BB0AF">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五、地下水环境质量现状</w:t>
            </w:r>
          </w:p>
          <w:p w14:paraId="633C3021">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 地下水环境》（HJ610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2016）附录A，本项目属于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4、防洪治涝工程</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项目，地下水环境影响评价项目类别为报告表</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4 \* ROMAN \* MERGEFORMAT </w:instrText>
            </w:r>
            <w:r>
              <w:rPr>
                <w:rFonts w:hint="default" w:ascii="Times New Roman" w:hAnsi="Times New Roman" w:cs="Times New Roman"/>
                <w:color w:val="auto"/>
                <w:sz w:val="24"/>
                <w:highlight w:val="none"/>
              </w:rPr>
              <w:fldChar w:fldCharType="separate"/>
            </w:r>
            <w:r>
              <w:rPr>
                <w:rFonts w:hint="default" w:ascii="Times New Roman" w:hAnsi="Times New Roman" w:eastAsia="微软雅黑" w:cs="Times New Roman"/>
                <w:color w:val="auto"/>
                <w:sz w:val="24"/>
                <w:highlight w:val="none"/>
              </w:rPr>
              <w:t>Ⅳ</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类，根据导则4.1条款规定，不开展地下水环境影响评价。</w:t>
            </w:r>
          </w:p>
          <w:p w14:paraId="1067A7E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六、</w:t>
            </w:r>
            <w:r>
              <w:rPr>
                <w:rFonts w:hint="default" w:ascii="Times New Roman" w:hAnsi="Times New Roman" w:cs="Times New Roman"/>
                <w:b/>
                <w:bCs/>
                <w:color w:val="auto"/>
                <w:sz w:val="24"/>
                <w:highlight w:val="none"/>
              </w:rPr>
              <w:t>土壤</w:t>
            </w:r>
            <w:r>
              <w:rPr>
                <w:rFonts w:hint="default" w:ascii="Times New Roman" w:hAnsi="Times New Roman" w:cs="Times New Roman"/>
                <w:b/>
                <w:bCs/>
                <w:color w:val="auto"/>
                <w:sz w:val="24"/>
                <w:highlight w:val="none"/>
                <w:lang w:val="en-US" w:eastAsia="zh-CN"/>
              </w:rPr>
              <w:t>环境质量现状</w:t>
            </w:r>
          </w:p>
          <w:p w14:paraId="6C185C30">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根据《环境影响评价技术导则 土壤环境》（HJ964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2018），本项目所属行业类别为水利工程，本项目属于附录A中的水利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3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III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类。根据6.2.1章节，生态影响型建</w:t>
            </w:r>
            <w:r>
              <w:rPr>
                <w:rFonts w:hint="default" w:ascii="Times New Roman" w:hAnsi="Times New Roman" w:eastAsia="宋体" w:cs="Times New Roman"/>
                <w:color w:val="auto"/>
                <w:sz w:val="24"/>
                <w:highlight w:val="none"/>
              </w:rPr>
              <w:t>设项目评价工作等级划分依据，本项目所在区域多年平均年降水量为</w:t>
            </w:r>
            <w:r>
              <w:rPr>
                <w:rFonts w:hint="default" w:ascii="Times New Roman" w:hAnsi="Times New Roman" w:eastAsia="宋体" w:cs="Times New Roman"/>
                <w:color w:val="auto"/>
                <w:sz w:val="24"/>
                <w:highlight w:val="none"/>
                <w:lang w:val="en-US" w:eastAsia="zh-CN"/>
              </w:rPr>
              <w:t>668</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rPr>
              <w:t>，多年平均蒸发量为</w:t>
            </w:r>
            <w:r>
              <w:rPr>
                <w:rFonts w:hint="default" w:ascii="Times New Roman" w:hAnsi="Times New Roman" w:eastAsia="宋体" w:cs="Times New Roman"/>
                <w:color w:val="auto"/>
                <w:sz w:val="24"/>
                <w:highlight w:val="none"/>
                <w:lang w:val="en-US" w:eastAsia="zh-CN"/>
              </w:rPr>
              <w:t>1130</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lang w:eastAsia="zh-CN"/>
              </w:rPr>
              <w:t>。该区的水文地质结构受控于其</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漫岗平原与低山丘陵相间</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的地貌格局和</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松散孔隙水与基岩裂隙水并存</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的地层特点。地下水主要接受大气降水的入渗补给，由东北向西南方向径流，最终排泄于呼兰河等河流。</w:t>
            </w:r>
            <w:r>
              <w:rPr>
                <w:rFonts w:hint="default" w:ascii="Times New Roman" w:hAnsi="Times New Roman" w:eastAsia="宋体" w:cs="Times New Roman"/>
                <w:color w:val="auto"/>
                <w:sz w:val="24"/>
                <w:highlight w:val="none"/>
                <w:lang w:val="en-US" w:eastAsia="zh-CN"/>
              </w:rPr>
              <w:t>地下水埋深在0.30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～3.50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，水位在185.21</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～187.68</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，年最大变幅2.00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左右。</w:t>
            </w:r>
          </w:p>
          <w:p w14:paraId="6CD1801C">
            <w:pPr>
              <w:keepNext w:val="0"/>
              <w:keepLines w:val="0"/>
              <w:pageBreakBefore w:val="0"/>
              <w:widowControl w:val="0"/>
              <w:kinsoku/>
              <w:wordWrap/>
              <w:overflowPunct/>
              <w:topLinePunct w:val="0"/>
              <w:autoSpaceDE/>
              <w:autoSpaceDN/>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区域土壤含盐量一般低于2g/kg；根据中国土壤数据库，工程区土类主要为暗棕壤，pH</w:t>
            </w:r>
            <w:r>
              <w:rPr>
                <w:rFonts w:hint="default" w:ascii="Times New Roman" w:hAnsi="Times New Roman" w:eastAsia="宋体" w:cs="Times New Roman"/>
                <w:color w:val="auto"/>
                <w:sz w:val="24"/>
                <w:highlight w:val="none"/>
                <w:lang w:val="en-US" w:eastAsia="zh-CN"/>
              </w:rPr>
              <w:t>为6.5</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7.5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，则判断土壤盐化、酸化、碱化程度属于不敏感。因此根据生态影响型评价工作等对照生态影响型评价工作等级划分表，本</w:t>
            </w:r>
            <w:r>
              <w:rPr>
                <w:rFonts w:hint="default" w:ascii="Times New Roman" w:hAnsi="Times New Roman" w:eastAsia="宋体" w:cs="Times New Roman"/>
                <w:color w:val="auto"/>
                <w:sz w:val="24"/>
                <w:highlight w:val="none"/>
                <w:lang w:val="en-US" w:eastAsia="zh-CN"/>
              </w:rPr>
              <w:t>工程</w:t>
            </w:r>
            <w:r>
              <w:rPr>
                <w:rFonts w:hint="default" w:ascii="Times New Roman" w:hAnsi="Times New Roman" w:eastAsia="宋体" w:cs="Times New Roman"/>
                <w:color w:val="auto"/>
                <w:sz w:val="24"/>
                <w:highlight w:val="none"/>
              </w:rPr>
              <w:t>敏感程度为</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不敏感</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判定本工程土壤环境影响评价等级为</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无需开展土壤环境影响评价工作</w:t>
            </w:r>
            <w:r>
              <w:rPr>
                <w:rFonts w:hint="default" w:ascii="Times New Roman" w:hAnsi="Times New Roman" w:cs="Times New Roman"/>
                <w:color w:val="auto"/>
                <w:sz w:val="24"/>
                <w:highlight w:val="none"/>
              </w:rPr>
              <w:t>。</w:t>
            </w:r>
          </w:p>
          <w:p w14:paraId="66384879">
            <w:pPr>
              <w:pStyle w:val="84"/>
              <w:bidi w:val="0"/>
              <w:rPr>
                <w:rFonts w:hint="default" w:ascii="Times New Roman" w:hAnsi="Times New Roman" w:cs="Times New Roman"/>
                <w:b/>
                <w:bCs/>
                <w:color w:val="auto"/>
                <w:highlight w:val="none"/>
                <w:lang w:eastAsia="zh-CN"/>
              </w:rPr>
            </w:pPr>
          </w:p>
        </w:tc>
      </w:tr>
      <w:tr w14:paraId="26B0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81" w:type="pct"/>
            <w:noWrap w:val="0"/>
            <w:vAlign w:val="center"/>
          </w:tcPr>
          <w:p w14:paraId="7A3A298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bCs/>
                <w:color w:val="auto"/>
                <w:sz w:val="24"/>
                <w:highlight w:val="none"/>
              </w:rPr>
              <w:t>与项目有关的原有环境污染和生态破坏问题</w:t>
            </w:r>
          </w:p>
        </w:tc>
        <w:tc>
          <w:tcPr>
            <w:tcW w:w="4619" w:type="pct"/>
            <w:noWrap w:val="0"/>
            <w:vAlign w:val="center"/>
          </w:tcPr>
          <w:p w14:paraId="5475E7CD">
            <w:pPr>
              <w:pStyle w:val="84"/>
              <w:spacing w:line="36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1、现状问题</w:t>
            </w:r>
          </w:p>
          <w:p w14:paraId="5D5510A0">
            <w:pPr>
              <w:pStyle w:val="84"/>
              <w:spacing w:line="360" w:lineRule="auto"/>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sz w:val="24"/>
                <w:highlight w:val="none"/>
                <w:lang w:val="en-US" w:eastAsia="zh-CN"/>
              </w:rPr>
              <w:t>本次治理河段位于庆安县城区，吉庆路附近位置。该段河道早年在此处形成南北两处分叉，洪水在此处进行分洪后汇入下游河道。近年来，当地居民逐年将南侧河道填堵，用以耕种，北侧河道受冲严重，河道过流能力不足，现阶段急需恢复原南侧河道，使该段河道水流通畅。</w:t>
            </w:r>
          </w:p>
          <w:p w14:paraId="06C494B3">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2、环境污染</w:t>
            </w:r>
          </w:p>
          <w:p w14:paraId="4FA12D78">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highlight w:val="yellow"/>
                <w:lang w:val="en-US" w:eastAsia="zh-CN"/>
              </w:rPr>
            </w:pPr>
            <w:r>
              <w:rPr>
                <w:rFonts w:hint="default" w:ascii="Times New Roman" w:hAnsi="Times New Roman" w:eastAsia="宋体" w:cs="Times New Roman"/>
                <w:color w:val="auto"/>
                <w:sz w:val="24"/>
                <w:highlight w:val="yellow"/>
                <w:lang w:val="en-US" w:eastAsia="zh-CN"/>
              </w:rPr>
              <w:t>本项目原有现状问题会导致防洪标准低、河道行洪不畅，暴雨洪水易造成城区、农田涝渍积水。同时缺乏工程管护会使河道淤积严重，自净能力下降，污染物易累积，进一步加剧水体污染。</w:t>
            </w:r>
          </w:p>
          <w:p w14:paraId="2F5DF401">
            <w:pPr>
              <w:shd w:val="clear" w:color="auto" w:fill="auto"/>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3、生态破坏问题</w:t>
            </w:r>
          </w:p>
          <w:p w14:paraId="43C88756">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4"/>
                <w:highlight w:val="yellow"/>
                <w:lang w:val="en-US" w:eastAsia="zh-CN"/>
              </w:rPr>
            </w:pPr>
            <w:r>
              <w:rPr>
                <w:rFonts w:hint="default" w:ascii="Times New Roman" w:hAnsi="Times New Roman" w:eastAsia="宋体" w:cs="Times New Roman"/>
                <w:color w:val="auto"/>
                <w:sz w:val="24"/>
                <w:highlight w:val="yellow"/>
                <w:lang w:val="en-US" w:eastAsia="zh-CN"/>
              </w:rPr>
              <w:t>本项目原有现状问题会导致河道行洪能力不足、洪水频繁冲刷，导致岸坡侵蚀、水土流失加剧。</w:t>
            </w:r>
          </w:p>
          <w:p w14:paraId="493ADC64">
            <w:pPr>
              <w:pStyle w:val="8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lang w:val="en-US" w:eastAsia="zh-CN"/>
              </w:rPr>
              <w:t>综上所述，</w:t>
            </w:r>
            <w:r>
              <w:rPr>
                <w:rFonts w:hint="default" w:ascii="Times New Roman" w:hAnsi="Times New Roman" w:cs="Times New Roman"/>
                <w:color w:val="auto"/>
                <w:highlight w:val="none"/>
              </w:rPr>
              <w:t>实施</w:t>
            </w:r>
            <w:r>
              <w:rPr>
                <w:rFonts w:hint="eastAsia" w:cs="Times New Roman"/>
                <w:color w:val="auto"/>
                <w:highlight w:val="none"/>
                <w:lang w:eastAsia="zh-CN"/>
              </w:rPr>
              <w:t>庆安县格木克河改道项目</w:t>
            </w:r>
            <w:r>
              <w:rPr>
                <w:rFonts w:hint="default" w:ascii="Times New Roman" w:hAnsi="Times New Roman" w:cs="Times New Roman"/>
                <w:color w:val="auto"/>
                <w:highlight w:val="none"/>
              </w:rPr>
              <w:t>是十分必要的</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本项目的建设可</w:t>
            </w:r>
            <w:r>
              <w:rPr>
                <w:rFonts w:hint="default" w:ascii="Times New Roman" w:hAnsi="Times New Roman" w:eastAsia="宋体" w:cs="Times New Roman"/>
                <w:color w:val="auto"/>
                <w:sz w:val="24"/>
                <w:highlight w:val="none"/>
                <w:lang w:val="en-US" w:eastAsia="zh-CN"/>
              </w:rPr>
              <w:t>使其能抵御10年一遇洪水，保护两</w:t>
            </w:r>
            <w:r>
              <w:rPr>
                <w:rFonts w:hint="default" w:ascii="Times New Roman" w:hAnsi="Times New Roman" w:eastAsia="宋体" w:cs="Times New Roman"/>
                <w:color w:val="auto"/>
                <w:sz w:val="24"/>
                <w:highlight w:val="none"/>
                <w:lang w:eastAsia="zh-CN"/>
              </w:rPr>
              <w:t>岸人民生命财产安全，</w:t>
            </w:r>
            <w:r>
              <w:rPr>
                <w:rFonts w:hint="default" w:ascii="Times New Roman" w:hAnsi="Times New Roman" w:eastAsia="宋体" w:cs="Times New Roman"/>
                <w:color w:val="auto"/>
                <w:sz w:val="24"/>
                <w:highlight w:val="none"/>
                <w:lang w:val="en-US" w:eastAsia="zh-CN"/>
              </w:rPr>
              <w:t>解决环境污染及生态破坏问题，</w:t>
            </w:r>
            <w:r>
              <w:rPr>
                <w:rFonts w:hint="default" w:ascii="Times New Roman" w:hAnsi="Times New Roman" w:eastAsia="宋体" w:cs="Times New Roman"/>
                <w:color w:val="auto"/>
                <w:sz w:val="24"/>
                <w:highlight w:val="none"/>
                <w:lang w:eastAsia="zh-CN"/>
              </w:rPr>
              <w:t>促进国民经济持续发展，维护社会和谐稳定</w:t>
            </w:r>
            <w:r>
              <w:rPr>
                <w:rFonts w:hint="default" w:ascii="Times New Roman" w:hAnsi="Times New Roman" w:cs="Times New Roman"/>
                <w:color w:val="auto"/>
                <w:highlight w:val="none"/>
                <w:lang w:val="en-US" w:eastAsia="zh-CN"/>
              </w:rPr>
              <w:t>。</w:t>
            </w:r>
          </w:p>
          <w:p w14:paraId="6E6710F5">
            <w:pPr>
              <w:pStyle w:val="84"/>
              <w:rPr>
                <w:rFonts w:hint="default" w:ascii="Times New Roman" w:hAnsi="Times New Roman" w:cs="Times New Roman"/>
                <w:color w:val="auto"/>
                <w:highlight w:val="none"/>
              </w:rPr>
            </w:pPr>
          </w:p>
        </w:tc>
      </w:tr>
      <w:tr w14:paraId="2A75B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381" w:type="pct"/>
            <w:noWrap w:val="0"/>
            <w:vAlign w:val="center"/>
          </w:tcPr>
          <w:p w14:paraId="7446C0E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生态环境保护目标</w:t>
            </w:r>
          </w:p>
        </w:tc>
        <w:tc>
          <w:tcPr>
            <w:tcW w:w="4619" w:type="pct"/>
            <w:noWrap w:val="0"/>
            <w:vAlign w:val="top"/>
          </w:tcPr>
          <w:p w14:paraId="1BD48087">
            <w:pPr>
              <w:pStyle w:val="84"/>
              <w:keepNext w:val="0"/>
              <w:keepLines w:val="0"/>
              <w:pageBreakBefore w:val="0"/>
              <w:widowControl w:val="0"/>
              <w:kinsoku/>
              <w:wordWrap/>
              <w:overflowPunct/>
              <w:topLinePunct w:val="0"/>
              <w:autoSpaceDE/>
              <w:autoSpaceDN/>
              <w:bidi w:val="0"/>
              <w:adjustRightInd w:val="0"/>
              <w:snapToGrid w:val="0"/>
              <w:spacing w:line="500" w:lineRule="exac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1、生态保护目标</w:t>
            </w:r>
          </w:p>
          <w:p w14:paraId="045D01F5">
            <w:pPr>
              <w:pStyle w:val="84"/>
              <w:keepNext w:val="0"/>
              <w:keepLines w:val="0"/>
              <w:pageBreakBefore w:val="0"/>
              <w:widowControl w:val="0"/>
              <w:kinsoku/>
              <w:wordWrap/>
              <w:overflowPunct/>
              <w:topLinePunct w:val="0"/>
              <w:autoSpaceDE/>
              <w:autoSpaceDN/>
              <w:bidi w:val="0"/>
              <w:adjustRightInd w:val="0"/>
              <w:snapToGrid w:val="0"/>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部分工程在</w:t>
            </w:r>
            <w:r>
              <w:rPr>
                <w:rFonts w:hint="default" w:ascii="Times New Roman" w:hAnsi="Times New Roman" w:cs="Times New Roman"/>
                <w:color w:val="auto"/>
                <w:highlight w:val="none"/>
              </w:rPr>
              <w:t>生态保护红线内，</w:t>
            </w:r>
            <w:r>
              <w:rPr>
                <w:rFonts w:hint="default" w:ascii="Times New Roman" w:hAnsi="Times New Roman" w:cs="Times New Roman"/>
                <w:color w:val="auto"/>
                <w:highlight w:val="none"/>
                <w:lang w:eastAsia="zh-CN"/>
              </w:rPr>
              <w:t>生态评价范围为</w:t>
            </w:r>
            <w:r>
              <w:rPr>
                <w:rFonts w:hint="default" w:ascii="Times New Roman" w:hAnsi="Times New Roman" w:cs="Times New Roman"/>
                <w:color w:val="auto"/>
                <w:highlight w:val="none"/>
                <w:lang w:val="en-US" w:eastAsia="zh-CN"/>
              </w:rPr>
              <w:t>300米内生态环境。生态评价范围内无珍稀野生动植物及其栖息地分布，</w:t>
            </w:r>
            <w:r>
              <w:rPr>
                <w:rFonts w:hint="default" w:ascii="Times New Roman" w:hAnsi="Times New Roman" w:cs="Times New Roman"/>
                <w:color w:val="auto"/>
                <w:highlight w:val="none"/>
              </w:rPr>
              <w:t>本工程施工期的生态保护目标主要为防止由于项目建设而导致施工区陆生生态环境遭到破坏；鱼类、浮游动植物、底栖动物及栖息环境不遭到破坏，生态保护目标见下表。</w:t>
            </w:r>
          </w:p>
          <w:p w14:paraId="7AF7DC0A">
            <w:pPr>
              <w:keepNext w:val="0"/>
              <w:keepLines w:val="0"/>
              <w:pageBreakBefore w:val="0"/>
              <w:widowControl w:val="0"/>
              <w:kinsoku/>
              <w:wordWrap/>
              <w:overflowPunct/>
              <w:topLinePunct w:val="0"/>
              <w:autoSpaceDE/>
              <w:autoSpaceDN/>
              <w:bidi w:val="0"/>
              <w:adjustRightInd w:val="0"/>
              <w:snapToGrid w:val="0"/>
              <w:spacing w:line="500" w:lineRule="exact"/>
              <w:ind w:firstLine="482"/>
              <w:jc w:val="center"/>
              <w:textAlignment w:val="baseline"/>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4  </w:t>
            </w:r>
            <w:r>
              <w:rPr>
                <w:rFonts w:hint="default" w:ascii="Times New Roman" w:hAnsi="Times New Roman" w:cs="Times New Roman"/>
                <w:b/>
                <w:color w:val="auto"/>
                <w:kern w:val="0"/>
                <w:sz w:val="21"/>
                <w:szCs w:val="21"/>
                <w:highlight w:val="none"/>
                <w:lang w:val="en-GB"/>
              </w:rPr>
              <w:t>生态环境</w:t>
            </w:r>
            <w:r>
              <w:rPr>
                <w:rFonts w:hint="default" w:ascii="Times New Roman" w:hAnsi="Times New Roman" w:cs="Times New Roman"/>
                <w:b/>
                <w:color w:val="auto"/>
                <w:kern w:val="0"/>
                <w:sz w:val="21"/>
                <w:szCs w:val="21"/>
                <w:highlight w:val="none"/>
              </w:rPr>
              <w:t>保护目标</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615"/>
              <w:gridCol w:w="2155"/>
              <w:gridCol w:w="2155"/>
            </w:tblGrid>
            <w:tr w14:paraId="4008E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2" w:type="pct"/>
                  <w:tcBorders>
                    <w:top w:val="single" w:color="auto" w:sz="4" w:space="0"/>
                    <w:left w:val="single" w:color="auto" w:sz="0" w:space="0"/>
                  </w:tcBorders>
                  <w:noWrap w:val="0"/>
                  <w:vAlign w:val="center"/>
                </w:tcPr>
                <w:p w14:paraId="0D45327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保护目标名称</w:t>
                  </w:r>
                </w:p>
              </w:tc>
              <w:tc>
                <w:tcPr>
                  <w:tcW w:w="1054" w:type="pct"/>
                  <w:tcBorders>
                    <w:top w:val="single" w:color="auto" w:sz="4" w:space="0"/>
                  </w:tcBorders>
                  <w:noWrap w:val="0"/>
                  <w:vAlign w:val="center"/>
                </w:tcPr>
                <w:p w14:paraId="645E25C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保护对象</w:t>
                  </w:r>
                </w:p>
              </w:tc>
              <w:tc>
                <w:tcPr>
                  <w:tcW w:w="1406" w:type="pct"/>
                  <w:tcBorders>
                    <w:top w:val="single" w:color="auto" w:sz="4" w:space="0"/>
                  </w:tcBorders>
                  <w:noWrap w:val="0"/>
                  <w:vAlign w:val="center"/>
                </w:tcPr>
                <w:p w14:paraId="0CD94407">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保护目标</w:t>
                  </w:r>
                </w:p>
              </w:tc>
              <w:tc>
                <w:tcPr>
                  <w:tcW w:w="1406" w:type="pct"/>
                  <w:tcBorders>
                    <w:top w:val="single" w:color="auto" w:sz="4" w:space="0"/>
                    <w:right w:val="single" w:color="auto" w:sz="4" w:space="0"/>
                  </w:tcBorders>
                  <w:noWrap w:val="0"/>
                  <w:vAlign w:val="top"/>
                </w:tcPr>
                <w:p w14:paraId="6EF12D81">
                  <w:pPr>
                    <w:pStyle w:val="89"/>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与项目区位置关系</w:t>
                  </w:r>
                </w:p>
              </w:tc>
            </w:tr>
            <w:tr w14:paraId="21281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tcBorders>
                  <w:noWrap w:val="0"/>
                  <w:vAlign w:val="center"/>
                </w:tcPr>
                <w:p w14:paraId="343DAB3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陆生生态环境</w:t>
                  </w:r>
                </w:p>
              </w:tc>
              <w:tc>
                <w:tcPr>
                  <w:tcW w:w="1054" w:type="pct"/>
                  <w:noWrap w:val="0"/>
                  <w:vAlign w:val="center"/>
                </w:tcPr>
                <w:p w14:paraId="0D865440">
                  <w:pPr>
                    <w:pStyle w:val="89"/>
                    <w:jc w:val="center"/>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工程区</w:t>
                  </w:r>
                  <w:r>
                    <w:rPr>
                      <w:rFonts w:hint="default" w:ascii="Times New Roman" w:hAnsi="Times New Roman" w:cs="Times New Roman"/>
                      <w:color w:val="auto"/>
                      <w:highlight w:val="none"/>
                      <w:lang w:val="en-US" w:eastAsia="zh-CN"/>
                    </w:rPr>
                    <w:t>及</w:t>
                  </w:r>
                  <w:r>
                    <w:rPr>
                      <w:rFonts w:hint="default" w:ascii="Times New Roman" w:hAnsi="Times New Roman" w:cs="Times New Roman"/>
                      <w:color w:val="auto"/>
                      <w:highlight w:val="none"/>
                      <w:lang w:val="en-GB"/>
                    </w:rPr>
                    <w:t>周边</w:t>
                  </w:r>
                  <w:r>
                    <w:rPr>
                      <w:rFonts w:hint="default" w:ascii="Times New Roman" w:hAnsi="Times New Roman" w:cs="Times New Roman"/>
                      <w:color w:val="auto"/>
                      <w:highlight w:val="none"/>
                      <w:lang w:val="en-US" w:eastAsia="zh-CN"/>
                    </w:rPr>
                    <w:t>300米的</w:t>
                  </w:r>
                  <w:r>
                    <w:rPr>
                      <w:rFonts w:hint="default" w:ascii="Times New Roman" w:hAnsi="Times New Roman" w:cs="Times New Roman"/>
                      <w:color w:val="auto"/>
                      <w:highlight w:val="none"/>
                      <w:lang w:val="en-GB"/>
                    </w:rPr>
                    <w:t>生态环境，包括野生动植物及其栖息地。</w:t>
                  </w:r>
                </w:p>
              </w:tc>
              <w:tc>
                <w:tcPr>
                  <w:tcW w:w="1406" w:type="pct"/>
                  <w:noWrap w:val="0"/>
                  <w:vAlign w:val="center"/>
                </w:tcPr>
                <w:p w14:paraId="4B84B8E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周边生态环境质量不因工程的建设而下降</w:t>
                  </w:r>
                </w:p>
              </w:tc>
              <w:tc>
                <w:tcPr>
                  <w:tcW w:w="1406" w:type="pct"/>
                  <w:tcBorders>
                    <w:right w:val="single" w:color="auto" w:sz="4" w:space="0"/>
                  </w:tcBorders>
                  <w:noWrap w:val="0"/>
                  <w:vAlign w:val="center"/>
                </w:tcPr>
                <w:p w14:paraId="785B307F">
                  <w:pPr>
                    <w:pStyle w:val="89"/>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GB"/>
                    </w:rPr>
                    <w:t>项目区周边陆生生态环境</w:t>
                  </w:r>
                </w:p>
              </w:tc>
            </w:tr>
            <w:tr w14:paraId="24E0E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tcBorders>
                  <w:noWrap w:val="0"/>
                  <w:vAlign w:val="center"/>
                </w:tcPr>
                <w:p w14:paraId="4E8147EA">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水生生态环境</w:t>
                  </w:r>
                </w:p>
              </w:tc>
              <w:tc>
                <w:tcPr>
                  <w:tcW w:w="1054" w:type="pct"/>
                  <w:noWrap w:val="0"/>
                  <w:vAlign w:val="center"/>
                </w:tcPr>
                <w:p w14:paraId="75BBADE6">
                  <w:pPr>
                    <w:pStyle w:val="89"/>
                    <w:jc w:val="center"/>
                    <w:rPr>
                      <w:rFonts w:hint="default" w:ascii="Times New Roman" w:hAnsi="Times New Roman" w:cs="Times New Roman"/>
                      <w:color w:val="auto"/>
                      <w:highlight w:val="none"/>
                      <w:lang w:val="en-GB"/>
                    </w:rPr>
                  </w:pPr>
                  <w:r>
                    <w:rPr>
                      <w:rFonts w:hint="eastAsia" w:cs="Times New Roman"/>
                      <w:color w:val="auto"/>
                      <w:highlight w:val="none"/>
                      <w:lang w:val="en-GB" w:eastAsia="zh-CN"/>
                    </w:rPr>
                    <w:t>格木克河</w:t>
                  </w:r>
                  <w:r>
                    <w:rPr>
                      <w:rFonts w:hint="default" w:ascii="Times New Roman" w:hAnsi="Times New Roman" w:cs="Times New Roman"/>
                      <w:color w:val="auto"/>
                      <w:highlight w:val="none"/>
                      <w:lang w:val="en-GB"/>
                    </w:rPr>
                    <w:t>水生生态环境，包括鱼类、浮游动植物、底栖动物及栖息环境</w:t>
                  </w:r>
                </w:p>
              </w:tc>
              <w:tc>
                <w:tcPr>
                  <w:tcW w:w="1406" w:type="pct"/>
                  <w:noWrap w:val="0"/>
                  <w:vAlign w:val="center"/>
                </w:tcPr>
                <w:p w14:paraId="6F006FF5">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鱼类、浮游动植物、底栖动物及栖息环境不遭到破坏</w:t>
                  </w:r>
                  <w:r>
                    <w:rPr>
                      <w:rFonts w:hint="eastAsia" w:cs="Times New Roman"/>
                      <w:color w:val="auto"/>
                      <w:highlight w:val="none"/>
                      <w:lang w:eastAsia="zh-CN"/>
                    </w:rPr>
                    <w:t>，</w:t>
                  </w:r>
                  <w:r>
                    <w:rPr>
                      <w:rFonts w:hint="eastAsia" w:cs="Times New Roman"/>
                      <w:color w:val="auto"/>
                      <w:highlight w:val="none"/>
                      <w:lang w:val="en-US" w:eastAsia="zh-CN"/>
                    </w:rPr>
                    <w:t>评价范围内无受保护的野生鱼类。</w:t>
                  </w:r>
                </w:p>
              </w:tc>
              <w:tc>
                <w:tcPr>
                  <w:tcW w:w="1406" w:type="pct"/>
                  <w:tcBorders>
                    <w:right w:val="single" w:color="auto" w:sz="4" w:space="0"/>
                  </w:tcBorders>
                  <w:noWrap w:val="0"/>
                  <w:vAlign w:val="center"/>
                </w:tcPr>
                <w:p w14:paraId="36869B6C">
                  <w:pPr>
                    <w:pStyle w:val="89"/>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项目区所在的</w:t>
                  </w:r>
                  <w:r>
                    <w:rPr>
                      <w:rFonts w:hint="eastAsia" w:cs="Times New Roman"/>
                      <w:color w:val="auto"/>
                      <w:highlight w:val="none"/>
                      <w:lang w:eastAsia="zh-CN"/>
                    </w:rPr>
                    <w:t>格木克河</w:t>
                  </w:r>
                  <w:r>
                    <w:rPr>
                      <w:rFonts w:hint="default" w:ascii="Times New Roman" w:hAnsi="Times New Roman" w:cs="Times New Roman"/>
                      <w:color w:val="auto"/>
                      <w:highlight w:val="none"/>
                    </w:rPr>
                    <w:t>水生生态环境</w:t>
                  </w:r>
                </w:p>
              </w:tc>
            </w:tr>
            <w:tr w14:paraId="5FF67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132" w:type="pct"/>
                  <w:tcBorders>
                    <w:left w:val="single" w:color="auto" w:sz="4" w:space="0"/>
                    <w:bottom w:val="single" w:color="auto" w:sz="4" w:space="0"/>
                  </w:tcBorders>
                  <w:shd w:val="clear" w:color="auto" w:fill="auto"/>
                  <w:noWrap w:val="0"/>
                  <w:vAlign w:val="center"/>
                </w:tcPr>
                <w:p w14:paraId="7689B01A">
                  <w:pPr>
                    <w:pStyle w:val="89"/>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绥化市一般生态空间</w:t>
                  </w:r>
                </w:p>
              </w:tc>
              <w:tc>
                <w:tcPr>
                  <w:tcW w:w="1054" w:type="pct"/>
                  <w:tcBorders>
                    <w:bottom w:val="single" w:color="auto" w:sz="4" w:space="0"/>
                  </w:tcBorders>
                  <w:shd w:val="clear" w:color="auto" w:fill="auto"/>
                  <w:noWrap w:val="0"/>
                  <w:vAlign w:val="center"/>
                </w:tcPr>
                <w:p w14:paraId="380F32D7">
                  <w:pPr>
                    <w:pStyle w:val="89"/>
                    <w:jc w:val="center"/>
                    <w:rPr>
                      <w:rFonts w:hint="default" w:ascii="Times New Roman" w:hAnsi="Times New Roman" w:eastAsia="宋体" w:cs="Times New Roman"/>
                      <w:color w:val="auto"/>
                      <w:spacing w:val="-4"/>
                      <w:kern w:val="2"/>
                      <w:sz w:val="21"/>
                      <w:szCs w:val="24"/>
                      <w:highlight w:val="none"/>
                      <w:lang w:val="en-GB" w:eastAsia="zh-CN" w:bidi="ar-SA"/>
                    </w:rPr>
                  </w:pPr>
                  <w:r>
                    <w:rPr>
                      <w:rFonts w:hint="default" w:ascii="Times New Roman" w:hAnsi="Times New Roman" w:cs="Times New Roman"/>
                      <w:color w:val="auto"/>
                      <w:highlight w:val="none"/>
                      <w:lang w:val="en-US" w:eastAsia="zh-CN"/>
                    </w:rPr>
                    <w:t>一般生态空间</w:t>
                  </w:r>
                  <w:r>
                    <w:rPr>
                      <w:rFonts w:hint="default" w:ascii="Times New Roman" w:hAnsi="Times New Roman" w:cs="Times New Roman"/>
                      <w:color w:val="auto"/>
                      <w:highlight w:val="none"/>
                      <w:lang w:val="en-GB"/>
                    </w:rPr>
                    <w:t>内生态环境</w:t>
                  </w:r>
                </w:p>
              </w:tc>
              <w:tc>
                <w:tcPr>
                  <w:tcW w:w="1406" w:type="pct"/>
                  <w:tcBorders>
                    <w:bottom w:val="single" w:color="auto" w:sz="4" w:space="0"/>
                  </w:tcBorders>
                  <w:shd w:val="clear" w:color="auto" w:fill="auto"/>
                  <w:noWrap w:val="0"/>
                  <w:vAlign w:val="center"/>
                </w:tcPr>
                <w:p w14:paraId="2DA9227C">
                  <w:pPr>
                    <w:pStyle w:val="89"/>
                    <w:jc w:val="center"/>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GB" w:eastAsia="zh-CN"/>
                    </w:rPr>
                    <w:t>一般生态空间</w:t>
                  </w:r>
                  <w:r>
                    <w:rPr>
                      <w:rFonts w:hint="default" w:ascii="Times New Roman" w:hAnsi="Times New Roman" w:cs="Times New Roman"/>
                      <w:color w:val="auto"/>
                      <w:highlight w:val="none"/>
                      <w:lang w:val="en-GB"/>
                    </w:rPr>
                    <w:t>内生态环境不遭到破坏</w:t>
                  </w:r>
                </w:p>
              </w:tc>
              <w:tc>
                <w:tcPr>
                  <w:tcW w:w="1406" w:type="pct"/>
                  <w:tcBorders>
                    <w:bottom w:val="single" w:color="auto" w:sz="4" w:space="0"/>
                    <w:right w:val="single" w:color="auto" w:sz="4" w:space="0"/>
                  </w:tcBorders>
                  <w:shd w:val="clear" w:color="auto" w:fill="auto"/>
                  <w:noWrap w:val="0"/>
                  <w:vAlign w:val="center"/>
                </w:tcPr>
                <w:p w14:paraId="17628A25">
                  <w:pPr>
                    <w:pStyle w:val="89"/>
                    <w:jc w:val="both"/>
                    <w:rPr>
                      <w:rFonts w:hint="default" w:ascii="Times New Roman" w:hAnsi="Times New Roman" w:eastAsia="宋体"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lang w:val="en-US" w:eastAsia="zh-CN"/>
                    </w:rPr>
                    <w:t>部分工程位于一般生态空间内</w:t>
                  </w:r>
                </w:p>
              </w:tc>
            </w:tr>
          </w:tbl>
          <w:p w14:paraId="54699234">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、大气环境</w:t>
            </w:r>
          </w:p>
          <w:p w14:paraId="7FFF535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大气环境保护目标为主体工程及临时工程周边</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00米范围内的自然保护区、风景名胜区、自然公园、居住区、文化区和农村地区中人群较集中的区域等保护目标。</w:t>
            </w:r>
          </w:p>
          <w:p w14:paraId="23FC2423">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5  </w:t>
            </w:r>
            <w:r>
              <w:rPr>
                <w:rFonts w:hint="default" w:ascii="Times New Roman" w:hAnsi="Times New Roman" w:cs="Times New Roman"/>
                <w:b/>
                <w:color w:val="auto"/>
                <w:kern w:val="0"/>
                <w:sz w:val="21"/>
                <w:szCs w:val="21"/>
                <w:highlight w:val="none"/>
              </w:rPr>
              <w:t>大气环境保护目标</w:t>
            </w:r>
          </w:p>
          <w:tbl>
            <w:tblPr>
              <w:tblStyle w:val="2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2371"/>
              <w:gridCol w:w="1363"/>
              <w:gridCol w:w="780"/>
              <w:gridCol w:w="504"/>
              <w:gridCol w:w="1919"/>
            </w:tblGrid>
            <w:tr w14:paraId="0CD26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9" w:type="pct"/>
                  <w:tcBorders>
                    <w:top w:val="single" w:color="auto" w:sz="4" w:space="0"/>
                    <w:left w:val="single" w:color="auto" w:sz="0" w:space="0"/>
                  </w:tcBorders>
                  <w:noWrap w:val="0"/>
                  <w:vAlign w:val="center"/>
                </w:tcPr>
                <w:p w14:paraId="7EF80594">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保护对象名称</w:t>
                  </w:r>
                </w:p>
              </w:tc>
              <w:tc>
                <w:tcPr>
                  <w:tcW w:w="1640" w:type="pct"/>
                  <w:tcBorders>
                    <w:top w:val="single" w:color="auto" w:sz="4" w:space="0"/>
                  </w:tcBorders>
                  <w:noWrap w:val="0"/>
                  <w:vAlign w:val="center"/>
                </w:tcPr>
                <w:p w14:paraId="6AD897D9">
                  <w:pPr>
                    <w:pStyle w:val="89"/>
                    <w:spacing w:line="276" w:lineRule="auto"/>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坐标</w:t>
                  </w:r>
                </w:p>
              </w:tc>
              <w:tc>
                <w:tcPr>
                  <w:tcW w:w="794" w:type="pct"/>
                  <w:tcBorders>
                    <w:top w:val="single" w:color="auto" w:sz="4" w:space="0"/>
                  </w:tcBorders>
                  <w:noWrap w:val="0"/>
                  <w:vAlign w:val="center"/>
                </w:tcPr>
                <w:p w14:paraId="58A177C3">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工程</w:t>
                  </w:r>
                </w:p>
              </w:tc>
              <w:tc>
                <w:tcPr>
                  <w:tcW w:w="511" w:type="pct"/>
                  <w:tcBorders>
                    <w:top w:val="single" w:color="auto" w:sz="4" w:space="0"/>
                  </w:tcBorders>
                  <w:noWrap w:val="0"/>
                  <w:vAlign w:val="center"/>
                </w:tcPr>
                <w:p w14:paraId="5D1E77D9">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方位/距离</w:t>
                  </w:r>
                  <w:r>
                    <w:rPr>
                      <w:rFonts w:hint="default" w:ascii="Times New Roman" w:hAnsi="Times New Roman" w:eastAsia="宋体" w:cs="Times New Roman"/>
                      <w:color w:val="auto"/>
                      <w:kern w:val="0"/>
                      <w:highlight w:val="none"/>
                      <w:lang w:eastAsia="zh-CN"/>
                    </w:rPr>
                    <w:t>（</w:t>
                  </w:r>
                  <w:r>
                    <w:rPr>
                      <w:rFonts w:hint="default" w:ascii="Times New Roman" w:hAnsi="Times New Roman" w:cs="Times New Roman"/>
                      <w:color w:val="auto"/>
                      <w:kern w:val="0"/>
                      <w:highlight w:val="none"/>
                      <w:lang w:val="en-US" w:eastAsia="zh-CN"/>
                    </w:rPr>
                    <w:t>m</w:t>
                  </w:r>
                  <w:r>
                    <w:rPr>
                      <w:rFonts w:hint="default" w:ascii="Times New Roman" w:hAnsi="Times New Roman" w:eastAsia="宋体" w:cs="Times New Roman"/>
                      <w:color w:val="auto"/>
                      <w:kern w:val="0"/>
                      <w:highlight w:val="none"/>
                      <w:lang w:eastAsia="zh-CN"/>
                    </w:rPr>
                    <w:t>）</w:t>
                  </w:r>
                </w:p>
              </w:tc>
              <w:tc>
                <w:tcPr>
                  <w:tcW w:w="511" w:type="pct"/>
                  <w:tcBorders>
                    <w:top w:val="single" w:color="auto" w:sz="4" w:space="0"/>
                  </w:tcBorders>
                  <w:noWrap w:val="0"/>
                  <w:vAlign w:val="center"/>
                </w:tcPr>
                <w:p w14:paraId="7DE11AF3">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主要保护对象</w:t>
                  </w:r>
                </w:p>
              </w:tc>
              <w:tc>
                <w:tcPr>
                  <w:tcW w:w="984" w:type="pct"/>
                  <w:tcBorders>
                    <w:top w:val="single" w:color="auto" w:sz="4" w:space="0"/>
                    <w:right w:val="single" w:color="auto" w:sz="4" w:space="0"/>
                  </w:tcBorders>
                  <w:noWrap w:val="0"/>
                  <w:vAlign w:val="center"/>
                </w:tcPr>
                <w:p w14:paraId="4D6E4F59">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功能区划</w:t>
                  </w:r>
                </w:p>
              </w:tc>
            </w:tr>
            <w:tr w14:paraId="0956F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559" w:type="pct"/>
                  <w:tcBorders>
                    <w:left w:val="single" w:color="auto" w:sz="4" w:space="0"/>
                    <w:bottom w:val="single" w:color="auto" w:sz="4" w:space="0"/>
                  </w:tcBorders>
                  <w:noWrap w:val="0"/>
                  <w:vAlign w:val="center"/>
                </w:tcPr>
                <w:p w14:paraId="4DE655EC">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馨悦尚居小区</w:t>
                  </w:r>
                </w:p>
              </w:tc>
              <w:tc>
                <w:tcPr>
                  <w:tcW w:w="1640" w:type="pct"/>
                  <w:tcBorders>
                    <w:bottom w:val="single" w:color="auto" w:sz="4" w:space="0"/>
                  </w:tcBorders>
                  <w:noWrap w:val="0"/>
                  <w:vAlign w:val="center"/>
                </w:tcPr>
                <w:p w14:paraId="045BA61E">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东经</w:t>
                  </w:r>
                  <w:r>
                    <w:rPr>
                      <w:rFonts w:hint="eastAsia" w:cs="Times New Roman"/>
                      <w:color w:val="auto"/>
                      <w:kern w:val="0"/>
                      <w:highlight w:val="none"/>
                      <w:lang w:val="en-US" w:eastAsia="zh-CN"/>
                    </w:rPr>
                    <w:t>127.5109958</w:t>
                  </w:r>
                  <w:r>
                    <w:rPr>
                      <w:rFonts w:hint="default" w:ascii="Times New Roman" w:hAnsi="Times New Roman"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，北纬</w:t>
                  </w:r>
                  <w:r>
                    <w:rPr>
                      <w:rFonts w:hint="eastAsia" w:cs="Times New Roman"/>
                      <w:color w:val="auto"/>
                      <w:kern w:val="0"/>
                      <w:highlight w:val="none"/>
                      <w:lang w:val="en-US" w:eastAsia="zh-CN"/>
                    </w:rPr>
                    <w:t>46.867555</w:t>
                  </w:r>
                  <w:r>
                    <w:rPr>
                      <w:rFonts w:hint="default" w:ascii="Times New Roman" w:hAnsi="Times New Roman" w:cs="Times New Roman"/>
                      <w:color w:val="auto"/>
                      <w:kern w:val="0"/>
                      <w:highlight w:val="none"/>
                      <w:lang w:val="en-US" w:eastAsia="zh-CN"/>
                    </w:rPr>
                    <w:t>°</w:t>
                  </w:r>
                </w:p>
              </w:tc>
              <w:tc>
                <w:tcPr>
                  <w:tcW w:w="794" w:type="pct"/>
                  <w:tcBorders>
                    <w:bottom w:val="single" w:color="auto" w:sz="4" w:space="0"/>
                  </w:tcBorders>
                  <w:noWrap w:val="0"/>
                  <w:vAlign w:val="center"/>
                </w:tcPr>
                <w:p w14:paraId="13FE05BB">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000000"/>
                      <w:sz w:val="21"/>
                      <w:szCs w:val="21"/>
                      <w:highlight w:val="none"/>
                      <w:lang w:val="en-US" w:eastAsia="zh-CN"/>
                    </w:rPr>
                    <w:t>桩号0+000~0+200</w:t>
                  </w:r>
                  <w:r>
                    <w:rPr>
                      <w:rFonts w:hint="default" w:ascii="Times New Roman" w:hAnsi="Times New Roman" w:eastAsia="宋体" w:cs="Times New Roman"/>
                      <w:color w:val="000000"/>
                      <w:sz w:val="21"/>
                      <w:szCs w:val="21"/>
                      <w:highlight w:val="none"/>
                      <w:lang w:val="en-US" w:eastAsia="zh-CN"/>
                    </w:rPr>
                    <w:t>东侧</w:t>
                  </w:r>
                  <w:r>
                    <w:rPr>
                      <w:rFonts w:hint="eastAsia" w:cs="Times New Roman"/>
                      <w:color w:val="000000"/>
                      <w:sz w:val="21"/>
                      <w:szCs w:val="21"/>
                      <w:highlight w:val="none"/>
                      <w:lang w:val="en-US" w:eastAsia="zh-CN"/>
                    </w:rPr>
                    <w:t>30</w:t>
                  </w:r>
                  <w:r>
                    <w:rPr>
                      <w:rFonts w:hint="default" w:ascii="Times New Roman" w:hAnsi="Times New Roman" w:eastAsia="宋体" w:cs="Times New Roman"/>
                      <w:color w:val="000000"/>
                      <w:sz w:val="21"/>
                      <w:szCs w:val="21"/>
                      <w:highlight w:val="none"/>
                      <w:lang w:val="en-US" w:eastAsia="zh-CN"/>
                    </w:rPr>
                    <w:t>0</w:t>
                  </w:r>
                  <w:r>
                    <w:rPr>
                      <w:rFonts w:hint="default" w:ascii="Times New Roman" w:hAnsi="Times New Roman"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lang w:val="en-US" w:eastAsia="zh-CN"/>
                    </w:rPr>
                    <w:t>处</w:t>
                  </w:r>
                </w:p>
              </w:tc>
              <w:tc>
                <w:tcPr>
                  <w:tcW w:w="511" w:type="pct"/>
                  <w:tcBorders>
                    <w:bottom w:val="single" w:color="auto" w:sz="4" w:space="0"/>
                  </w:tcBorders>
                  <w:noWrap w:val="0"/>
                  <w:vAlign w:val="center"/>
                </w:tcPr>
                <w:p w14:paraId="4BAF5212">
                  <w:pPr>
                    <w:pStyle w:val="112"/>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color w:val="000000"/>
                      <w:sz w:val="21"/>
                      <w:highlight w:val="none"/>
                      <w:lang w:val="en-US" w:eastAsia="zh-CN"/>
                    </w:rPr>
                    <w:t>E</w:t>
                  </w:r>
                  <w:r>
                    <w:rPr>
                      <w:rFonts w:hint="eastAsia" w:ascii="Times New Roman" w:hAnsi="Times New Roman" w:cs="Times New Roman"/>
                      <w:color w:val="000000"/>
                      <w:sz w:val="21"/>
                      <w:highlight w:val="none"/>
                      <w:lang w:val="en-US" w:eastAsia="zh-CN"/>
                    </w:rPr>
                    <w:t>/</w:t>
                  </w:r>
                  <w:r>
                    <w:rPr>
                      <w:rStyle w:val="129"/>
                      <w:rFonts w:hint="eastAsia" w:ascii="Times New Roman" w:hAnsi="Times New Roman" w:cs="Times New Roman"/>
                      <w:color w:val="000000"/>
                      <w:sz w:val="21"/>
                      <w:szCs w:val="21"/>
                      <w:highlight w:val="none"/>
                      <w:lang w:val="en-US" w:eastAsia="zh-CN"/>
                    </w:rPr>
                    <w:t>300</w:t>
                  </w:r>
                </w:p>
              </w:tc>
              <w:tc>
                <w:tcPr>
                  <w:tcW w:w="511" w:type="pct"/>
                  <w:tcBorders>
                    <w:bottom w:val="single" w:color="auto" w:sz="4" w:space="0"/>
                  </w:tcBorders>
                  <w:noWrap w:val="0"/>
                  <w:vAlign w:val="center"/>
                </w:tcPr>
                <w:p w14:paraId="058B0A02">
                  <w:pPr>
                    <w:pStyle w:val="112"/>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 w:val="21"/>
                      <w:szCs w:val="21"/>
                      <w:highlight w:val="none"/>
                      <w:lang w:val="en-US" w:eastAsia="zh-CN" w:bidi="ar-SA"/>
                    </w:rPr>
                    <w:t>居民</w:t>
                  </w:r>
                </w:p>
              </w:tc>
              <w:tc>
                <w:tcPr>
                  <w:tcW w:w="984" w:type="pct"/>
                  <w:tcBorders>
                    <w:bottom w:val="single" w:color="auto" w:sz="4" w:space="0"/>
                    <w:right w:val="single" w:color="auto" w:sz="4" w:space="0"/>
                  </w:tcBorders>
                  <w:noWrap w:val="0"/>
                  <w:vAlign w:val="center"/>
                </w:tcPr>
                <w:p w14:paraId="3BF9BD83">
                  <w:pPr>
                    <w:pStyle w:val="89"/>
                    <w:spacing w:line="276" w:lineRule="auto"/>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《环境空气质量标准》</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GB3095</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rPr>
                    <w:t>20</w:t>
                  </w:r>
                  <w:r>
                    <w:rPr>
                      <w:rFonts w:hint="default" w:ascii="Times New Roman" w:hAnsi="Times New Roman" w:eastAsia="宋体" w:cs="Times New Roman"/>
                      <w:color w:val="auto"/>
                      <w:kern w:val="0"/>
                      <w:highlight w:val="none"/>
                      <w:lang w:val="en-US"/>
                    </w:rPr>
                    <w:t>26</w:t>
                  </w:r>
                  <w:r>
                    <w:rPr>
                      <w:rFonts w:hint="default" w:ascii="Times New Roman" w:hAnsi="Times New Roman" w:cs="Times New Roman"/>
                      <w:color w:val="auto"/>
                      <w:kern w:val="0"/>
                      <w:highlight w:val="none"/>
                      <w:lang w:eastAsia="zh-CN"/>
                    </w:rPr>
                    <w:t>）</w:t>
                  </w:r>
                  <w:r>
                    <w:rPr>
                      <w:rFonts w:hint="default" w:ascii="Times New Roman" w:hAnsi="Times New Roman" w:eastAsia="宋体" w:cs="Times New Roman"/>
                      <w:color w:val="auto"/>
                      <w:kern w:val="0"/>
                      <w:highlight w:val="none"/>
                      <w:lang w:val="en-US"/>
                    </w:rPr>
                    <w:t>二</w:t>
                  </w:r>
                  <w:r>
                    <w:rPr>
                      <w:rFonts w:hint="default" w:ascii="Times New Roman" w:hAnsi="Times New Roman" w:eastAsia="宋体" w:cs="Times New Roman"/>
                      <w:color w:val="auto"/>
                      <w:kern w:val="0"/>
                      <w:highlight w:val="none"/>
                    </w:rPr>
                    <w:t>类区</w:t>
                  </w:r>
                </w:p>
              </w:tc>
            </w:tr>
          </w:tbl>
          <w:p w14:paraId="119237F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eastAsia" w:cs="Times New Roman"/>
                <w:b/>
                <w:bCs/>
                <w:color w:val="auto"/>
                <w:sz w:val="24"/>
                <w:highlight w:val="none"/>
                <w:lang w:val="en-US" w:eastAsia="zh-CN"/>
              </w:rPr>
              <w:t>3</w:t>
            </w:r>
            <w:r>
              <w:rPr>
                <w:rFonts w:hint="default" w:ascii="Times New Roman" w:hAnsi="Times New Roman" w:cs="Times New Roman"/>
                <w:b/>
                <w:bCs/>
                <w:color w:val="auto"/>
                <w:sz w:val="24"/>
                <w:highlight w:val="none"/>
              </w:rPr>
              <w:t>、</w:t>
            </w:r>
            <w:r>
              <w:rPr>
                <w:rFonts w:hint="eastAsia" w:cs="Times New Roman"/>
                <w:b/>
                <w:bCs/>
                <w:color w:val="auto"/>
                <w:sz w:val="24"/>
                <w:highlight w:val="none"/>
                <w:lang w:val="en-US" w:eastAsia="zh-CN"/>
              </w:rPr>
              <w:t>声</w:t>
            </w:r>
            <w:r>
              <w:rPr>
                <w:rFonts w:hint="default" w:ascii="Times New Roman" w:hAnsi="Times New Roman" w:cs="Times New Roman"/>
                <w:b/>
                <w:bCs/>
                <w:color w:val="auto"/>
                <w:sz w:val="24"/>
                <w:highlight w:val="none"/>
              </w:rPr>
              <w:t>环境</w:t>
            </w:r>
          </w:p>
          <w:p w14:paraId="0258C85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eastAsia" w:cs="Times New Roman"/>
                <w:color w:val="auto"/>
                <w:sz w:val="24"/>
                <w:highlight w:val="none"/>
                <w:lang w:val="en-US" w:eastAsia="zh-CN"/>
              </w:rPr>
              <w:t>本项目施工作业区周边200m范围内存在声环境保护目标</w:t>
            </w:r>
            <w:r>
              <w:rPr>
                <w:rFonts w:hint="default" w:ascii="Times New Roman" w:hAnsi="Times New Roman" w:cs="Times New Roman"/>
                <w:color w:val="auto"/>
                <w:sz w:val="24"/>
                <w:highlight w:val="none"/>
              </w:rPr>
              <w:t>。</w:t>
            </w:r>
          </w:p>
          <w:p w14:paraId="37E33B3D">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eastAsia" w:cs="Times New Roman"/>
                <w:b/>
                <w:color w:val="auto"/>
                <w:kern w:val="0"/>
                <w:sz w:val="21"/>
                <w:szCs w:val="21"/>
                <w:highlight w:val="none"/>
                <w:lang w:val="en-US" w:eastAsia="zh-CN"/>
              </w:rPr>
              <w:t>6  声环境</w:t>
            </w:r>
            <w:r>
              <w:rPr>
                <w:rFonts w:hint="default" w:ascii="Times New Roman" w:hAnsi="Times New Roman" w:cs="Times New Roman"/>
                <w:b/>
                <w:color w:val="auto"/>
                <w:kern w:val="0"/>
                <w:sz w:val="21"/>
                <w:szCs w:val="21"/>
                <w:highlight w:val="none"/>
              </w:rPr>
              <w:t>环境保护目标</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2100"/>
              <w:gridCol w:w="1016"/>
              <w:gridCol w:w="653"/>
              <w:gridCol w:w="653"/>
              <w:gridCol w:w="1260"/>
              <w:gridCol w:w="1260"/>
            </w:tblGrid>
            <w:tr w14:paraId="6186D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tcBorders>
                    <w:top w:val="single" w:color="auto" w:sz="4" w:space="0"/>
                    <w:left w:val="single" w:color="auto" w:sz="0" w:space="0"/>
                  </w:tcBorders>
                  <w:noWrap w:val="0"/>
                  <w:vAlign w:val="center"/>
                </w:tcPr>
                <w:p w14:paraId="283F468C">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环境保护目标名称</w:t>
                  </w:r>
                </w:p>
              </w:tc>
              <w:tc>
                <w:tcPr>
                  <w:tcW w:w="1370" w:type="pct"/>
                  <w:tcBorders>
                    <w:top w:val="single" w:color="auto" w:sz="4" w:space="0"/>
                  </w:tcBorders>
                  <w:noWrap w:val="0"/>
                  <w:vAlign w:val="center"/>
                </w:tcPr>
                <w:p w14:paraId="0779F124">
                  <w:pPr>
                    <w:pStyle w:val="89"/>
                    <w:spacing w:line="276" w:lineRule="auto"/>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坐标</w:t>
                  </w:r>
                </w:p>
              </w:tc>
              <w:tc>
                <w:tcPr>
                  <w:tcW w:w="663" w:type="pct"/>
                  <w:tcBorders>
                    <w:top w:val="single" w:color="auto" w:sz="4" w:space="0"/>
                  </w:tcBorders>
                  <w:noWrap w:val="0"/>
                  <w:vAlign w:val="center"/>
                </w:tcPr>
                <w:p w14:paraId="100E4011">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保护对象</w:t>
                  </w:r>
                </w:p>
              </w:tc>
              <w:tc>
                <w:tcPr>
                  <w:tcW w:w="426" w:type="pct"/>
                  <w:tcBorders>
                    <w:top w:val="single" w:color="auto" w:sz="4" w:space="0"/>
                  </w:tcBorders>
                  <w:noWrap w:val="0"/>
                  <w:vAlign w:val="center"/>
                </w:tcPr>
                <w:p w14:paraId="76DF2A0F">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保护内容</w:t>
                  </w:r>
                </w:p>
              </w:tc>
              <w:tc>
                <w:tcPr>
                  <w:tcW w:w="426" w:type="pct"/>
                  <w:tcBorders>
                    <w:top w:val="single" w:color="auto" w:sz="4" w:space="0"/>
                  </w:tcBorders>
                  <w:noWrap w:val="0"/>
                  <w:vAlign w:val="center"/>
                </w:tcPr>
                <w:p w14:paraId="37BA7E55">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环境功能区</w:t>
                  </w:r>
                </w:p>
              </w:tc>
              <w:tc>
                <w:tcPr>
                  <w:tcW w:w="822" w:type="pct"/>
                  <w:tcBorders>
                    <w:top w:val="single" w:color="auto" w:sz="4" w:space="0"/>
                    <w:right w:val="single" w:color="auto" w:sz="4" w:space="0"/>
                  </w:tcBorders>
                  <w:noWrap w:val="0"/>
                  <w:vAlign w:val="center"/>
                </w:tcPr>
                <w:p w14:paraId="5C386DA2">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相对河道方位</w:t>
                  </w:r>
                </w:p>
              </w:tc>
              <w:tc>
                <w:tcPr>
                  <w:tcW w:w="822" w:type="pct"/>
                  <w:tcBorders>
                    <w:top w:val="single" w:color="auto" w:sz="4" w:space="0"/>
                    <w:right w:val="single" w:color="auto" w:sz="4" w:space="0"/>
                  </w:tcBorders>
                  <w:noWrap w:val="0"/>
                  <w:vAlign w:val="center"/>
                </w:tcPr>
                <w:p w14:paraId="2B9ACEB4">
                  <w:pPr>
                    <w:pStyle w:val="89"/>
                    <w:spacing w:line="276" w:lineRule="auto"/>
                    <w:jc w:val="center"/>
                    <w:rPr>
                      <w:rFonts w:hint="default" w:cs="Times New Roman"/>
                      <w:color w:val="auto"/>
                      <w:kern w:val="0"/>
                      <w:highlight w:val="none"/>
                      <w:lang w:val="en-US" w:eastAsia="zh-CN"/>
                    </w:rPr>
                  </w:pPr>
                  <w:r>
                    <w:rPr>
                      <w:rFonts w:hint="eastAsia" w:cs="Times New Roman"/>
                      <w:color w:val="auto"/>
                      <w:kern w:val="0"/>
                      <w:highlight w:val="none"/>
                      <w:lang w:val="en-US" w:eastAsia="zh-CN"/>
                    </w:rPr>
                    <w:t>相对河道距离（m）</w:t>
                  </w:r>
                </w:p>
              </w:tc>
            </w:tr>
            <w:tr w14:paraId="419DB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466" w:type="pct"/>
                  <w:tcBorders>
                    <w:left w:val="single" w:color="auto" w:sz="4" w:space="0"/>
                    <w:bottom w:val="single" w:color="auto" w:sz="4" w:space="0"/>
                  </w:tcBorders>
                  <w:noWrap w:val="0"/>
                  <w:vAlign w:val="center"/>
                </w:tcPr>
                <w:p w14:paraId="0126C266">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馨悦尚居小区</w:t>
                  </w:r>
                </w:p>
              </w:tc>
              <w:tc>
                <w:tcPr>
                  <w:tcW w:w="1370" w:type="pct"/>
                  <w:tcBorders>
                    <w:bottom w:val="single" w:color="auto" w:sz="4" w:space="0"/>
                  </w:tcBorders>
                  <w:noWrap w:val="0"/>
                  <w:vAlign w:val="center"/>
                </w:tcPr>
                <w:p w14:paraId="4D36015E">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东经</w:t>
                  </w:r>
                  <w:r>
                    <w:rPr>
                      <w:rFonts w:hint="eastAsia" w:cs="Times New Roman"/>
                      <w:color w:val="auto"/>
                      <w:kern w:val="0"/>
                      <w:highlight w:val="none"/>
                      <w:lang w:val="en-US" w:eastAsia="zh-CN"/>
                    </w:rPr>
                    <w:t>127.5109958</w:t>
                  </w:r>
                  <w:r>
                    <w:rPr>
                      <w:rFonts w:hint="default" w:ascii="Times New Roman" w:hAnsi="Times New Roman"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，北纬</w:t>
                  </w:r>
                  <w:r>
                    <w:rPr>
                      <w:rFonts w:hint="eastAsia" w:cs="Times New Roman"/>
                      <w:color w:val="auto"/>
                      <w:kern w:val="0"/>
                      <w:highlight w:val="none"/>
                      <w:lang w:val="en-US" w:eastAsia="zh-CN"/>
                    </w:rPr>
                    <w:t>46.867555</w:t>
                  </w:r>
                  <w:r>
                    <w:rPr>
                      <w:rFonts w:hint="default" w:ascii="Times New Roman" w:hAnsi="Times New Roman" w:cs="Times New Roman"/>
                      <w:color w:val="auto"/>
                      <w:kern w:val="0"/>
                      <w:highlight w:val="none"/>
                      <w:lang w:val="en-US" w:eastAsia="zh-CN"/>
                    </w:rPr>
                    <w:t>°</w:t>
                  </w:r>
                </w:p>
              </w:tc>
              <w:tc>
                <w:tcPr>
                  <w:tcW w:w="663" w:type="pct"/>
                  <w:tcBorders>
                    <w:bottom w:val="single" w:color="auto" w:sz="4" w:space="0"/>
                  </w:tcBorders>
                  <w:noWrap w:val="0"/>
                  <w:vAlign w:val="center"/>
                </w:tcPr>
                <w:p w14:paraId="1E556986">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000000"/>
                      <w:sz w:val="21"/>
                      <w:szCs w:val="21"/>
                      <w:highlight w:val="none"/>
                      <w:lang w:val="en-US" w:eastAsia="zh-CN"/>
                    </w:rPr>
                    <w:t>居民</w:t>
                  </w:r>
                </w:p>
              </w:tc>
              <w:tc>
                <w:tcPr>
                  <w:tcW w:w="426" w:type="pct"/>
                  <w:tcBorders>
                    <w:bottom w:val="single" w:color="auto" w:sz="4" w:space="0"/>
                  </w:tcBorders>
                  <w:noWrap w:val="0"/>
                  <w:vAlign w:val="center"/>
                </w:tcPr>
                <w:p w14:paraId="3524022C">
                  <w:pPr>
                    <w:pStyle w:val="112"/>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 w:val="21"/>
                      <w:szCs w:val="21"/>
                      <w:highlight w:val="none"/>
                      <w:lang w:val="en-US" w:eastAsia="zh-CN" w:bidi="ar-SA"/>
                    </w:rPr>
                    <w:t>约400人</w:t>
                  </w:r>
                </w:p>
              </w:tc>
              <w:tc>
                <w:tcPr>
                  <w:tcW w:w="426" w:type="pct"/>
                  <w:tcBorders>
                    <w:bottom w:val="single" w:color="auto" w:sz="4" w:space="0"/>
                  </w:tcBorders>
                  <w:noWrap w:val="0"/>
                  <w:vAlign w:val="center"/>
                </w:tcPr>
                <w:p w14:paraId="70DCBA5B">
                  <w:pPr>
                    <w:pStyle w:val="112"/>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cs="Times New Roman"/>
                      <w:color w:val="000000"/>
                      <w:kern w:val="0"/>
                      <w:sz w:val="21"/>
                      <w:szCs w:val="21"/>
                      <w:highlight w:val="none"/>
                      <w:lang w:val="en-US" w:eastAsia="zh-CN" w:bidi="ar-SA"/>
                    </w:rPr>
                    <w:t>1类声环境</w:t>
                  </w:r>
                </w:p>
              </w:tc>
              <w:tc>
                <w:tcPr>
                  <w:tcW w:w="822" w:type="pct"/>
                  <w:tcBorders>
                    <w:bottom w:val="single" w:color="auto" w:sz="4" w:space="0"/>
                    <w:right w:val="single" w:color="auto" w:sz="4" w:space="0"/>
                  </w:tcBorders>
                  <w:noWrap w:val="0"/>
                  <w:vAlign w:val="center"/>
                </w:tcPr>
                <w:p w14:paraId="6DD80295">
                  <w:pPr>
                    <w:pStyle w:val="89"/>
                    <w:spacing w:line="276" w:lineRule="auto"/>
                    <w:jc w:val="center"/>
                    <w:rPr>
                      <w:rFonts w:hint="eastAsia"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E</w:t>
                  </w:r>
                </w:p>
              </w:tc>
              <w:tc>
                <w:tcPr>
                  <w:tcW w:w="822" w:type="pct"/>
                  <w:tcBorders>
                    <w:bottom w:val="single" w:color="auto" w:sz="4" w:space="0"/>
                    <w:right w:val="single" w:color="auto" w:sz="4" w:space="0"/>
                  </w:tcBorders>
                  <w:noWrap w:val="0"/>
                  <w:vAlign w:val="center"/>
                </w:tcPr>
                <w:p w14:paraId="7EE61B69">
                  <w:pPr>
                    <w:pStyle w:val="89"/>
                    <w:spacing w:line="276" w:lineRule="auto"/>
                    <w:jc w:val="center"/>
                    <w:rPr>
                      <w:rFonts w:hint="default" w:cs="Times New Roman"/>
                      <w:color w:val="auto"/>
                      <w:kern w:val="0"/>
                      <w:highlight w:val="none"/>
                      <w:lang w:val="en-US" w:eastAsia="zh-CN"/>
                    </w:rPr>
                  </w:pPr>
                  <w:r>
                    <w:rPr>
                      <w:rFonts w:hint="eastAsia" w:cs="Times New Roman"/>
                      <w:color w:val="auto"/>
                      <w:kern w:val="0"/>
                      <w:highlight w:val="none"/>
                      <w:lang w:val="en-US" w:eastAsia="zh-CN"/>
                    </w:rPr>
                    <w:t>160</w:t>
                  </w:r>
                </w:p>
              </w:tc>
            </w:tr>
          </w:tbl>
          <w:p w14:paraId="7E87192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eastAsia" w:cs="Times New Roman"/>
                <w:b/>
                <w:bCs/>
                <w:color w:val="auto"/>
                <w:sz w:val="24"/>
                <w:highlight w:val="none"/>
                <w:lang w:val="en-US" w:eastAsia="zh-CN"/>
              </w:rPr>
              <w:t>4</w:t>
            </w:r>
            <w:r>
              <w:rPr>
                <w:rFonts w:hint="default" w:ascii="Times New Roman" w:hAnsi="Times New Roman" w:cs="Times New Roman"/>
                <w:b/>
                <w:bCs/>
                <w:color w:val="auto"/>
                <w:sz w:val="24"/>
                <w:highlight w:val="none"/>
              </w:rPr>
              <w:t>、</w:t>
            </w:r>
            <w:r>
              <w:rPr>
                <w:rFonts w:hint="eastAsia" w:cs="Times New Roman"/>
                <w:b/>
                <w:bCs/>
                <w:color w:val="auto"/>
                <w:sz w:val="24"/>
                <w:highlight w:val="none"/>
                <w:lang w:val="en-US" w:eastAsia="zh-CN"/>
              </w:rPr>
              <w:t>水</w:t>
            </w:r>
            <w:r>
              <w:rPr>
                <w:rFonts w:hint="default" w:ascii="Times New Roman" w:hAnsi="Times New Roman" w:cs="Times New Roman"/>
                <w:b/>
                <w:bCs/>
                <w:color w:val="auto"/>
                <w:sz w:val="24"/>
                <w:highlight w:val="none"/>
              </w:rPr>
              <w:t>环境</w:t>
            </w:r>
          </w:p>
          <w:p w14:paraId="2C2C6E0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根据工程选址布局，经实地踏勘和醒目污染特征分析，本项目涉及的地表水环境保护目标为格木克河。</w:t>
            </w:r>
          </w:p>
          <w:p w14:paraId="37F0788A">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eastAsia" w:cs="Times New Roman"/>
                <w:b/>
                <w:color w:val="auto"/>
                <w:kern w:val="0"/>
                <w:sz w:val="21"/>
                <w:szCs w:val="21"/>
                <w:highlight w:val="none"/>
                <w:lang w:val="en-US" w:eastAsia="zh-CN"/>
              </w:rPr>
              <w:t>7  水环境</w:t>
            </w:r>
            <w:r>
              <w:rPr>
                <w:rFonts w:hint="default" w:ascii="Times New Roman" w:hAnsi="Times New Roman" w:cs="Times New Roman"/>
                <w:b/>
                <w:color w:val="auto"/>
                <w:kern w:val="0"/>
                <w:sz w:val="21"/>
                <w:szCs w:val="21"/>
                <w:highlight w:val="none"/>
              </w:rPr>
              <w:t>环境保护目标</w:t>
            </w:r>
          </w:p>
          <w:tbl>
            <w:tblPr>
              <w:tblStyle w:val="25"/>
              <w:tblW w:w="492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51"/>
              <w:gridCol w:w="2107"/>
              <w:gridCol w:w="2385"/>
            </w:tblGrid>
            <w:tr w14:paraId="22107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2" w:type="pct"/>
                  <w:tcBorders>
                    <w:top w:val="single" w:color="auto" w:sz="4" w:space="0"/>
                    <w:left w:val="single" w:color="auto" w:sz="0" w:space="0"/>
                  </w:tcBorders>
                  <w:noWrap w:val="0"/>
                  <w:vAlign w:val="center"/>
                </w:tcPr>
                <w:p w14:paraId="6A448299">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环境保护目标名称</w:t>
                  </w:r>
                </w:p>
              </w:tc>
              <w:tc>
                <w:tcPr>
                  <w:tcW w:w="1396" w:type="pct"/>
                  <w:tcBorders>
                    <w:top w:val="single" w:color="auto" w:sz="4" w:space="0"/>
                  </w:tcBorders>
                  <w:noWrap w:val="0"/>
                  <w:vAlign w:val="center"/>
                </w:tcPr>
                <w:p w14:paraId="5E2A8E37">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位置或范围</w:t>
                  </w:r>
                </w:p>
              </w:tc>
              <w:tc>
                <w:tcPr>
                  <w:tcW w:w="1580" w:type="pct"/>
                  <w:tcBorders>
                    <w:top w:val="single" w:color="auto" w:sz="4" w:space="0"/>
                    <w:right w:val="single" w:color="auto" w:sz="4" w:space="0"/>
                  </w:tcBorders>
                  <w:noWrap w:val="0"/>
                  <w:vAlign w:val="center"/>
                </w:tcPr>
                <w:p w14:paraId="4DE7A572">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环境保护目标</w:t>
                  </w:r>
                </w:p>
              </w:tc>
            </w:tr>
            <w:tr w14:paraId="3969F0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2022" w:type="pct"/>
                  <w:tcBorders>
                    <w:left w:val="single" w:color="auto" w:sz="4" w:space="0"/>
                    <w:bottom w:val="single" w:color="auto" w:sz="4" w:space="0"/>
                  </w:tcBorders>
                  <w:noWrap w:val="0"/>
                  <w:vAlign w:val="center"/>
                </w:tcPr>
                <w:p w14:paraId="2EBB2C69">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格木克河</w:t>
                  </w:r>
                </w:p>
              </w:tc>
              <w:tc>
                <w:tcPr>
                  <w:tcW w:w="1396" w:type="pct"/>
                  <w:tcBorders>
                    <w:bottom w:val="single" w:color="auto" w:sz="4" w:space="0"/>
                  </w:tcBorders>
                  <w:noWrap w:val="0"/>
                  <w:vAlign w:val="center"/>
                </w:tcPr>
                <w:p w14:paraId="6B635946">
                  <w:pPr>
                    <w:pStyle w:val="89"/>
                    <w:spacing w:line="276" w:lineRule="auto"/>
                    <w:jc w:val="center"/>
                    <w:rPr>
                      <w:rFonts w:hint="default" w:ascii="Times New Roman" w:hAnsi="Times New Roman" w:eastAsia="宋体" w:cs="Times New Roman"/>
                      <w:color w:val="auto"/>
                      <w:kern w:val="0"/>
                      <w:highlight w:val="none"/>
                      <w:lang w:val="en-US" w:eastAsia="zh-CN"/>
                    </w:rPr>
                  </w:pPr>
                  <w:r>
                    <w:rPr>
                      <w:rFonts w:hint="eastAsia" w:cs="Times New Roman"/>
                      <w:color w:val="auto"/>
                      <w:kern w:val="0"/>
                      <w:highlight w:val="none"/>
                      <w:lang w:val="en-US" w:eastAsia="zh-CN"/>
                    </w:rPr>
                    <w:t>本项目涉及的河道</w:t>
                  </w:r>
                </w:p>
              </w:tc>
              <w:tc>
                <w:tcPr>
                  <w:tcW w:w="1580" w:type="pct"/>
                  <w:tcBorders>
                    <w:bottom w:val="single" w:color="auto" w:sz="4" w:space="0"/>
                    <w:right w:val="single" w:color="auto" w:sz="4" w:space="0"/>
                  </w:tcBorders>
                  <w:noWrap w:val="0"/>
                  <w:vAlign w:val="center"/>
                </w:tcPr>
                <w:p w14:paraId="1A312D27">
                  <w:pPr>
                    <w:pStyle w:val="89"/>
                    <w:spacing w:line="276" w:lineRule="auto"/>
                    <w:jc w:val="center"/>
                    <w:rPr>
                      <w:rFonts w:hint="default" w:ascii="宋体" w:hAnsi="宋体" w:eastAsia="宋体" w:cs="宋体"/>
                      <w:color w:val="auto"/>
                      <w:kern w:val="0"/>
                      <w:highlight w:val="none"/>
                      <w:lang w:val="en-US" w:eastAsia="zh-CN"/>
                    </w:rPr>
                  </w:pPr>
                  <w:r>
                    <w:rPr>
                      <w:rFonts w:hint="eastAsia" w:ascii="宋体" w:hAnsi="宋体" w:eastAsia="宋体" w:cs="宋体"/>
                      <w:color w:val="auto"/>
                      <w:kern w:val="0"/>
                      <w:highlight w:val="none"/>
                      <w:lang w:val="en-US" w:eastAsia="zh-CN"/>
                    </w:rPr>
                    <w:t>Ⅲ</w:t>
                  </w:r>
                  <w:r>
                    <w:rPr>
                      <w:rFonts w:hint="eastAsia" w:ascii="宋体" w:hAnsi="宋体" w:cs="宋体"/>
                      <w:color w:val="auto"/>
                      <w:kern w:val="0"/>
                      <w:highlight w:val="none"/>
                      <w:lang w:val="en-US" w:eastAsia="zh-CN"/>
                    </w:rPr>
                    <w:t>类</w:t>
                  </w:r>
                </w:p>
              </w:tc>
            </w:tr>
          </w:tbl>
          <w:p w14:paraId="5374252A">
            <w:pPr>
              <w:pStyle w:val="84"/>
              <w:rPr>
                <w:rFonts w:hint="default" w:ascii="Times New Roman" w:hAnsi="Times New Roman" w:cs="Times New Roman"/>
                <w:color w:val="auto"/>
                <w:highlight w:val="none"/>
              </w:rPr>
            </w:pPr>
          </w:p>
        </w:tc>
      </w:tr>
      <w:tr w14:paraId="11E49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5" w:hRule="atLeast"/>
          <w:jc w:val="center"/>
        </w:trPr>
        <w:tc>
          <w:tcPr>
            <w:tcW w:w="381" w:type="pct"/>
            <w:noWrap w:val="0"/>
            <w:vAlign w:val="center"/>
          </w:tcPr>
          <w:p w14:paraId="52200740">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评价标准</w:t>
            </w:r>
          </w:p>
        </w:tc>
        <w:tc>
          <w:tcPr>
            <w:tcW w:w="4619" w:type="pct"/>
            <w:noWrap w:val="0"/>
            <w:vAlign w:val="top"/>
          </w:tcPr>
          <w:p w14:paraId="35AEBED3">
            <w:pPr>
              <w:adjustRightInd w:val="0"/>
              <w:snapToGrid w:val="0"/>
              <w:spacing w:line="500" w:lineRule="exact"/>
              <w:ind w:firstLine="482"/>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一、</w:t>
            </w:r>
            <w:r>
              <w:rPr>
                <w:rFonts w:hint="default" w:ascii="Times New Roman" w:hAnsi="Times New Roman" w:cs="Times New Roman"/>
                <w:b/>
                <w:bCs/>
                <w:color w:val="auto"/>
                <w:kern w:val="0"/>
                <w:sz w:val="24"/>
                <w:highlight w:val="none"/>
              </w:rPr>
              <w:t>环境质量标准</w:t>
            </w:r>
          </w:p>
          <w:p w14:paraId="117A20F3">
            <w:pPr>
              <w:adjustRightInd w:val="0"/>
              <w:snapToGrid w:val="0"/>
              <w:spacing w:line="500" w:lineRule="exact"/>
              <w:ind w:firstLine="482"/>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1、环境空气</w:t>
            </w:r>
          </w:p>
          <w:p w14:paraId="39B4F15D">
            <w:pPr>
              <w:adjustRightInd w:val="0"/>
              <w:snapToGrid w:val="0"/>
              <w:spacing w:line="500" w:lineRule="exact"/>
              <w:ind w:firstLine="482"/>
              <w:rPr>
                <w:rFonts w:hint="default" w:ascii="Times New Roman" w:hAnsi="Times New Roman" w:cs="Times New Roman"/>
                <w:b w:val="0"/>
                <w:bCs w:val="0"/>
                <w:color w:val="auto"/>
                <w:kern w:val="0"/>
                <w:sz w:val="24"/>
                <w:highlight w:val="none"/>
              </w:rPr>
            </w:pPr>
            <w:r>
              <w:rPr>
                <w:rFonts w:hint="default" w:ascii="Times New Roman" w:hAnsi="Times New Roman" w:cs="Times New Roman"/>
                <w:b w:val="0"/>
                <w:bCs w:val="0"/>
                <w:color w:val="auto"/>
                <w:kern w:val="0"/>
                <w:sz w:val="24"/>
                <w:highlight w:val="none"/>
                <w:lang w:val="en-US" w:eastAsia="zh-CN"/>
              </w:rPr>
              <w:t>现状</w:t>
            </w:r>
            <w:r>
              <w:rPr>
                <w:rFonts w:hint="default" w:ascii="Times New Roman" w:hAnsi="Times New Roman" w:cs="Times New Roman"/>
                <w:b w:val="0"/>
                <w:bCs w:val="0"/>
                <w:color w:val="auto"/>
                <w:kern w:val="0"/>
                <w:sz w:val="24"/>
                <w:highlight w:val="none"/>
              </w:rPr>
              <w:t>至2030年12月31日止，评价范围环境空气执行《环境空气质量标准》（GB3095</w:t>
            </w:r>
            <w:r>
              <w:rPr>
                <w:rFonts w:hint="default" w:ascii="Times New Roman" w:hAnsi="Times New Roman" w:cs="Times New Roman"/>
                <w:b w:val="0"/>
                <w:bCs w:val="0"/>
                <w:color w:val="auto"/>
                <w:kern w:val="0"/>
                <w:sz w:val="24"/>
                <w:highlight w:val="none"/>
                <w:lang w:eastAsia="zh-CN"/>
              </w:rPr>
              <w:t>—</w:t>
            </w:r>
            <w:r>
              <w:rPr>
                <w:rFonts w:hint="default" w:ascii="Times New Roman" w:hAnsi="Times New Roman" w:cs="Times New Roman"/>
                <w:b w:val="0"/>
                <w:bCs w:val="0"/>
                <w:color w:val="auto"/>
                <w:kern w:val="0"/>
                <w:sz w:val="24"/>
                <w:highlight w:val="none"/>
              </w:rPr>
              <w:t>2026）过渡阶段</w:t>
            </w:r>
            <w:r>
              <w:rPr>
                <w:rFonts w:hint="default" w:ascii="Times New Roman" w:hAnsi="Times New Roman" w:cs="Times New Roman"/>
                <w:b w:val="0"/>
                <w:bCs w:val="0"/>
                <w:color w:val="auto"/>
                <w:kern w:val="0"/>
                <w:sz w:val="24"/>
                <w:highlight w:val="none"/>
                <w:lang w:val="en-US" w:eastAsia="zh-CN"/>
              </w:rPr>
              <w:t>二</w:t>
            </w:r>
            <w:r>
              <w:rPr>
                <w:rFonts w:hint="default" w:ascii="Times New Roman" w:hAnsi="Times New Roman" w:cs="Times New Roman"/>
                <w:b w:val="0"/>
                <w:bCs w:val="0"/>
                <w:color w:val="auto"/>
                <w:kern w:val="0"/>
                <w:sz w:val="24"/>
                <w:highlight w:val="none"/>
              </w:rPr>
              <w:t>级标准浓度限值。</w:t>
            </w:r>
          </w:p>
          <w:p w14:paraId="144C776D">
            <w:pPr>
              <w:adjustRightInd w:val="0"/>
              <w:snapToGrid w:val="0"/>
              <w:spacing w:line="500" w:lineRule="exact"/>
              <w:ind w:firstLine="482"/>
              <w:rPr>
                <w:rFonts w:hint="default" w:ascii="Times New Roman" w:hAnsi="Times New Roman" w:cs="Times New Roman"/>
                <w:b w:val="0"/>
                <w:bCs w:val="0"/>
                <w:color w:val="auto"/>
                <w:kern w:val="0"/>
                <w:sz w:val="24"/>
                <w:highlight w:val="none"/>
              </w:rPr>
            </w:pPr>
            <w:r>
              <w:rPr>
                <w:rFonts w:hint="default" w:ascii="Times New Roman" w:hAnsi="Times New Roman" w:cs="Times New Roman"/>
                <w:b w:val="0"/>
                <w:bCs w:val="0"/>
                <w:color w:val="auto"/>
                <w:kern w:val="0"/>
                <w:sz w:val="24"/>
                <w:highlight w:val="none"/>
              </w:rPr>
              <w:t>自2031年1月1日起，评价范围内环境空气执行《环境空气质量标准》（GB3095</w:t>
            </w:r>
            <w:r>
              <w:rPr>
                <w:rFonts w:hint="default" w:ascii="Times New Roman" w:hAnsi="Times New Roman" w:cs="Times New Roman"/>
                <w:b w:val="0"/>
                <w:bCs w:val="0"/>
                <w:color w:val="auto"/>
                <w:kern w:val="0"/>
                <w:sz w:val="24"/>
                <w:highlight w:val="none"/>
                <w:lang w:eastAsia="zh-CN"/>
              </w:rPr>
              <w:t>—</w:t>
            </w:r>
            <w:r>
              <w:rPr>
                <w:rFonts w:hint="default" w:ascii="Times New Roman" w:hAnsi="Times New Roman" w:cs="Times New Roman"/>
                <w:b w:val="0"/>
                <w:bCs w:val="0"/>
                <w:color w:val="auto"/>
                <w:kern w:val="0"/>
                <w:sz w:val="24"/>
                <w:highlight w:val="none"/>
              </w:rPr>
              <w:t>2026）二级标准</w:t>
            </w:r>
            <w:r>
              <w:rPr>
                <w:rFonts w:hint="default" w:ascii="Times New Roman" w:hAnsi="Times New Roman" w:cs="Times New Roman"/>
                <w:b w:val="0"/>
                <w:bCs w:val="0"/>
                <w:color w:val="auto"/>
                <w:kern w:val="0"/>
                <w:sz w:val="24"/>
                <w:highlight w:val="none"/>
                <w:lang w:val="en-US" w:eastAsia="zh-CN"/>
              </w:rPr>
              <w:t>浓度限值</w:t>
            </w:r>
            <w:r>
              <w:rPr>
                <w:rFonts w:hint="default" w:ascii="Times New Roman" w:hAnsi="Times New Roman" w:cs="Times New Roman"/>
                <w:b w:val="0"/>
                <w:bCs w:val="0"/>
                <w:color w:val="auto"/>
                <w:kern w:val="0"/>
                <w:sz w:val="24"/>
                <w:highlight w:val="none"/>
              </w:rPr>
              <w:t>。</w:t>
            </w:r>
          </w:p>
          <w:p w14:paraId="6F4A7733">
            <w:pPr>
              <w:adjustRightInd w:val="0"/>
              <w:snapToGrid w:val="0"/>
              <w:spacing w:line="500" w:lineRule="exact"/>
              <w:ind w:firstLine="422" w:firstLineChars="200"/>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eastAsia" w:cs="Times New Roman"/>
                <w:b/>
                <w:color w:val="auto"/>
                <w:kern w:val="0"/>
                <w:sz w:val="21"/>
                <w:szCs w:val="21"/>
                <w:highlight w:val="none"/>
                <w:lang w:val="en-US" w:eastAsia="zh-CN"/>
              </w:rPr>
              <w:t>6</w:t>
            </w:r>
            <w:r>
              <w:rPr>
                <w:rFonts w:hint="default" w:ascii="Times New Roman" w:hAnsi="Times New Roman" w:cs="Times New Roman"/>
                <w:b/>
                <w:color w:val="auto"/>
                <w:kern w:val="0"/>
                <w:sz w:val="21"/>
                <w:szCs w:val="21"/>
                <w:highlight w:val="none"/>
                <w:lang w:val="en-US" w:eastAsia="zh-CN"/>
              </w:rPr>
              <w:t xml:space="preserve">  </w:t>
            </w:r>
            <w:r>
              <w:rPr>
                <w:rFonts w:hint="default" w:ascii="Times New Roman" w:hAnsi="Times New Roman" w:cs="Times New Roman"/>
                <w:b/>
                <w:color w:val="auto"/>
                <w:kern w:val="0"/>
                <w:sz w:val="21"/>
                <w:szCs w:val="21"/>
                <w:highlight w:val="none"/>
              </w:rPr>
              <w:t>环境空气质量标准</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1219"/>
              <w:gridCol w:w="1423"/>
              <w:gridCol w:w="803"/>
              <w:gridCol w:w="805"/>
              <w:gridCol w:w="803"/>
              <w:gridCol w:w="809"/>
              <w:gridCol w:w="1111"/>
            </w:tblGrid>
            <w:tr w14:paraId="6D29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0" w:type="pct"/>
                  <w:vMerge w:val="restart"/>
                  <w:tcBorders>
                    <w:tl2br w:val="nil"/>
                  </w:tcBorders>
                  <w:shd w:val="clear" w:color="auto" w:fill="FFFFFF"/>
                  <w:noWrap w:val="0"/>
                  <w:vAlign w:val="center"/>
                </w:tcPr>
                <w:p w14:paraId="0078BA4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序号</w:t>
                  </w:r>
                </w:p>
              </w:tc>
              <w:tc>
                <w:tcPr>
                  <w:tcW w:w="797" w:type="pct"/>
                  <w:vMerge w:val="restart"/>
                  <w:shd w:val="clear" w:color="auto" w:fill="FFFFFF"/>
                  <w:noWrap w:val="0"/>
                  <w:vAlign w:val="center"/>
                </w:tcPr>
                <w:p w14:paraId="125C116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污染物项目</w:t>
                  </w:r>
                </w:p>
              </w:tc>
              <w:tc>
                <w:tcPr>
                  <w:tcW w:w="930" w:type="pct"/>
                  <w:vMerge w:val="restart"/>
                  <w:shd w:val="clear" w:color="auto" w:fill="FFFFFF"/>
                  <w:noWrap w:val="0"/>
                  <w:vAlign w:val="center"/>
                </w:tcPr>
                <w:p w14:paraId="49A2919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平均时间</w:t>
                  </w:r>
                </w:p>
              </w:tc>
              <w:tc>
                <w:tcPr>
                  <w:tcW w:w="2105" w:type="pct"/>
                  <w:gridSpan w:val="4"/>
                  <w:shd w:val="clear" w:color="auto" w:fill="FFFFFF"/>
                  <w:noWrap w:val="0"/>
                  <w:vAlign w:val="center"/>
                </w:tcPr>
                <w:p w14:paraId="7FC4665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GB3095—2026</w:t>
                  </w:r>
                </w:p>
              </w:tc>
              <w:tc>
                <w:tcPr>
                  <w:tcW w:w="726" w:type="pct"/>
                  <w:vMerge w:val="restart"/>
                  <w:shd w:val="clear" w:color="auto" w:fill="FFFFFF"/>
                  <w:noWrap w:val="0"/>
                  <w:vAlign w:val="center"/>
                </w:tcPr>
                <w:p w14:paraId="6E5CA14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单位</w:t>
                  </w:r>
                </w:p>
              </w:tc>
            </w:tr>
            <w:tr w14:paraId="1DAE3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22F21E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3C64AA7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vMerge w:val="continue"/>
                  <w:shd w:val="clear" w:color="auto" w:fill="FFFFFF"/>
                  <w:noWrap w:val="0"/>
                  <w:vAlign w:val="center"/>
                </w:tcPr>
                <w:p w14:paraId="1A2385E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1051" w:type="pct"/>
                  <w:gridSpan w:val="2"/>
                  <w:shd w:val="clear" w:color="auto" w:fill="FFFFFF"/>
                  <w:noWrap w:val="0"/>
                  <w:vAlign w:val="center"/>
                </w:tcPr>
                <w:p w14:paraId="1C06B3D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过渡阶段</w:t>
                  </w:r>
                  <w:r>
                    <w:rPr>
                      <w:rFonts w:hint="default" w:ascii="Times New Roman" w:hAnsi="Times New Roman" w:cs="Times New Roman"/>
                      <w:b w:val="0"/>
                      <w:color w:val="auto"/>
                      <w:sz w:val="21"/>
                      <w:szCs w:val="21"/>
                      <w:highlight w:val="none"/>
                    </w:rPr>
                    <w:t>浓度限值</w:t>
                  </w:r>
                </w:p>
              </w:tc>
              <w:tc>
                <w:tcPr>
                  <w:tcW w:w="1054" w:type="pct"/>
                  <w:gridSpan w:val="2"/>
                  <w:shd w:val="clear" w:color="auto" w:fill="FFFFFF"/>
                  <w:noWrap w:val="0"/>
                  <w:vAlign w:val="center"/>
                </w:tcPr>
                <w:p w14:paraId="3BC93FB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浓度限值</w:t>
                  </w:r>
                </w:p>
              </w:tc>
              <w:tc>
                <w:tcPr>
                  <w:tcW w:w="726" w:type="pct"/>
                  <w:vMerge w:val="continue"/>
                  <w:shd w:val="clear" w:color="auto" w:fill="FFFFFF"/>
                  <w:noWrap w:val="0"/>
                  <w:vAlign w:val="center"/>
                </w:tcPr>
                <w:p w14:paraId="4266E3B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95D3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0333A29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2FCE126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vMerge w:val="continue"/>
                  <w:shd w:val="clear" w:color="auto" w:fill="FFFFFF"/>
                  <w:noWrap w:val="0"/>
                  <w:vAlign w:val="center"/>
                </w:tcPr>
                <w:p w14:paraId="458E72D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525" w:type="pct"/>
                  <w:shd w:val="clear" w:color="auto" w:fill="FFFFFF"/>
                  <w:noWrap w:val="0"/>
                  <w:vAlign w:val="center"/>
                </w:tcPr>
                <w:p w14:paraId="7D1953E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一</w:t>
                  </w:r>
                  <w:r>
                    <w:rPr>
                      <w:rFonts w:hint="default" w:ascii="Times New Roman" w:hAnsi="Times New Roman" w:cs="Times New Roman"/>
                      <w:b w:val="0"/>
                      <w:color w:val="auto"/>
                      <w:sz w:val="21"/>
                      <w:szCs w:val="21"/>
                      <w:highlight w:val="none"/>
                    </w:rPr>
                    <w:t>级</w:t>
                  </w:r>
                </w:p>
              </w:tc>
              <w:tc>
                <w:tcPr>
                  <w:tcW w:w="525" w:type="pct"/>
                  <w:shd w:val="clear" w:color="auto" w:fill="FFFFFF"/>
                  <w:noWrap w:val="0"/>
                  <w:vAlign w:val="center"/>
                </w:tcPr>
                <w:p w14:paraId="70856AC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二级</w:t>
                  </w:r>
                </w:p>
              </w:tc>
              <w:tc>
                <w:tcPr>
                  <w:tcW w:w="525" w:type="pct"/>
                  <w:shd w:val="clear" w:color="auto" w:fill="FFFFFF"/>
                  <w:noWrap w:val="0"/>
                  <w:vAlign w:val="center"/>
                </w:tcPr>
                <w:p w14:paraId="62B6EFA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一</w:t>
                  </w:r>
                  <w:r>
                    <w:rPr>
                      <w:rFonts w:hint="default" w:ascii="Times New Roman" w:hAnsi="Times New Roman" w:cs="Times New Roman"/>
                      <w:b w:val="0"/>
                      <w:color w:val="auto"/>
                      <w:sz w:val="21"/>
                      <w:szCs w:val="21"/>
                      <w:highlight w:val="none"/>
                    </w:rPr>
                    <w:t>级</w:t>
                  </w:r>
                </w:p>
              </w:tc>
              <w:tc>
                <w:tcPr>
                  <w:tcW w:w="529" w:type="pct"/>
                  <w:shd w:val="clear" w:color="auto" w:fill="FFFFFF"/>
                  <w:noWrap w:val="0"/>
                  <w:vAlign w:val="center"/>
                </w:tcPr>
                <w:p w14:paraId="0F7BD2C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二级</w:t>
                  </w:r>
                </w:p>
              </w:tc>
              <w:tc>
                <w:tcPr>
                  <w:tcW w:w="726" w:type="pct"/>
                  <w:vMerge w:val="continue"/>
                  <w:shd w:val="clear" w:color="auto" w:fill="FFFFFF"/>
                  <w:noWrap w:val="0"/>
                  <w:vAlign w:val="center"/>
                </w:tcPr>
                <w:p w14:paraId="778DF56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25C6E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7A349A7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w:t>
                  </w:r>
                </w:p>
              </w:tc>
              <w:tc>
                <w:tcPr>
                  <w:tcW w:w="797" w:type="pct"/>
                  <w:vMerge w:val="restart"/>
                  <w:shd w:val="clear" w:color="auto" w:fill="FFFFFF"/>
                  <w:noWrap w:val="0"/>
                  <w:vAlign w:val="center"/>
                </w:tcPr>
                <w:p w14:paraId="3A56A77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二氧化硫（SO</w:t>
                  </w:r>
                  <w:r>
                    <w:rPr>
                      <w:rFonts w:hint="default" w:ascii="Times New Roman" w:hAnsi="Times New Roman" w:cs="Times New Roman"/>
                      <w:b w:val="0"/>
                      <w:color w:val="auto"/>
                      <w:sz w:val="21"/>
                      <w:szCs w:val="21"/>
                      <w:highlight w:val="none"/>
                      <w:vertAlign w:val="subscript"/>
                    </w:rPr>
                    <w:t>2</w:t>
                  </w:r>
                  <w:r>
                    <w:rPr>
                      <w:rFonts w:hint="default" w:ascii="Times New Roman" w:hAnsi="Times New Roman" w:cs="Times New Roman"/>
                      <w:b w:val="0"/>
                      <w:color w:val="auto"/>
                      <w:sz w:val="21"/>
                      <w:szCs w:val="21"/>
                      <w:highlight w:val="none"/>
                    </w:rPr>
                    <w:t>）</w:t>
                  </w:r>
                </w:p>
              </w:tc>
              <w:tc>
                <w:tcPr>
                  <w:tcW w:w="930" w:type="pct"/>
                  <w:shd w:val="clear" w:color="auto" w:fill="FFFFFF"/>
                  <w:noWrap w:val="0"/>
                  <w:vAlign w:val="center"/>
                </w:tcPr>
                <w:p w14:paraId="2B5C5CB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7CB7BEA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5" w:type="pct"/>
                  <w:shd w:val="clear" w:color="auto" w:fill="FFFFFF"/>
                  <w:noWrap w:val="0"/>
                  <w:vAlign w:val="center"/>
                </w:tcPr>
                <w:p w14:paraId="7BD320F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60</w:t>
                  </w:r>
                </w:p>
              </w:tc>
              <w:tc>
                <w:tcPr>
                  <w:tcW w:w="525" w:type="pct"/>
                  <w:shd w:val="clear" w:color="auto" w:fill="FFFFFF"/>
                  <w:noWrap w:val="0"/>
                  <w:vAlign w:val="center"/>
                </w:tcPr>
                <w:p w14:paraId="33601CB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9" w:type="pct"/>
                  <w:shd w:val="clear" w:color="auto" w:fill="FFFFFF"/>
                  <w:noWrap w:val="0"/>
                  <w:vAlign w:val="center"/>
                </w:tcPr>
                <w:p w14:paraId="5D6B6D6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726" w:type="pct"/>
                  <w:vMerge w:val="restart"/>
                  <w:shd w:val="clear" w:color="auto" w:fill="FFFFFF"/>
                  <w:noWrap w:val="0"/>
                  <w:vAlign w:val="center"/>
                </w:tcPr>
                <w:p w14:paraId="581CF14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μg/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2EA6E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B2B957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7B449A4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47AE332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738DFA3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5" w:type="pct"/>
                  <w:shd w:val="clear" w:color="auto" w:fill="FFFFFF"/>
                  <w:noWrap w:val="0"/>
                  <w:vAlign w:val="center"/>
                </w:tcPr>
                <w:p w14:paraId="4011460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150</w:t>
                  </w:r>
                </w:p>
              </w:tc>
              <w:tc>
                <w:tcPr>
                  <w:tcW w:w="525" w:type="pct"/>
                  <w:shd w:val="clear" w:color="auto" w:fill="FFFFFF"/>
                  <w:noWrap w:val="0"/>
                  <w:vAlign w:val="center"/>
                </w:tcPr>
                <w:p w14:paraId="3463E1E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9" w:type="pct"/>
                  <w:shd w:val="clear" w:color="auto" w:fill="FFFFFF"/>
                  <w:noWrap w:val="0"/>
                  <w:vAlign w:val="center"/>
                </w:tcPr>
                <w:p w14:paraId="66C7D5F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6" w:type="pct"/>
                  <w:vMerge w:val="continue"/>
                  <w:shd w:val="clear" w:color="auto" w:fill="FFFFFF"/>
                  <w:noWrap w:val="0"/>
                  <w:vAlign w:val="center"/>
                </w:tcPr>
                <w:p w14:paraId="6E50A70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54DDE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4E3753C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31D219A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6DCB035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2E43F81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525" w:type="pct"/>
                  <w:shd w:val="clear" w:color="auto" w:fill="FFFFFF"/>
                  <w:noWrap w:val="0"/>
                  <w:vAlign w:val="center"/>
                </w:tcPr>
                <w:p w14:paraId="451DA0C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500</w:t>
                  </w:r>
                </w:p>
              </w:tc>
              <w:tc>
                <w:tcPr>
                  <w:tcW w:w="525" w:type="pct"/>
                  <w:shd w:val="clear" w:color="auto" w:fill="FFFFFF"/>
                  <w:noWrap w:val="0"/>
                  <w:vAlign w:val="center"/>
                </w:tcPr>
                <w:p w14:paraId="0A5DEB3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529" w:type="pct"/>
                  <w:shd w:val="clear" w:color="auto" w:fill="FFFFFF"/>
                  <w:noWrap w:val="0"/>
                  <w:vAlign w:val="center"/>
                </w:tcPr>
                <w:p w14:paraId="4DA81B8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150</w:t>
                  </w:r>
                </w:p>
              </w:tc>
              <w:tc>
                <w:tcPr>
                  <w:tcW w:w="726" w:type="pct"/>
                  <w:vMerge w:val="continue"/>
                  <w:shd w:val="clear" w:color="auto" w:fill="FFFFFF"/>
                  <w:noWrap w:val="0"/>
                  <w:vAlign w:val="center"/>
                </w:tcPr>
                <w:p w14:paraId="442075C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DE0D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2AF58FB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w:t>
                  </w:r>
                </w:p>
              </w:tc>
              <w:tc>
                <w:tcPr>
                  <w:tcW w:w="797" w:type="pct"/>
                  <w:vMerge w:val="restart"/>
                  <w:shd w:val="clear" w:color="auto" w:fill="FFFFFF"/>
                  <w:noWrap w:val="0"/>
                  <w:vAlign w:val="center"/>
                </w:tcPr>
                <w:p w14:paraId="5FC54E7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二氧化氮（NO</w:t>
                  </w:r>
                  <w:r>
                    <w:rPr>
                      <w:rFonts w:hint="default" w:ascii="Times New Roman" w:hAnsi="Times New Roman" w:cs="Times New Roman"/>
                      <w:b w:val="0"/>
                      <w:color w:val="auto"/>
                      <w:sz w:val="21"/>
                      <w:szCs w:val="21"/>
                      <w:highlight w:val="none"/>
                      <w:vertAlign w:val="subscript"/>
                    </w:rPr>
                    <w:t>2</w:t>
                  </w:r>
                  <w:r>
                    <w:rPr>
                      <w:rFonts w:hint="default" w:ascii="Times New Roman" w:hAnsi="Times New Roman" w:cs="Times New Roman"/>
                      <w:b w:val="0"/>
                      <w:color w:val="auto"/>
                      <w:sz w:val="21"/>
                      <w:szCs w:val="21"/>
                      <w:highlight w:val="none"/>
                    </w:rPr>
                    <w:t>）</w:t>
                  </w:r>
                </w:p>
              </w:tc>
              <w:tc>
                <w:tcPr>
                  <w:tcW w:w="930" w:type="pct"/>
                  <w:shd w:val="clear" w:color="auto" w:fill="FFFFFF"/>
                  <w:noWrap w:val="0"/>
                  <w:vAlign w:val="center"/>
                </w:tcPr>
                <w:p w14:paraId="65A494F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354D66C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40</w:t>
                  </w:r>
                </w:p>
              </w:tc>
              <w:tc>
                <w:tcPr>
                  <w:tcW w:w="525" w:type="pct"/>
                  <w:shd w:val="clear" w:color="auto" w:fill="FFFFFF"/>
                  <w:noWrap w:val="0"/>
                  <w:vAlign w:val="center"/>
                </w:tcPr>
                <w:p w14:paraId="0F1BF55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40</w:t>
                  </w:r>
                </w:p>
              </w:tc>
              <w:tc>
                <w:tcPr>
                  <w:tcW w:w="525" w:type="pct"/>
                  <w:shd w:val="clear" w:color="auto" w:fill="FFFFFF"/>
                  <w:noWrap w:val="0"/>
                  <w:vAlign w:val="center"/>
                </w:tcPr>
                <w:p w14:paraId="3E27ED2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w:t>
                  </w:r>
                </w:p>
              </w:tc>
              <w:tc>
                <w:tcPr>
                  <w:tcW w:w="529" w:type="pct"/>
                  <w:shd w:val="clear" w:color="auto" w:fill="FFFFFF"/>
                  <w:noWrap w:val="0"/>
                  <w:vAlign w:val="center"/>
                </w:tcPr>
                <w:p w14:paraId="39DEF0A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w:t>
                  </w:r>
                </w:p>
              </w:tc>
              <w:tc>
                <w:tcPr>
                  <w:tcW w:w="726" w:type="pct"/>
                  <w:vMerge w:val="continue"/>
                  <w:shd w:val="clear" w:color="auto" w:fill="FFFFFF"/>
                  <w:noWrap w:val="0"/>
                  <w:vAlign w:val="center"/>
                </w:tcPr>
                <w:p w14:paraId="769D97F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33EE7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6A02626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63ED15B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2477E63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4A4106D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5" w:type="pct"/>
                  <w:shd w:val="clear" w:color="auto" w:fill="FFFFFF"/>
                  <w:noWrap w:val="0"/>
                  <w:vAlign w:val="center"/>
                </w:tcPr>
                <w:p w14:paraId="0CEE1B1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80</w:t>
                  </w:r>
                </w:p>
              </w:tc>
              <w:tc>
                <w:tcPr>
                  <w:tcW w:w="525" w:type="pct"/>
                  <w:shd w:val="clear" w:color="auto" w:fill="FFFFFF"/>
                  <w:noWrap w:val="0"/>
                  <w:vAlign w:val="center"/>
                </w:tcPr>
                <w:p w14:paraId="13AFEB4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9" w:type="pct"/>
                  <w:shd w:val="clear" w:color="auto" w:fill="FFFFFF"/>
                  <w:noWrap w:val="0"/>
                  <w:vAlign w:val="center"/>
                </w:tcPr>
                <w:p w14:paraId="6F9CD43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6" w:type="pct"/>
                  <w:vMerge w:val="continue"/>
                  <w:shd w:val="clear" w:color="auto" w:fill="FFFFFF"/>
                  <w:noWrap w:val="0"/>
                  <w:vAlign w:val="center"/>
                </w:tcPr>
                <w:p w14:paraId="1F7B039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A44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5A87A2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7351E29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470A670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6415333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5" w:type="pct"/>
                  <w:shd w:val="clear" w:color="auto" w:fill="FFFFFF"/>
                  <w:noWrap w:val="0"/>
                  <w:vAlign w:val="center"/>
                </w:tcPr>
                <w:p w14:paraId="073E668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200</w:t>
                  </w:r>
                </w:p>
              </w:tc>
              <w:tc>
                <w:tcPr>
                  <w:tcW w:w="525" w:type="pct"/>
                  <w:shd w:val="clear" w:color="auto" w:fill="FFFFFF"/>
                  <w:noWrap w:val="0"/>
                  <w:vAlign w:val="center"/>
                </w:tcPr>
                <w:p w14:paraId="4FF6076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9" w:type="pct"/>
                  <w:shd w:val="clear" w:color="auto" w:fill="FFFFFF"/>
                  <w:noWrap w:val="0"/>
                  <w:vAlign w:val="center"/>
                </w:tcPr>
                <w:p w14:paraId="0A74091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726" w:type="pct"/>
                  <w:vMerge w:val="continue"/>
                  <w:shd w:val="clear" w:color="auto" w:fill="FFFFFF"/>
                  <w:noWrap w:val="0"/>
                  <w:vAlign w:val="center"/>
                </w:tcPr>
                <w:p w14:paraId="570F3C3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D8EE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795D86C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3</w:t>
                  </w:r>
                </w:p>
              </w:tc>
              <w:tc>
                <w:tcPr>
                  <w:tcW w:w="797" w:type="pct"/>
                  <w:vMerge w:val="restart"/>
                  <w:shd w:val="clear" w:color="auto" w:fill="FFFFFF"/>
                  <w:noWrap w:val="0"/>
                  <w:vAlign w:val="center"/>
                </w:tcPr>
                <w:p w14:paraId="3675DF9A">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一氧化碳（CO）</w:t>
                  </w:r>
                </w:p>
              </w:tc>
              <w:tc>
                <w:tcPr>
                  <w:tcW w:w="930" w:type="pct"/>
                  <w:shd w:val="clear" w:color="auto" w:fill="FFFFFF"/>
                  <w:noWrap w:val="0"/>
                  <w:vAlign w:val="center"/>
                </w:tcPr>
                <w:p w14:paraId="3127D4B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0EC50D9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525" w:type="pct"/>
                  <w:shd w:val="clear" w:color="auto" w:fill="FFFFFF"/>
                  <w:noWrap w:val="0"/>
                  <w:vAlign w:val="center"/>
                </w:tcPr>
                <w:p w14:paraId="2DD434B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w:t>
                  </w:r>
                </w:p>
              </w:tc>
              <w:tc>
                <w:tcPr>
                  <w:tcW w:w="525" w:type="pct"/>
                  <w:shd w:val="clear" w:color="auto" w:fill="FFFFFF"/>
                  <w:noWrap w:val="0"/>
                  <w:vAlign w:val="center"/>
                </w:tcPr>
                <w:p w14:paraId="39BC898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529" w:type="pct"/>
                  <w:shd w:val="clear" w:color="auto" w:fill="FFFFFF"/>
                  <w:noWrap w:val="0"/>
                  <w:vAlign w:val="center"/>
                </w:tcPr>
                <w:p w14:paraId="05DC049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w:t>
                  </w:r>
                </w:p>
              </w:tc>
              <w:tc>
                <w:tcPr>
                  <w:tcW w:w="726" w:type="pct"/>
                  <w:vMerge w:val="restart"/>
                  <w:shd w:val="clear" w:color="auto" w:fill="FFFFFF"/>
                  <w:noWrap w:val="0"/>
                  <w:vAlign w:val="center"/>
                </w:tcPr>
                <w:p w14:paraId="49D97A9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51F7E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7858AAF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639B92B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48C0DED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69F0618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5" w:type="pct"/>
                  <w:shd w:val="clear" w:color="auto" w:fill="FFFFFF"/>
                  <w:noWrap w:val="0"/>
                  <w:vAlign w:val="center"/>
                </w:tcPr>
                <w:p w14:paraId="75796B0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10</w:t>
                  </w:r>
                </w:p>
              </w:tc>
              <w:tc>
                <w:tcPr>
                  <w:tcW w:w="525" w:type="pct"/>
                  <w:shd w:val="clear" w:color="auto" w:fill="FFFFFF"/>
                  <w:noWrap w:val="0"/>
                  <w:vAlign w:val="center"/>
                </w:tcPr>
                <w:p w14:paraId="508807C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9" w:type="pct"/>
                  <w:shd w:val="clear" w:color="auto" w:fill="FFFFFF"/>
                  <w:noWrap w:val="0"/>
                  <w:vAlign w:val="center"/>
                </w:tcPr>
                <w:p w14:paraId="7C1A70A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726" w:type="pct"/>
                  <w:vMerge w:val="continue"/>
                  <w:shd w:val="clear" w:color="auto" w:fill="FFFFFF"/>
                  <w:noWrap w:val="0"/>
                  <w:vAlign w:val="center"/>
                </w:tcPr>
                <w:p w14:paraId="64E2990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5856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672E2FD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4</w:t>
                  </w:r>
                </w:p>
              </w:tc>
              <w:tc>
                <w:tcPr>
                  <w:tcW w:w="797" w:type="pct"/>
                  <w:vMerge w:val="restart"/>
                  <w:shd w:val="clear" w:color="auto" w:fill="FFFFFF"/>
                  <w:noWrap w:val="0"/>
                  <w:vAlign w:val="center"/>
                </w:tcPr>
                <w:p w14:paraId="5BBD1C0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臭氧（O</w:t>
                  </w:r>
                  <w:r>
                    <w:rPr>
                      <w:rFonts w:hint="default" w:ascii="Times New Roman" w:hAnsi="Times New Roman" w:cs="Times New Roman"/>
                      <w:b w:val="0"/>
                      <w:color w:val="auto"/>
                      <w:sz w:val="21"/>
                      <w:szCs w:val="21"/>
                      <w:highlight w:val="none"/>
                      <w:vertAlign w:val="subscript"/>
                    </w:rPr>
                    <w:t>3</w:t>
                  </w:r>
                  <w:r>
                    <w:rPr>
                      <w:rFonts w:hint="default" w:ascii="Times New Roman" w:hAnsi="Times New Roman" w:cs="Times New Roman"/>
                      <w:b w:val="0"/>
                      <w:color w:val="auto"/>
                      <w:sz w:val="21"/>
                      <w:szCs w:val="21"/>
                      <w:highlight w:val="none"/>
                    </w:rPr>
                    <w:t>）</w:t>
                  </w:r>
                </w:p>
              </w:tc>
              <w:tc>
                <w:tcPr>
                  <w:tcW w:w="930" w:type="pct"/>
                  <w:shd w:val="clear" w:color="auto" w:fill="FFFFFF"/>
                  <w:noWrap w:val="0"/>
                  <w:vAlign w:val="center"/>
                </w:tcPr>
                <w:p w14:paraId="56ABFB3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日最大8小时平均</w:t>
                  </w:r>
                </w:p>
              </w:tc>
              <w:tc>
                <w:tcPr>
                  <w:tcW w:w="525" w:type="pct"/>
                  <w:shd w:val="clear" w:color="auto" w:fill="FFFFFF"/>
                  <w:noWrap w:val="0"/>
                  <w:vAlign w:val="center"/>
                </w:tcPr>
                <w:p w14:paraId="7ED1E22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5" w:type="pct"/>
                  <w:shd w:val="clear" w:color="auto" w:fill="FFFFFF"/>
                  <w:noWrap w:val="0"/>
                  <w:vAlign w:val="center"/>
                </w:tcPr>
                <w:p w14:paraId="5CAE76E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160</w:t>
                  </w:r>
                </w:p>
              </w:tc>
              <w:tc>
                <w:tcPr>
                  <w:tcW w:w="525" w:type="pct"/>
                  <w:shd w:val="clear" w:color="auto" w:fill="FFFFFF"/>
                  <w:noWrap w:val="0"/>
                  <w:vAlign w:val="center"/>
                </w:tcPr>
                <w:p w14:paraId="7C63B0A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9" w:type="pct"/>
                  <w:shd w:val="clear" w:color="auto" w:fill="FFFFFF"/>
                  <w:noWrap w:val="0"/>
                  <w:vAlign w:val="center"/>
                </w:tcPr>
                <w:p w14:paraId="6F61D73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726" w:type="pct"/>
                  <w:vMerge w:val="restart"/>
                  <w:shd w:val="clear" w:color="auto" w:fill="FFFFFF"/>
                  <w:noWrap w:val="0"/>
                  <w:vAlign w:val="center"/>
                </w:tcPr>
                <w:p w14:paraId="77EE5BF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μg/</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vertAlign w:val="superscript"/>
                    </w:rPr>
                    <w:t>3</w:t>
                  </w:r>
                </w:p>
              </w:tc>
            </w:tr>
            <w:tr w14:paraId="496E1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5CA9991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41B78FD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538A4C4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1小时平均</w:t>
                  </w:r>
                </w:p>
              </w:tc>
              <w:tc>
                <w:tcPr>
                  <w:tcW w:w="525" w:type="pct"/>
                  <w:shd w:val="clear" w:color="auto" w:fill="FFFFFF"/>
                  <w:noWrap w:val="0"/>
                  <w:vAlign w:val="center"/>
                </w:tcPr>
                <w:p w14:paraId="134054C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525" w:type="pct"/>
                  <w:shd w:val="clear" w:color="auto" w:fill="FFFFFF"/>
                  <w:noWrap w:val="0"/>
                  <w:vAlign w:val="center"/>
                </w:tcPr>
                <w:p w14:paraId="1A76200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200</w:t>
                  </w:r>
                </w:p>
              </w:tc>
              <w:tc>
                <w:tcPr>
                  <w:tcW w:w="525" w:type="pct"/>
                  <w:shd w:val="clear" w:color="auto" w:fill="FFFFFF"/>
                  <w:noWrap w:val="0"/>
                  <w:vAlign w:val="center"/>
                </w:tcPr>
                <w:p w14:paraId="47EB8BF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529" w:type="pct"/>
                  <w:shd w:val="clear" w:color="auto" w:fill="FFFFFF"/>
                  <w:noWrap w:val="0"/>
                  <w:vAlign w:val="center"/>
                </w:tcPr>
                <w:p w14:paraId="2B6EE74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160</w:t>
                  </w:r>
                </w:p>
              </w:tc>
              <w:tc>
                <w:tcPr>
                  <w:tcW w:w="726" w:type="pct"/>
                  <w:vMerge w:val="continue"/>
                  <w:shd w:val="clear" w:color="auto" w:fill="FFFFFF"/>
                  <w:noWrap w:val="0"/>
                  <w:vAlign w:val="center"/>
                </w:tcPr>
                <w:p w14:paraId="652BBDE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42395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695DAE1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5</w:t>
                  </w:r>
                </w:p>
              </w:tc>
              <w:tc>
                <w:tcPr>
                  <w:tcW w:w="797" w:type="pct"/>
                  <w:vMerge w:val="restart"/>
                  <w:shd w:val="clear" w:color="auto" w:fill="FFFFFF"/>
                  <w:noWrap w:val="0"/>
                  <w:vAlign w:val="center"/>
                </w:tcPr>
                <w:p w14:paraId="6E995E5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颗粒物（粒径小于等于10μ</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930" w:type="pct"/>
                  <w:shd w:val="clear" w:color="auto" w:fill="FFFFFF"/>
                  <w:noWrap w:val="0"/>
                  <w:vAlign w:val="center"/>
                </w:tcPr>
                <w:p w14:paraId="7D9E507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6AFA09F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40</w:t>
                  </w:r>
                </w:p>
              </w:tc>
              <w:tc>
                <w:tcPr>
                  <w:tcW w:w="525" w:type="pct"/>
                  <w:shd w:val="clear" w:color="auto" w:fill="FFFFFF"/>
                  <w:noWrap w:val="0"/>
                  <w:vAlign w:val="center"/>
                </w:tcPr>
                <w:p w14:paraId="61C207F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lang w:val="en-US" w:eastAsia="zh-CN"/>
                    </w:rPr>
                    <w:t>6</w:t>
                  </w:r>
                  <w:r>
                    <w:rPr>
                      <w:rFonts w:hint="default" w:ascii="Times New Roman" w:hAnsi="Times New Roman" w:cs="Times New Roman"/>
                      <w:b w:val="0"/>
                      <w:color w:val="auto"/>
                      <w:sz w:val="21"/>
                      <w:szCs w:val="21"/>
                      <w:highlight w:val="none"/>
                    </w:rPr>
                    <w:t>0</w:t>
                  </w:r>
                </w:p>
              </w:tc>
              <w:tc>
                <w:tcPr>
                  <w:tcW w:w="525" w:type="pct"/>
                  <w:shd w:val="clear" w:color="auto" w:fill="FFFFFF"/>
                  <w:noWrap w:val="0"/>
                  <w:vAlign w:val="center"/>
                </w:tcPr>
                <w:p w14:paraId="7128DAB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w:t>
                  </w:r>
                </w:p>
              </w:tc>
              <w:tc>
                <w:tcPr>
                  <w:tcW w:w="529" w:type="pct"/>
                  <w:shd w:val="clear" w:color="auto" w:fill="FFFFFF"/>
                  <w:noWrap w:val="0"/>
                  <w:vAlign w:val="center"/>
                </w:tcPr>
                <w:p w14:paraId="3779E7D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6" w:type="pct"/>
                  <w:vMerge w:val="continue"/>
                  <w:shd w:val="clear" w:color="auto" w:fill="FFFFFF"/>
                  <w:noWrap w:val="0"/>
                  <w:vAlign w:val="center"/>
                </w:tcPr>
                <w:p w14:paraId="3E1C345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D914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2C79DAA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74CB793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3B60B0B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4281159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5" w:type="pct"/>
                  <w:shd w:val="clear" w:color="auto" w:fill="FFFFFF"/>
                  <w:noWrap w:val="0"/>
                  <w:vAlign w:val="center"/>
                </w:tcPr>
                <w:p w14:paraId="64511E1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1</w:t>
                  </w:r>
                  <w:r>
                    <w:rPr>
                      <w:rFonts w:hint="default" w:ascii="Times New Roman" w:hAnsi="Times New Roman" w:cs="Times New Roman"/>
                      <w:b w:val="0"/>
                      <w:color w:val="auto"/>
                      <w:sz w:val="21"/>
                      <w:szCs w:val="21"/>
                      <w:highlight w:val="none"/>
                      <w:lang w:val="en-US" w:eastAsia="zh-CN"/>
                    </w:rPr>
                    <w:t>2</w:t>
                  </w:r>
                  <w:r>
                    <w:rPr>
                      <w:rFonts w:hint="default" w:ascii="Times New Roman" w:hAnsi="Times New Roman" w:cs="Times New Roman"/>
                      <w:b w:val="0"/>
                      <w:color w:val="auto"/>
                      <w:sz w:val="21"/>
                      <w:szCs w:val="21"/>
                      <w:highlight w:val="none"/>
                    </w:rPr>
                    <w:t>0</w:t>
                  </w:r>
                </w:p>
              </w:tc>
              <w:tc>
                <w:tcPr>
                  <w:tcW w:w="525" w:type="pct"/>
                  <w:shd w:val="clear" w:color="auto" w:fill="FFFFFF"/>
                  <w:noWrap w:val="0"/>
                  <w:vAlign w:val="center"/>
                </w:tcPr>
                <w:p w14:paraId="286A0DB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529" w:type="pct"/>
                  <w:shd w:val="clear" w:color="auto" w:fill="FFFFFF"/>
                  <w:noWrap w:val="0"/>
                  <w:vAlign w:val="center"/>
                </w:tcPr>
                <w:p w14:paraId="5841547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100</w:t>
                  </w:r>
                </w:p>
              </w:tc>
              <w:tc>
                <w:tcPr>
                  <w:tcW w:w="726" w:type="pct"/>
                  <w:vMerge w:val="continue"/>
                  <w:shd w:val="clear" w:color="auto" w:fill="FFFFFF"/>
                  <w:noWrap w:val="0"/>
                  <w:vAlign w:val="center"/>
                </w:tcPr>
                <w:p w14:paraId="6BA3A9D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2599F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46C0AFA4">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6</w:t>
                  </w:r>
                </w:p>
              </w:tc>
              <w:tc>
                <w:tcPr>
                  <w:tcW w:w="797" w:type="pct"/>
                  <w:vMerge w:val="restart"/>
                  <w:shd w:val="clear" w:color="auto" w:fill="FFFFFF"/>
                  <w:noWrap w:val="0"/>
                  <w:vAlign w:val="center"/>
                </w:tcPr>
                <w:p w14:paraId="5669F60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颗粒物（粒径小于等于2.5μ</w:t>
                  </w:r>
                  <w:r>
                    <w:rPr>
                      <w:rFonts w:hint="default" w:ascii="Times New Roman" w:hAnsi="Times New Roman" w:cs="Times New Roman"/>
                      <w:b w:val="0"/>
                      <w:color w:val="auto"/>
                      <w:sz w:val="21"/>
                      <w:szCs w:val="21"/>
                      <w:highlight w:val="none"/>
                      <w:lang w:eastAsia="zh-CN"/>
                    </w:rPr>
                    <w:t>m</w:t>
                  </w:r>
                  <w:r>
                    <w:rPr>
                      <w:rFonts w:hint="default" w:ascii="Times New Roman" w:hAnsi="Times New Roman" w:cs="Times New Roman"/>
                      <w:b w:val="0"/>
                      <w:color w:val="auto"/>
                      <w:sz w:val="21"/>
                      <w:szCs w:val="21"/>
                      <w:highlight w:val="none"/>
                    </w:rPr>
                    <w:t>）</w:t>
                  </w:r>
                </w:p>
              </w:tc>
              <w:tc>
                <w:tcPr>
                  <w:tcW w:w="930" w:type="pct"/>
                  <w:shd w:val="clear" w:color="auto" w:fill="FFFFFF"/>
                  <w:noWrap w:val="0"/>
                  <w:vAlign w:val="center"/>
                </w:tcPr>
                <w:p w14:paraId="1C1BC7D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63E3C62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15</w:t>
                  </w:r>
                </w:p>
              </w:tc>
              <w:tc>
                <w:tcPr>
                  <w:tcW w:w="525" w:type="pct"/>
                  <w:shd w:val="clear" w:color="auto" w:fill="FFFFFF"/>
                  <w:noWrap w:val="0"/>
                  <w:vAlign w:val="center"/>
                </w:tcPr>
                <w:p w14:paraId="3C3A9177">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eastAsia="zh-CN"/>
                    </w:rPr>
                  </w:pPr>
                  <w:r>
                    <w:rPr>
                      <w:rFonts w:hint="default" w:ascii="Times New Roman" w:hAnsi="Times New Roman" w:cs="Times New Roman"/>
                      <w:b w:val="0"/>
                      <w:color w:val="auto"/>
                      <w:sz w:val="21"/>
                      <w:szCs w:val="21"/>
                      <w:highlight w:val="none"/>
                    </w:rPr>
                    <w:t>3</w:t>
                  </w:r>
                  <w:r>
                    <w:rPr>
                      <w:rFonts w:hint="default" w:ascii="Times New Roman" w:hAnsi="Times New Roman" w:cs="Times New Roman"/>
                      <w:b w:val="0"/>
                      <w:color w:val="auto"/>
                      <w:sz w:val="21"/>
                      <w:szCs w:val="21"/>
                      <w:highlight w:val="none"/>
                      <w:lang w:val="en-US" w:eastAsia="zh-CN"/>
                    </w:rPr>
                    <w:t>0</w:t>
                  </w:r>
                </w:p>
              </w:tc>
              <w:tc>
                <w:tcPr>
                  <w:tcW w:w="525" w:type="pct"/>
                  <w:shd w:val="clear" w:color="auto" w:fill="FFFFFF"/>
                  <w:noWrap w:val="0"/>
                  <w:vAlign w:val="center"/>
                </w:tcPr>
                <w:p w14:paraId="6717F2F2">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10</w:t>
                  </w:r>
                </w:p>
              </w:tc>
              <w:tc>
                <w:tcPr>
                  <w:tcW w:w="529" w:type="pct"/>
                  <w:shd w:val="clear" w:color="auto" w:fill="FFFFFF"/>
                  <w:noWrap w:val="0"/>
                  <w:vAlign w:val="center"/>
                </w:tcPr>
                <w:p w14:paraId="1EF59C5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25</w:t>
                  </w:r>
                </w:p>
              </w:tc>
              <w:tc>
                <w:tcPr>
                  <w:tcW w:w="726" w:type="pct"/>
                  <w:vMerge w:val="continue"/>
                  <w:shd w:val="clear" w:color="auto" w:fill="FFFFFF"/>
                  <w:noWrap w:val="0"/>
                  <w:vAlign w:val="center"/>
                </w:tcPr>
                <w:p w14:paraId="2DE4097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60AE0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3EBBF69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68FAD5D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67B7183D">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35FAE9F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35</w:t>
                  </w:r>
                </w:p>
              </w:tc>
              <w:tc>
                <w:tcPr>
                  <w:tcW w:w="525" w:type="pct"/>
                  <w:shd w:val="clear" w:color="auto" w:fill="FFFFFF"/>
                  <w:noWrap w:val="0"/>
                  <w:vAlign w:val="center"/>
                </w:tcPr>
                <w:p w14:paraId="2FF85F9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60</w:t>
                  </w:r>
                </w:p>
              </w:tc>
              <w:tc>
                <w:tcPr>
                  <w:tcW w:w="525" w:type="pct"/>
                  <w:shd w:val="clear" w:color="auto" w:fill="FFFFFF"/>
                  <w:noWrap w:val="0"/>
                  <w:vAlign w:val="center"/>
                </w:tcPr>
                <w:p w14:paraId="748BB9F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25</w:t>
                  </w:r>
                </w:p>
              </w:tc>
              <w:tc>
                <w:tcPr>
                  <w:tcW w:w="529" w:type="pct"/>
                  <w:shd w:val="clear" w:color="auto" w:fill="FFFFFF"/>
                  <w:noWrap w:val="0"/>
                  <w:vAlign w:val="center"/>
                </w:tcPr>
                <w:p w14:paraId="0D3FFDF6">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50</w:t>
                  </w:r>
                </w:p>
              </w:tc>
              <w:tc>
                <w:tcPr>
                  <w:tcW w:w="726" w:type="pct"/>
                  <w:vMerge w:val="continue"/>
                  <w:shd w:val="clear" w:color="auto" w:fill="FFFFFF"/>
                  <w:noWrap w:val="0"/>
                  <w:vAlign w:val="center"/>
                </w:tcPr>
                <w:p w14:paraId="4D8827C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41DB4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shd w:val="clear" w:color="auto" w:fill="FFFFFF"/>
                  <w:noWrap w:val="0"/>
                  <w:vAlign w:val="center"/>
                </w:tcPr>
                <w:p w14:paraId="1EE2524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7</w:t>
                  </w:r>
                </w:p>
              </w:tc>
              <w:tc>
                <w:tcPr>
                  <w:tcW w:w="797" w:type="pct"/>
                  <w:vMerge w:val="restart"/>
                  <w:shd w:val="clear" w:color="auto" w:fill="FFFFFF"/>
                  <w:noWrap w:val="0"/>
                  <w:vAlign w:val="center"/>
                </w:tcPr>
                <w:p w14:paraId="7754E91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总悬浮颗粒物（TSP）</w:t>
                  </w:r>
                </w:p>
              </w:tc>
              <w:tc>
                <w:tcPr>
                  <w:tcW w:w="930" w:type="pct"/>
                  <w:shd w:val="clear" w:color="auto" w:fill="FFFFFF"/>
                  <w:noWrap w:val="0"/>
                  <w:vAlign w:val="center"/>
                </w:tcPr>
                <w:p w14:paraId="680BB7B9">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年平均</w:t>
                  </w:r>
                </w:p>
              </w:tc>
              <w:tc>
                <w:tcPr>
                  <w:tcW w:w="525" w:type="pct"/>
                  <w:shd w:val="clear" w:color="auto" w:fill="FFFFFF"/>
                  <w:noWrap w:val="0"/>
                  <w:vAlign w:val="center"/>
                </w:tcPr>
                <w:p w14:paraId="5A427AE1">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5" w:type="pct"/>
                  <w:shd w:val="clear" w:color="auto" w:fill="FFFFFF"/>
                  <w:noWrap w:val="0"/>
                  <w:vAlign w:val="center"/>
                </w:tcPr>
                <w:p w14:paraId="7F4FB5E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525" w:type="pct"/>
                  <w:shd w:val="clear" w:color="auto" w:fill="FFFFFF"/>
                  <w:noWrap w:val="0"/>
                  <w:vAlign w:val="center"/>
                </w:tcPr>
                <w:p w14:paraId="027D1F6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80</w:t>
                  </w:r>
                </w:p>
              </w:tc>
              <w:tc>
                <w:tcPr>
                  <w:tcW w:w="529" w:type="pct"/>
                  <w:shd w:val="clear" w:color="auto" w:fill="FFFFFF"/>
                  <w:noWrap w:val="0"/>
                  <w:vAlign w:val="center"/>
                </w:tcPr>
                <w:p w14:paraId="5A563DD0">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200</w:t>
                  </w:r>
                </w:p>
              </w:tc>
              <w:tc>
                <w:tcPr>
                  <w:tcW w:w="726" w:type="pct"/>
                  <w:vMerge w:val="continue"/>
                  <w:shd w:val="clear" w:color="auto" w:fill="FFFFFF"/>
                  <w:noWrap w:val="0"/>
                  <w:vAlign w:val="center"/>
                </w:tcPr>
                <w:p w14:paraId="2FB9E8C8">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r w14:paraId="77DC4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shd w:val="clear" w:color="auto" w:fill="FFFFFF"/>
                  <w:noWrap w:val="0"/>
                  <w:vAlign w:val="center"/>
                </w:tcPr>
                <w:p w14:paraId="6812F65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797" w:type="pct"/>
                  <w:vMerge w:val="continue"/>
                  <w:shd w:val="clear" w:color="auto" w:fill="FFFFFF"/>
                  <w:noWrap w:val="0"/>
                  <w:vAlign w:val="center"/>
                </w:tcPr>
                <w:p w14:paraId="09771D1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c>
                <w:tcPr>
                  <w:tcW w:w="930" w:type="pct"/>
                  <w:shd w:val="clear" w:color="auto" w:fill="FFFFFF"/>
                  <w:noWrap w:val="0"/>
                  <w:vAlign w:val="center"/>
                </w:tcPr>
                <w:p w14:paraId="4463ABDC">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rPr>
                    <w:t>24小时平均</w:t>
                  </w:r>
                </w:p>
              </w:tc>
              <w:tc>
                <w:tcPr>
                  <w:tcW w:w="525" w:type="pct"/>
                  <w:shd w:val="clear" w:color="auto" w:fill="FFFFFF"/>
                  <w:noWrap w:val="0"/>
                  <w:vAlign w:val="center"/>
                </w:tcPr>
                <w:p w14:paraId="68779B2B">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120</w:t>
                  </w:r>
                </w:p>
              </w:tc>
              <w:tc>
                <w:tcPr>
                  <w:tcW w:w="525" w:type="pct"/>
                  <w:shd w:val="clear" w:color="auto" w:fill="FFFFFF"/>
                  <w:noWrap w:val="0"/>
                  <w:vAlign w:val="center"/>
                </w:tcPr>
                <w:p w14:paraId="74A7FD3E">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300</w:t>
                  </w:r>
                </w:p>
              </w:tc>
              <w:tc>
                <w:tcPr>
                  <w:tcW w:w="525" w:type="pct"/>
                  <w:shd w:val="clear" w:color="auto" w:fill="FFFFFF"/>
                  <w:noWrap w:val="0"/>
                  <w:vAlign w:val="center"/>
                </w:tcPr>
                <w:p w14:paraId="17F812B3">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120</w:t>
                  </w:r>
                </w:p>
              </w:tc>
              <w:tc>
                <w:tcPr>
                  <w:tcW w:w="529" w:type="pct"/>
                  <w:shd w:val="clear" w:color="auto" w:fill="FFFFFF"/>
                  <w:noWrap w:val="0"/>
                  <w:vAlign w:val="center"/>
                </w:tcPr>
                <w:p w14:paraId="7EB2A3F5">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firstLine="0" w:firstLineChars="0"/>
                    <w:jc w:val="center"/>
                    <w:textAlignment w:val="auto"/>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300</w:t>
                  </w:r>
                </w:p>
              </w:tc>
              <w:tc>
                <w:tcPr>
                  <w:tcW w:w="726" w:type="pct"/>
                  <w:vMerge w:val="continue"/>
                  <w:shd w:val="clear" w:color="auto" w:fill="FFFFFF"/>
                  <w:noWrap w:val="0"/>
                  <w:vAlign w:val="center"/>
                </w:tcPr>
                <w:p w14:paraId="7CDFC3EF">
                  <w:pPr>
                    <w:pStyle w:val="3"/>
                    <w:keepNext w:val="0"/>
                    <w:keepLines w:val="0"/>
                    <w:pageBreakBefore w:val="0"/>
                    <w:widowControl/>
                    <w:kinsoku/>
                    <w:wordWrap/>
                    <w:overflowPunct/>
                    <w:topLinePunct w:val="0"/>
                    <w:autoSpaceDE/>
                    <w:autoSpaceDN/>
                    <w:bidi w:val="0"/>
                    <w:adjustRightInd/>
                    <w:snapToGrid w:val="0"/>
                    <w:spacing w:before="0" w:after="0" w:line="240" w:lineRule="auto"/>
                    <w:ind w:right="113"/>
                    <w:jc w:val="center"/>
                    <w:textAlignment w:val="auto"/>
                    <w:rPr>
                      <w:rFonts w:hint="default" w:ascii="Times New Roman" w:hAnsi="Times New Roman" w:cs="Times New Roman"/>
                      <w:b w:val="0"/>
                      <w:color w:val="auto"/>
                      <w:sz w:val="21"/>
                      <w:szCs w:val="21"/>
                      <w:highlight w:val="none"/>
                    </w:rPr>
                  </w:pPr>
                </w:p>
              </w:tc>
            </w:tr>
          </w:tbl>
          <w:p w14:paraId="76B67D2B">
            <w:pPr>
              <w:adjustRightInd w:val="0"/>
              <w:snapToGrid w:val="0"/>
              <w:spacing w:line="500" w:lineRule="exact"/>
              <w:ind w:firstLine="482"/>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2、地表水环境</w:t>
            </w:r>
          </w:p>
          <w:p w14:paraId="71B868D2">
            <w:pPr>
              <w:pStyle w:val="138"/>
              <w:bidi w:val="0"/>
              <w:rPr>
                <w:rFonts w:hint="default" w:ascii="Times New Roman" w:hAnsi="Times New Roman" w:eastAsia="宋体" w:cs="Times New Roman"/>
                <w:color w:val="auto"/>
                <w:sz w:val="21"/>
                <w:szCs w:val="21"/>
                <w:highlight w:val="none"/>
              </w:rPr>
            </w:pPr>
          </w:p>
          <w:p w14:paraId="0A4D3B44">
            <w:pPr>
              <w:pStyle w:val="138"/>
              <w:bidi w:val="0"/>
              <w:rPr>
                <w:rFonts w:hint="default" w:ascii="Times New Roman" w:hAnsi="Times New Roman" w:eastAsia="宋体" w:cs="Times New Roman"/>
                <w:color w:val="auto"/>
                <w:sz w:val="21"/>
                <w:szCs w:val="21"/>
                <w:highlight w:val="none"/>
              </w:rPr>
            </w:pPr>
          </w:p>
          <w:p w14:paraId="0B94EF1E">
            <w:pPr>
              <w:pStyle w:val="138"/>
              <w:bidi w:val="0"/>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表</w:t>
            </w:r>
            <w:r>
              <w:rPr>
                <w:rFonts w:hint="default"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 xml:space="preserve"> </w:t>
            </w:r>
            <w:r>
              <w:rPr>
                <w:rFonts w:hint="default" w:ascii="Times New Roman" w:hAnsi="Times New Roman" w:eastAsia="宋体" w:cs="Times New Roman"/>
                <w:color w:val="auto"/>
                <w:sz w:val="21"/>
                <w:szCs w:val="21"/>
                <w:highlight w:val="none"/>
                <w:lang w:val="en-US"/>
              </w:rPr>
              <w:t xml:space="preserve"> 地表水环境质量标准</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0"/>
              <w:gridCol w:w="1448"/>
              <w:gridCol w:w="2050"/>
              <w:gridCol w:w="2138"/>
            </w:tblGrid>
            <w:tr w14:paraId="3FD5E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49E61800">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945" w:type="pct"/>
                  <w:tcBorders>
                    <w:tl2br w:val="nil"/>
                    <w:tr2bl w:val="nil"/>
                  </w:tcBorders>
                  <w:noWrap w:val="0"/>
                  <w:vAlign w:val="center"/>
                </w:tcPr>
                <w:p w14:paraId="39A4D3B6">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1338" w:type="pct"/>
                  <w:tcBorders>
                    <w:tl2br w:val="nil"/>
                    <w:tr2bl w:val="nil"/>
                  </w:tcBorders>
                  <w:noWrap w:val="0"/>
                  <w:vAlign w:val="center"/>
                </w:tcPr>
                <w:p w14:paraId="40F799D4">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Ⅲ类标准值</w:t>
                  </w:r>
                </w:p>
              </w:tc>
              <w:tc>
                <w:tcPr>
                  <w:tcW w:w="1396" w:type="pct"/>
                  <w:tcBorders>
                    <w:tl2br w:val="nil"/>
                    <w:tr2bl w:val="nil"/>
                  </w:tcBorders>
                  <w:noWrap w:val="0"/>
                  <w:vAlign w:val="center"/>
                </w:tcPr>
                <w:p w14:paraId="2F41C6CC">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14:paraId="34353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5D9690F4">
                  <w:pPr>
                    <w:pStyle w:val="139"/>
                    <w:bidi w:val="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COD</w:t>
                  </w:r>
                </w:p>
              </w:tc>
              <w:tc>
                <w:tcPr>
                  <w:tcW w:w="945" w:type="pct"/>
                  <w:tcBorders>
                    <w:tl2br w:val="nil"/>
                    <w:tr2bl w:val="nil"/>
                  </w:tcBorders>
                  <w:noWrap w:val="0"/>
                  <w:vAlign w:val="center"/>
                </w:tcPr>
                <w:p w14:paraId="1AB7E280">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1338" w:type="pct"/>
                  <w:tcBorders>
                    <w:tl2br w:val="nil"/>
                    <w:tr2bl w:val="nil"/>
                  </w:tcBorders>
                  <w:noWrap w:val="0"/>
                  <w:vAlign w:val="center"/>
                </w:tcPr>
                <w:p w14:paraId="04FEF628">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20</w:t>
                  </w:r>
                </w:p>
              </w:tc>
              <w:tc>
                <w:tcPr>
                  <w:tcW w:w="1396" w:type="pct"/>
                  <w:vMerge w:val="restart"/>
                  <w:tcBorders>
                    <w:tl2br w:val="nil"/>
                    <w:tr2bl w:val="nil"/>
                  </w:tcBorders>
                  <w:noWrap w:val="0"/>
                  <w:vAlign w:val="center"/>
                </w:tcPr>
                <w:p w14:paraId="5E1C2D23">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《地表水质量标准》（GB3838</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2008）中Ⅲ类标准</w:t>
                  </w:r>
                </w:p>
              </w:tc>
            </w:tr>
            <w:tr w14:paraId="4CE035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09DE2362">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945" w:type="pct"/>
                  <w:tcBorders>
                    <w:tl2br w:val="nil"/>
                    <w:tr2bl w:val="nil"/>
                  </w:tcBorders>
                  <w:noWrap w:val="0"/>
                  <w:vAlign w:val="center"/>
                </w:tcPr>
                <w:p w14:paraId="669599AA">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1338" w:type="pct"/>
                  <w:tcBorders>
                    <w:tl2br w:val="nil"/>
                    <w:tr2bl w:val="nil"/>
                  </w:tcBorders>
                  <w:noWrap w:val="0"/>
                  <w:vAlign w:val="center"/>
                </w:tcPr>
                <w:p w14:paraId="481D6D64">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p>
              </w:tc>
              <w:tc>
                <w:tcPr>
                  <w:tcW w:w="1396" w:type="pct"/>
                  <w:vMerge w:val="continue"/>
                  <w:tcBorders>
                    <w:tl2br w:val="nil"/>
                    <w:tr2bl w:val="nil"/>
                  </w:tcBorders>
                  <w:noWrap w:val="0"/>
                  <w:vAlign w:val="center"/>
                </w:tcPr>
                <w:p w14:paraId="0F96FE4A">
                  <w:pPr>
                    <w:pStyle w:val="139"/>
                    <w:bidi w:val="0"/>
                    <w:rPr>
                      <w:rFonts w:hint="default" w:ascii="Times New Roman" w:hAnsi="Times New Roman" w:eastAsia="宋体" w:cs="Times New Roman"/>
                      <w:color w:val="auto"/>
                      <w:highlight w:val="none"/>
                    </w:rPr>
                  </w:pPr>
                </w:p>
              </w:tc>
            </w:tr>
            <w:tr w14:paraId="1B403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1A0CBAA3">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高锰酸盐指数</w:t>
                  </w:r>
                </w:p>
              </w:tc>
              <w:tc>
                <w:tcPr>
                  <w:tcW w:w="945" w:type="pct"/>
                  <w:tcBorders>
                    <w:tl2br w:val="nil"/>
                    <w:tr2bl w:val="nil"/>
                  </w:tcBorders>
                  <w:noWrap w:val="0"/>
                  <w:vAlign w:val="center"/>
                </w:tcPr>
                <w:p w14:paraId="0709B78A">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1338" w:type="pct"/>
                  <w:tcBorders>
                    <w:tl2br w:val="nil"/>
                    <w:tr2bl w:val="nil"/>
                  </w:tcBorders>
                  <w:noWrap w:val="0"/>
                  <w:vAlign w:val="center"/>
                </w:tcPr>
                <w:p w14:paraId="224EE64B">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p>
              </w:tc>
              <w:tc>
                <w:tcPr>
                  <w:tcW w:w="1396" w:type="pct"/>
                  <w:vMerge w:val="continue"/>
                  <w:tcBorders>
                    <w:tl2br w:val="nil"/>
                    <w:tr2bl w:val="nil"/>
                  </w:tcBorders>
                  <w:noWrap w:val="0"/>
                  <w:vAlign w:val="center"/>
                </w:tcPr>
                <w:p w14:paraId="49979C8A">
                  <w:pPr>
                    <w:pStyle w:val="139"/>
                    <w:bidi w:val="0"/>
                    <w:rPr>
                      <w:rFonts w:hint="default" w:ascii="Times New Roman" w:hAnsi="Times New Roman" w:eastAsia="宋体" w:cs="Times New Roman"/>
                      <w:color w:val="auto"/>
                      <w:highlight w:val="none"/>
                    </w:rPr>
                  </w:pPr>
                </w:p>
              </w:tc>
            </w:tr>
            <w:tr w14:paraId="2E4CBE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676ECA37">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945" w:type="pct"/>
                  <w:tcBorders>
                    <w:tl2br w:val="nil"/>
                    <w:tr2bl w:val="nil"/>
                  </w:tcBorders>
                  <w:noWrap w:val="0"/>
                  <w:vAlign w:val="center"/>
                </w:tcPr>
                <w:p w14:paraId="3E90ACC1">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1338" w:type="pct"/>
                  <w:tcBorders>
                    <w:tl2br w:val="nil"/>
                    <w:tr2bl w:val="nil"/>
                  </w:tcBorders>
                  <w:noWrap w:val="0"/>
                  <w:vAlign w:val="center"/>
                </w:tcPr>
                <w:p w14:paraId="5522914C">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396" w:type="pct"/>
                  <w:vMerge w:val="continue"/>
                  <w:tcBorders>
                    <w:tl2br w:val="nil"/>
                    <w:tr2bl w:val="nil"/>
                  </w:tcBorders>
                  <w:noWrap w:val="0"/>
                  <w:vAlign w:val="center"/>
                </w:tcPr>
                <w:p w14:paraId="31F0C679">
                  <w:pPr>
                    <w:pStyle w:val="139"/>
                    <w:bidi w:val="0"/>
                    <w:rPr>
                      <w:rFonts w:hint="default" w:ascii="Times New Roman" w:hAnsi="Times New Roman" w:eastAsia="宋体" w:cs="Times New Roman"/>
                      <w:color w:val="auto"/>
                      <w:highlight w:val="none"/>
                    </w:rPr>
                  </w:pPr>
                </w:p>
              </w:tc>
            </w:tr>
            <w:tr w14:paraId="64AA0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319" w:type="pct"/>
                  <w:tcBorders>
                    <w:tl2br w:val="nil"/>
                    <w:tr2bl w:val="nil"/>
                  </w:tcBorders>
                  <w:noWrap w:val="0"/>
                  <w:vAlign w:val="center"/>
                </w:tcPr>
                <w:p w14:paraId="334C421D">
                  <w:pPr>
                    <w:pStyle w:val="13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TP</w:t>
                  </w:r>
                </w:p>
              </w:tc>
              <w:tc>
                <w:tcPr>
                  <w:tcW w:w="945" w:type="pct"/>
                  <w:tcBorders>
                    <w:tl2br w:val="nil"/>
                    <w:tr2bl w:val="nil"/>
                  </w:tcBorders>
                  <w:noWrap w:val="0"/>
                  <w:vAlign w:val="center"/>
                </w:tcPr>
                <w:p w14:paraId="40C333ED">
                  <w:pPr>
                    <w:pStyle w:val="139"/>
                    <w:bidi w:val="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m</w:t>
                  </w:r>
                  <w:r>
                    <w:rPr>
                      <w:rFonts w:hint="default" w:ascii="Times New Roman" w:hAnsi="Times New Roman" w:eastAsia="宋体" w:cs="Times New Roman"/>
                      <w:color w:val="auto"/>
                      <w:highlight w:val="none"/>
                    </w:rPr>
                    <w:t>g/L</w:t>
                  </w:r>
                </w:p>
              </w:tc>
              <w:tc>
                <w:tcPr>
                  <w:tcW w:w="1338" w:type="pct"/>
                  <w:tcBorders>
                    <w:tl2br w:val="nil"/>
                    <w:tr2bl w:val="nil"/>
                  </w:tcBorders>
                  <w:noWrap w:val="0"/>
                  <w:vAlign w:val="center"/>
                </w:tcPr>
                <w:p w14:paraId="24CF6CB9">
                  <w:pPr>
                    <w:pStyle w:val="13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val="en-US" w:eastAsia="zh-CN"/>
                    </w:rPr>
                    <w:t>2</w:t>
                  </w:r>
                </w:p>
              </w:tc>
              <w:tc>
                <w:tcPr>
                  <w:tcW w:w="1396" w:type="pct"/>
                  <w:vMerge w:val="continue"/>
                  <w:tcBorders>
                    <w:tl2br w:val="nil"/>
                    <w:tr2bl w:val="nil"/>
                  </w:tcBorders>
                  <w:noWrap w:val="0"/>
                  <w:vAlign w:val="center"/>
                </w:tcPr>
                <w:p w14:paraId="34833B12">
                  <w:pPr>
                    <w:pStyle w:val="139"/>
                    <w:bidi w:val="0"/>
                    <w:rPr>
                      <w:rFonts w:hint="default" w:ascii="Times New Roman" w:hAnsi="Times New Roman" w:eastAsia="宋体" w:cs="Times New Roman"/>
                      <w:color w:val="auto"/>
                      <w:highlight w:val="none"/>
                    </w:rPr>
                  </w:pPr>
                </w:p>
              </w:tc>
            </w:tr>
          </w:tbl>
          <w:p w14:paraId="3DBD91AE">
            <w:pPr>
              <w:pStyle w:val="84"/>
              <w:ind w:firstLine="482"/>
              <w:jc w:val="left"/>
              <w:rPr>
                <w:rFonts w:hint="default" w:ascii="Times New Roman" w:hAnsi="Times New Roman" w:cs="Times New Roman"/>
                <w:b/>
                <w:bCs w:val="0"/>
                <w:color w:val="auto"/>
                <w:kern w:val="2"/>
                <w:sz w:val="24"/>
                <w:szCs w:val="24"/>
                <w:highlight w:val="none"/>
                <w:lang w:val="en-US" w:eastAsia="zh-CN" w:bidi="ar-SA"/>
              </w:rPr>
            </w:pPr>
            <w:r>
              <w:rPr>
                <w:rFonts w:hint="default" w:ascii="Times New Roman" w:hAnsi="Times New Roman" w:cs="Times New Roman"/>
                <w:b/>
                <w:bCs w:val="0"/>
                <w:color w:val="auto"/>
                <w:kern w:val="2"/>
                <w:sz w:val="24"/>
                <w:szCs w:val="24"/>
                <w:highlight w:val="none"/>
                <w:lang w:val="en-US" w:eastAsia="zh-CN" w:bidi="ar-SA"/>
              </w:rPr>
              <w:t>3、声环境执行标准</w:t>
            </w:r>
          </w:p>
          <w:p w14:paraId="2BD2B27F">
            <w:pPr>
              <w:pStyle w:val="84"/>
              <w:ind w:firstLine="482"/>
              <w:jc w:val="left"/>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根据</w:t>
            </w:r>
            <w:r>
              <w:rPr>
                <w:rFonts w:hint="eastAsia" w:cs="Times New Roman"/>
                <w:bCs/>
                <w:color w:val="auto"/>
                <w:kern w:val="2"/>
                <w:sz w:val="24"/>
                <w:szCs w:val="24"/>
                <w:highlight w:val="none"/>
                <w:lang w:val="en-US" w:eastAsia="zh-CN" w:bidi="ar-SA"/>
              </w:rPr>
              <w:t>《庆安县庆安镇声环境功能区划图》</w:t>
            </w:r>
            <w:r>
              <w:rPr>
                <w:rFonts w:hint="default" w:ascii="Times New Roman" w:hAnsi="Times New Roman" w:eastAsia="宋体" w:cs="Times New Roman"/>
                <w:bCs/>
                <w:color w:val="auto"/>
                <w:kern w:val="2"/>
                <w:sz w:val="24"/>
                <w:szCs w:val="24"/>
                <w:highlight w:val="none"/>
                <w:lang w:val="en-US" w:eastAsia="zh-CN" w:bidi="ar-SA"/>
              </w:rPr>
              <w:t>，工程所在区域位于1类</w:t>
            </w:r>
            <w:r>
              <w:rPr>
                <w:rFonts w:hint="eastAsia"/>
                <w:highlight w:val="none"/>
                <w:lang w:val="en-US" w:eastAsia="zh-CN"/>
              </w:rPr>
              <w:t>区</w:t>
            </w:r>
            <w:r>
              <w:rPr>
                <w:rFonts w:hint="default" w:ascii="Times New Roman" w:hAnsi="Times New Roman" w:eastAsia="宋体" w:cs="Times New Roman"/>
                <w:bCs/>
                <w:color w:val="auto"/>
                <w:kern w:val="2"/>
                <w:sz w:val="24"/>
                <w:szCs w:val="24"/>
                <w:highlight w:val="none"/>
                <w:lang w:val="en-US" w:eastAsia="zh-CN" w:bidi="ar-SA"/>
              </w:rPr>
              <w:t>。</w:t>
            </w:r>
          </w:p>
          <w:p w14:paraId="3D654C51">
            <w:pPr>
              <w:pStyle w:val="84"/>
              <w:ind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 xml:space="preserve">8  </w:t>
            </w:r>
            <w:r>
              <w:rPr>
                <w:rFonts w:hint="default" w:ascii="Times New Roman" w:hAnsi="Times New Roman" w:cs="Times New Roman"/>
                <w:b/>
                <w:bCs/>
                <w:color w:val="auto"/>
                <w:sz w:val="21"/>
                <w:szCs w:val="21"/>
                <w:highlight w:val="none"/>
              </w:rPr>
              <w:t>《声环境质量标准》（GB3096</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2008</w:t>
            </w:r>
            <w:r>
              <w:rPr>
                <w:rFonts w:hint="default" w:ascii="Times New Roman" w:hAnsi="Times New Roman" w:cs="Times New Roman"/>
                <w:b/>
                <w:bCs/>
                <w:color w:val="auto"/>
                <w:highlight w:val="none"/>
              </w:rPr>
              <w:t>）</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7"/>
              <w:gridCol w:w="1795"/>
              <w:gridCol w:w="1916"/>
              <w:gridCol w:w="2151"/>
            </w:tblGrid>
            <w:tr w14:paraId="11F5A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168" w:type="pct"/>
                  <w:noWrap w:val="0"/>
                  <w:vAlign w:val="center"/>
                </w:tcPr>
                <w:p w14:paraId="527415F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声功能区划类别</w:t>
                  </w:r>
                </w:p>
              </w:tc>
              <w:tc>
                <w:tcPr>
                  <w:tcW w:w="1173" w:type="pct"/>
                  <w:noWrap w:val="0"/>
                  <w:vAlign w:val="center"/>
                </w:tcPr>
                <w:p w14:paraId="2E8E58A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分类</w:t>
                  </w:r>
                </w:p>
              </w:tc>
              <w:tc>
                <w:tcPr>
                  <w:tcW w:w="1252" w:type="pct"/>
                  <w:noWrap w:val="0"/>
                  <w:vAlign w:val="center"/>
                </w:tcPr>
                <w:p w14:paraId="70A282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w:t>
                  </w:r>
                </w:p>
              </w:tc>
              <w:tc>
                <w:tcPr>
                  <w:tcW w:w="1406" w:type="pct"/>
                  <w:noWrap w:val="0"/>
                  <w:vAlign w:val="center"/>
                </w:tcPr>
                <w:p w14:paraId="7B7ADE7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w:t>
                  </w:r>
                </w:p>
              </w:tc>
            </w:tr>
            <w:tr w14:paraId="696B3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168" w:type="pct"/>
                  <w:noWrap w:val="0"/>
                  <w:vAlign w:val="center"/>
                </w:tcPr>
                <w:p w14:paraId="415A0F2C">
                  <w:pPr>
                    <w:adjustRightInd w:val="0"/>
                    <w:snapToGrid w:val="0"/>
                    <w:ind w:firstLine="48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1类</w:t>
                  </w:r>
                </w:p>
              </w:tc>
              <w:tc>
                <w:tcPr>
                  <w:tcW w:w="1173" w:type="pct"/>
                  <w:noWrap w:val="0"/>
                  <w:vAlign w:val="center"/>
                </w:tcPr>
                <w:p w14:paraId="469580E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1类区</w:t>
                  </w:r>
                </w:p>
              </w:tc>
              <w:tc>
                <w:tcPr>
                  <w:tcW w:w="1252" w:type="pct"/>
                  <w:noWrap w:val="0"/>
                  <w:vAlign w:val="center"/>
                </w:tcPr>
                <w:p w14:paraId="38AFF9E9">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55dB</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eastAsia="zh-CN"/>
                    </w:rPr>
                    <w:t>）</w:t>
                  </w:r>
                </w:p>
              </w:tc>
              <w:tc>
                <w:tcPr>
                  <w:tcW w:w="1406" w:type="pct"/>
                  <w:noWrap w:val="0"/>
                  <w:vAlign w:val="center"/>
                </w:tcPr>
                <w:p w14:paraId="458FD8B9">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45dB</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A</w:t>
                  </w:r>
                  <w:r>
                    <w:rPr>
                      <w:rFonts w:hint="default" w:ascii="Times New Roman" w:hAnsi="Times New Roman" w:cs="Times New Roman"/>
                      <w:color w:val="auto"/>
                      <w:kern w:val="0"/>
                      <w:szCs w:val="21"/>
                      <w:highlight w:val="none"/>
                      <w:lang w:eastAsia="zh-CN"/>
                    </w:rPr>
                    <w:t>）</w:t>
                  </w:r>
                </w:p>
              </w:tc>
            </w:tr>
          </w:tbl>
          <w:p w14:paraId="04074F80">
            <w:pPr>
              <w:adjustRightInd w:val="0"/>
              <w:snapToGrid w:val="0"/>
              <w:spacing w:line="500" w:lineRule="exact"/>
              <w:rPr>
                <w:rFonts w:hint="default" w:ascii="Times New Roman" w:hAnsi="Times New Roman" w:cs="Times New Roman"/>
                <w:b/>
                <w:bCs/>
                <w:color w:val="auto"/>
                <w:kern w:val="0"/>
                <w:sz w:val="24"/>
                <w:highlight w:val="none"/>
                <w:lang w:val="en-US" w:eastAsia="zh-CN"/>
              </w:rPr>
            </w:pPr>
          </w:p>
          <w:p w14:paraId="414C1ACF">
            <w:pPr>
              <w:pStyle w:val="2"/>
              <w:rPr>
                <w:rFonts w:hint="default"/>
                <w:highlight w:val="none"/>
                <w:lang w:val="en-US" w:eastAsia="zh-CN"/>
              </w:rPr>
            </w:pPr>
            <w:r>
              <w:rPr>
                <w:sz w:val="21"/>
                <w:highlight w:val="none"/>
              </w:rPr>
              <mc:AlternateContent>
                <mc:Choice Requires="wps">
                  <w:drawing>
                    <wp:anchor distT="0" distB="0" distL="114300" distR="114300" simplePos="0" relativeHeight="251716608" behindDoc="0" locked="0" layoutInCell="1" allowOverlap="1">
                      <wp:simplePos x="0" y="0"/>
                      <wp:positionH relativeFrom="column">
                        <wp:posOffset>3113405</wp:posOffset>
                      </wp:positionH>
                      <wp:positionV relativeFrom="paragraph">
                        <wp:posOffset>1696085</wp:posOffset>
                      </wp:positionV>
                      <wp:extent cx="810260" cy="295275"/>
                      <wp:effectExtent l="654050" t="12700" r="21590" b="73025"/>
                      <wp:wrapNone/>
                      <wp:docPr id="40" name="矩形标注 40"/>
                      <wp:cNvGraphicFramePr/>
                      <a:graphic xmlns:a="http://schemas.openxmlformats.org/drawingml/2006/main">
                        <a:graphicData uri="http://schemas.microsoft.com/office/word/2010/wordprocessingShape">
                          <wps:wsp>
                            <wps:cNvSpPr/>
                            <wps:spPr>
                              <a:xfrm>
                                <a:off x="0" y="0"/>
                                <a:ext cx="810260" cy="295275"/>
                              </a:xfrm>
                              <a:prstGeom prst="wedgeRectCallout">
                                <a:avLst>
                                  <a:gd name="adj1" fmla="val -129153"/>
                                  <a:gd name="adj2" fmla="val 64959"/>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811DBA8">
                                  <w:pPr>
                                    <w:jc w:val="center"/>
                                    <w:rPr>
                                      <w:rFonts w:hint="default" w:eastAsia="宋体"/>
                                      <w:b/>
                                      <w:bCs/>
                                      <w:color w:val="FF0000"/>
                                      <w:sz w:val="16"/>
                                      <w:szCs w:val="20"/>
                                      <w:lang w:val="en-US" w:eastAsia="zh-CN"/>
                                    </w:rPr>
                                  </w:pPr>
                                  <w:r>
                                    <w:rPr>
                                      <w:rFonts w:hint="eastAsia"/>
                                      <w:b/>
                                      <w:bCs/>
                                      <w:color w:val="FF0000"/>
                                      <w:sz w:val="16"/>
                                      <w:szCs w:val="2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5.15pt;margin-top:133.55pt;height:23.25pt;width:63.8pt;z-index:251716608;v-text-anchor:middle;mso-width-relative:page;mso-height-relative:page;" filled="f" stroked="t" coordsize="21600,21600" o:gfxdata="UEsDBAoAAAAAAIdO4kAAAAAAAAAAAAAAAAAEAAAAZHJzL1BLAwQUAAAACACHTuJATiHmd9gAAAAL&#10;AQAADwAAAGRycy9kb3ducmV2LnhtbE2Py07DMBBF90j8gzVI7KjjBiU0xKkAqVuktjy2Tjw4EfE4&#10;sp02/D1mRZeje3TvmXq72JGd0IfBkQSxyoAhdU4PZCS8HXd3D8BCVKTV6Agl/GCAbXN9VatKuzPt&#10;8XSIhqUSCpWS0Mc4VZyHrkerwspNSCn7ct6qmE5vuPbqnMrtyNdZVnCrBkoLvZrwpcfu+zBbCc/H&#10;d/P0+jnHctl/7FruMTdpXN7eiOwRWMQl/sPwp5/UoUlOrZtJBzZKuN9keUIlrItSAEtEIcoNsFZC&#10;LvICeFPzyx+aX1BLAwQUAAAACACHTuJAEVfdQZ4CAAAlBQAADgAAAGRycy9lMm9Eb2MueG1srVTN&#10;bhMxEL4j8Q6W7+1ulqRtoiZVlKgIqaIVBXF2vN7sIv9hO92UF+AxQJzgzJnHobwGn73bNhQOPXDx&#10;znhmv5n5ZsbHJ1slyZVwvjF6Sgf7OSVCc1M2ej2lb16f7h1R4gPTJZNGiym9Fp6ezJ4+OW7tRBSm&#10;NrIUjgBE+0lrp7QOwU6yzPNaKOb3jRUaxso4xQJUt85Kx1qgK5kVeX6QtcaV1hkuvMftsjPSHtE9&#10;BtBUVcPF0vCNEjp0qE5IFlCSrxvr6SxlW1WCh/Oq8iIQOaWoNKQTQSCv4pnNjtlk7ZitG96nwB6T&#10;woOaFGs0gt5BLVlgZOOav6BUw53xpgr73KisKyQxgioG+QNuLmtmRaoFVHt7R7r/f7D85dWFI005&#10;pUNQoplCx399+vbzx5ebzx9vvn8luAZHrfUTuF7aC9drHmIseFs5Fb8ohWwTr9d3vIptIByXR4O8&#10;OAA8h6kYj4rDUcTM7n+2zofnwigShSltRbkWr9C7BZPSbEJill2d+ZAoLvs8WfluQEmlJDp2xSTZ&#10;GxTjwehZ39Mdr2LX62A4Ho37+D0mMrnNIAbQ5rSRMk2G1KRFzqNhHtNnGPcKYwZRWVDm9ZoSJtfY&#10;Ix5cytIb2ZTx9wjk3Xq1kI4gOXCSH+aLRCbC/eEWYy+Zrzu/ZOrzkxo0Re47tqMUtqtt34KVKa/R&#10;PGe6qfaWnzaAOmM+XDAHUpAzFj2c46ikQSGmlyipjfvwr/voj+mClZIWa4Ei32+YE5TIFxpzNx4M&#10;46CEpAxHhwUUt2tZ7Vr0Ri0MakebkF0So3+Qt2LljHqL92Aeo8LENEfsjs5eWYRuXfGicDGfJzfs&#10;jmXhTF9aHsG7ps03wVRNiJMVierY6RVsTxq4ftPjeu7qyev+dZv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E4h5nfYAAAACwEAAA8AAAAAAAAAAQAgAAAAIgAAAGRycy9kb3ducmV2LnhtbFBLAQIU&#10;ABQAAAAIAIdO4kARV91BngIAACUFAAAOAAAAAAAAAAEAIAAAACcBAABkcnMvZTJvRG9jLnhtbFBL&#10;BQYAAAAABgAGAFkBAAA3BgAAAAA=&#10;" adj="-17097,24831">
                      <v:fill on="f" focussize="0,0"/>
                      <v:stroke weight="2pt" color="#0070C0 [2404]" joinstyle="round"/>
                      <v:imagedata o:title=""/>
                      <o:lock v:ext="edit" aspectratio="f"/>
                      <v:textbox>
                        <w:txbxContent>
                          <w:p w14:paraId="7811DBA8">
                            <w:pPr>
                              <w:jc w:val="center"/>
                              <w:rPr>
                                <w:rFonts w:hint="default" w:eastAsia="宋体"/>
                                <w:b/>
                                <w:bCs/>
                                <w:color w:val="FF0000"/>
                                <w:sz w:val="16"/>
                                <w:szCs w:val="20"/>
                                <w:lang w:val="en-US" w:eastAsia="zh-CN"/>
                              </w:rPr>
                            </w:pPr>
                            <w:r>
                              <w:rPr>
                                <w:rFonts w:hint="eastAsia"/>
                                <w:b/>
                                <w:bCs/>
                                <w:color w:val="FF0000"/>
                                <w:sz w:val="16"/>
                                <w:szCs w:val="20"/>
                                <w:lang w:val="en-US" w:eastAsia="zh-CN"/>
                              </w:rPr>
                              <w:t>项目位置</w:t>
                            </w:r>
                          </w:p>
                        </w:txbxContent>
                      </v:textbox>
                    </v:shape>
                  </w:pict>
                </mc:Fallback>
              </mc:AlternateContent>
            </w:r>
            <w:r>
              <w:rPr>
                <w:highlight w:val="none"/>
              </w:rPr>
              <w:drawing>
                <wp:inline distT="0" distB="0" distL="114300" distR="114300">
                  <wp:extent cx="4390390" cy="3229610"/>
                  <wp:effectExtent l="0" t="0" r="10160" b="889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18"/>
                          <a:stretch>
                            <a:fillRect/>
                          </a:stretch>
                        </pic:blipFill>
                        <pic:spPr>
                          <a:xfrm>
                            <a:off x="0" y="0"/>
                            <a:ext cx="4390390" cy="3229610"/>
                          </a:xfrm>
                          <a:prstGeom prst="rect">
                            <a:avLst/>
                          </a:prstGeom>
                          <a:noFill/>
                          <a:ln>
                            <a:noFill/>
                          </a:ln>
                        </pic:spPr>
                      </pic:pic>
                    </a:graphicData>
                  </a:graphic>
                </wp:inline>
              </w:drawing>
            </w:r>
          </w:p>
          <w:p w14:paraId="5A2D1BE2">
            <w:pPr>
              <w:pStyle w:val="84"/>
              <w:ind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eastAsia="zh-CN"/>
              </w:rPr>
              <w:t>—</w:t>
            </w:r>
            <w:r>
              <w:rPr>
                <w:rFonts w:hint="eastAsia"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本项目在庆安县庆安镇声功能区划图的位置</w:t>
            </w:r>
          </w:p>
          <w:p w14:paraId="71028FCF">
            <w:pPr>
              <w:adjustRightInd w:val="0"/>
              <w:snapToGrid w:val="0"/>
              <w:spacing w:line="500" w:lineRule="exact"/>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二、</w:t>
            </w:r>
            <w:r>
              <w:rPr>
                <w:rFonts w:hint="default" w:ascii="Times New Roman" w:hAnsi="Times New Roman" w:cs="Times New Roman"/>
                <w:b/>
                <w:bCs/>
                <w:color w:val="auto"/>
                <w:kern w:val="0"/>
                <w:sz w:val="24"/>
                <w:highlight w:val="none"/>
              </w:rPr>
              <w:t>污染物排放标准</w:t>
            </w:r>
          </w:p>
          <w:p w14:paraId="1DB30C53">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1、大气污染物排放标准</w:t>
            </w:r>
          </w:p>
          <w:p w14:paraId="2363B433">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施工大气污染物排放执行《大气污染物综合排放标准》（GB16297</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1996）无组织排放监控限值。</w:t>
            </w:r>
          </w:p>
          <w:p w14:paraId="1D65DF1D">
            <w:pPr>
              <w:adjustRightInd w:val="0"/>
              <w:snapToGrid w:val="0"/>
              <w:spacing w:line="500" w:lineRule="exact"/>
              <w:ind w:firstLine="422" w:firstLineChars="200"/>
              <w:jc w:val="center"/>
              <w:rPr>
                <w:rFonts w:hint="default" w:ascii="Times New Roman" w:hAnsi="Times New Roman" w:cs="Times New Roman"/>
                <w:b/>
                <w:color w:val="auto"/>
                <w:kern w:val="0"/>
                <w:sz w:val="21"/>
                <w:szCs w:val="21"/>
                <w:highlight w:val="none"/>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lang w:val="en-US" w:eastAsia="zh-CN"/>
              </w:rPr>
              <w:t xml:space="preserve">9  </w:t>
            </w:r>
            <w:r>
              <w:rPr>
                <w:rFonts w:hint="default" w:ascii="Times New Roman" w:hAnsi="Times New Roman" w:cs="Times New Roman"/>
                <w:b/>
                <w:color w:val="auto"/>
                <w:kern w:val="0"/>
                <w:sz w:val="21"/>
                <w:szCs w:val="21"/>
                <w:highlight w:val="none"/>
              </w:rPr>
              <w:t>《大气污染物综合排放标准》（GB16297</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1996）</w:t>
            </w:r>
          </w:p>
          <w:tbl>
            <w:tblPr>
              <w:tblStyle w:val="25"/>
              <w:tblpPr w:leftFromText="180" w:rightFromText="180" w:vertAnchor="text" w:horzAnchor="page" w:tblpXSpec="center" w:tblpY="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3260"/>
              <w:gridCol w:w="2610"/>
            </w:tblGrid>
            <w:tr w14:paraId="5501F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68" w:type="pct"/>
                  <w:tcBorders>
                    <w:top w:val="single" w:color="auto" w:sz="4" w:space="0"/>
                    <w:left w:val="single" w:color="auto" w:sz="0" w:space="0"/>
                  </w:tcBorders>
                  <w:noWrap w:val="0"/>
                  <w:vAlign w:val="top"/>
                </w:tcPr>
                <w:p w14:paraId="418ADF30">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2128" w:type="pct"/>
                  <w:tcBorders>
                    <w:top w:val="single" w:color="auto" w:sz="4" w:space="0"/>
                  </w:tcBorders>
                  <w:noWrap w:val="0"/>
                  <w:vAlign w:val="top"/>
                </w:tcPr>
                <w:p w14:paraId="045FD0E3">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无组织排放监控点</w:t>
                  </w:r>
                </w:p>
              </w:tc>
              <w:tc>
                <w:tcPr>
                  <w:tcW w:w="1704" w:type="pct"/>
                  <w:tcBorders>
                    <w:top w:val="single" w:color="auto" w:sz="4" w:space="0"/>
                    <w:right w:val="single" w:color="auto" w:sz="4" w:space="0"/>
                  </w:tcBorders>
                  <w:noWrap w:val="0"/>
                  <w:vAlign w:val="top"/>
                </w:tcPr>
                <w:p w14:paraId="14D4B36F">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p>
              </w:tc>
            </w:tr>
            <w:tr w14:paraId="0576C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8" w:hRule="atLeast"/>
                <w:jc w:val="center"/>
              </w:trPr>
              <w:tc>
                <w:tcPr>
                  <w:tcW w:w="1168" w:type="pct"/>
                  <w:tcBorders>
                    <w:left w:val="single" w:color="auto" w:sz="4" w:space="0"/>
                    <w:bottom w:val="single" w:color="auto" w:sz="4" w:space="0"/>
                  </w:tcBorders>
                  <w:noWrap w:val="0"/>
                  <w:vAlign w:val="top"/>
                </w:tcPr>
                <w:p w14:paraId="39B491A6">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2128" w:type="pct"/>
                  <w:tcBorders>
                    <w:bottom w:val="single" w:color="auto" w:sz="4" w:space="0"/>
                  </w:tcBorders>
                  <w:noWrap w:val="0"/>
                  <w:vAlign w:val="top"/>
                </w:tcPr>
                <w:p w14:paraId="731BB3A6">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周界外浓度最高点</w:t>
                  </w:r>
                </w:p>
              </w:tc>
              <w:tc>
                <w:tcPr>
                  <w:tcW w:w="1704" w:type="pct"/>
                  <w:tcBorders>
                    <w:bottom w:val="single" w:color="auto" w:sz="4" w:space="0"/>
                    <w:right w:val="single" w:color="auto" w:sz="4" w:space="0"/>
                  </w:tcBorders>
                  <w:noWrap w:val="0"/>
                  <w:vAlign w:val="top"/>
                </w:tcPr>
                <w:p w14:paraId="33ADCCBA">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g/</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p>
              </w:tc>
            </w:tr>
          </w:tbl>
          <w:p w14:paraId="3D65ACF0">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柴油发电机废气执行《非道路柴油移动机械排气烟度限值及测量方法》（GB36886</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2018）。</w:t>
            </w:r>
          </w:p>
          <w:p w14:paraId="507F7C2D">
            <w:pPr>
              <w:pStyle w:val="84"/>
              <w:ind w:firstLine="482"/>
              <w:jc w:val="center"/>
              <w:rPr>
                <w:rFonts w:hint="default" w:ascii="Times New Roman" w:hAnsi="Times New Roman" w:cs="Times New Roman"/>
                <w:b/>
                <w:bCs/>
                <w:color w:val="auto"/>
                <w:sz w:val="21"/>
                <w:szCs w:val="21"/>
                <w:highlight w:val="none"/>
              </w:rPr>
            </w:pPr>
          </w:p>
          <w:p w14:paraId="42DF93F2">
            <w:pPr>
              <w:pStyle w:val="84"/>
              <w:ind w:firstLine="482"/>
              <w:jc w:val="center"/>
              <w:rPr>
                <w:rFonts w:hint="default" w:ascii="Times New Roman" w:hAnsi="Times New Roman" w:cs="Times New Roman"/>
                <w:b/>
                <w:bCs/>
                <w:color w:val="auto"/>
                <w:sz w:val="21"/>
                <w:szCs w:val="21"/>
                <w:highlight w:val="none"/>
              </w:rPr>
            </w:pPr>
          </w:p>
          <w:p w14:paraId="0CF080E9">
            <w:pPr>
              <w:pStyle w:val="84"/>
              <w:ind w:firstLine="48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val="en-US" w:eastAsia="zh-CN"/>
              </w:rPr>
              <w:t xml:space="preserve">0  </w:t>
            </w:r>
            <w:r>
              <w:rPr>
                <w:rFonts w:hint="default" w:ascii="Times New Roman" w:hAnsi="Times New Roman" w:cs="Times New Roman"/>
                <w:b/>
                <w:bCs/>
                <w:color w:val="auto"/>
                <w:sz w:val="21"/>
                <w:szCs w:val="21"/>
                <w:highlight w:val="none"/>
              </w:rPr>
              <w:t>《非道路移动柴油机械排气烟度限值及测量方法》</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1"/>
              <w:gridCol w:w="1914"/>
              <w:gridCol w:w="1912"/>
              <w:gridCol w:w="1912"/>
            </w:tblGrid>
            <w:tr w14:paraId="5AFC8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noWrap w:val="0"/>
                  <w:vAlign w:val="center"/>
                </w:tcPr>
                <w:p w14:paraId="2804B822">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1251" w:type="pct"/>
                  <w:noWrap w:val="0"/>
                  <w:vAlign w:val="center"/>
                </w:tcPr>
                <w:p w14:paraId="31D27DC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额定净功率（</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）/kW</w:t>
                  </w:r>
                </w:p>
              </w:tc>
              <w:tc>
                <w:tcPr>
                  <w:tcW w:w="1250" w:type="pct"/>
                  <w:noWrap w:val="0"/>
                  <w:vAlign w:val="center"/>
                </w:tcPr>
                <w:p w14:paraId="25ED258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光吸收系数/</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w:t>
                  </w:r>
                  <w:r>
                    <w:rPr>
                      <w:rFonts w:hint="default" w:ascii="Times New Roman" w:hAnsi="Times New Roman" w:cs="Times New Roman"/>
                      <w:color w:val="auto"/>
                      <w:highlight w:val="none"/>
                      <w:vertAlign w:val="superscript"/>
                    </w:rPr>
                    <w:t>1</w:t>
                  </w:r>
                </w:p>
              </w:tc>
              <w:tc>
                <w:tcPr>
                  <w:tcW w:w="1250" w:type="pct"/>
                  <w:noWrap w:val="0"/>
                  <w:vAlign w:val="center"/>
                </w:tcPr>
                <w:p w14:paraId="3ED0931B">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林格曼黑度级数</w:t>
                  </w:r>
                </w:p>
              </w:tc>
            </w:tr>
            <w:tr w14:paraId="05609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7C0664D9">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w:t>
                  </w:r>
                </w:p>
              </w:tc>
              <w:tc>
                <w:tcPr>
                  <w:tcW w:w="1251" w:type="pct"/>
                  <w:noWrap w:val="0"/>
                  <w:vAlign w:val="center"/>
                </w:tcPr>
                <w:p w14:paraId="13FF833D">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19</w:t>
                  </w:r>
                </w:p>
              </w:tc>
              <w:tc>
                <w:tcPr>
                  <w:tcW w:w="1250" w:type="pct"/>
                  <w:noWrap w:val="0"/>
                  <w:vAlign w:val="center"/>
                </w:tcPr>
                <w:p w14:paraId="64B94A46">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1250" w:type="pct"/>
                  <w:vMerge w:val="restart"/>
                  <w:noWrap w:val="0"/>
                  <w:vAlign w:val="center"/>
                </w:tcPr>
                <w:p w14:paraId="799211B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1120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48E50499">
                  <w:pPr>
                    <w:pStyle w:val="87"/>
                    <w:rPr>
                      <w:rFonts w:hint="default" w:ascii="Times New Roman" w:hAnsi="Times New Roman" w:cs="Times New Roman"/>
                      <w:color w:val="auto"/>
                      <w:highlight w:val="none"/>
                    </w:rPr>
                  </w:pPr>
                </w:p>
              </w:tc>
              <w:tc>
                <w:tcPr>
                  <w:tcW w:w="1251" w:type="pct"/>
                  <w:noWrap w:val="0"/>
                  <w:vAlign w:val="center"/>
                </w:tcPr>
                <w:p w14:paraId="4B55DEB9">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17</w:t>
                  </w:r>
                </w:p>
              </w:tc>
              <w:tc>
                <w:tcPr>
                  <w:tcW w:w="1250" w:type="pct"/>
                  <w:noWrap w:val="0"/>
                  <w:vAlign w:val="center"/>
                </w:tcPr>
                <w:p w14:paraId="5A8A518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250" w:type="pct"/>
                  <w:vMerge w:val="continue"/>
                  <w:noWrap w:val="0"/>
                  <w:vAlign w:val="center"/>
                </w:tcPr>
                <w:p w14:paraId="4456E891">
                  <w:pPr>
                    <w:pStyle w:val="87"/>
                    <w:rPr>
                      <w:rFonts w:hint="default" w:ascii="Times New Roman" w:hAnsi="Times New Roman" w:cs="Times New Roman"/>
                      <w:color w:val="auto"/>
                      <w:highlight w:val="none"/>
                    </w:rPr>
                  </w:pPr>
                </w:p>
              </w:tc>
            </w:tr>
            <w:tr w14:paraId="4892A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3C23F707">
                  <w:pPr>
                    <w:pStyle w:val="87"/>
                    <w:rPr>
                      <w:rFonts w:hint="default" w:ascii="Times New Roman" w:hAnsi="Times New Roman" w:cs="Times New Roman"/>
                      <w:color w:val="auto"/>
                      <w:highlight w:val="none"/>
                    </w:rPr>
                  </w:pPr>
                </w:p>
              </w:tc>
              <w:tc>
                <w:tcPr>
                  <w:tcW w:w="1251" w:type="pct"/>
                  <w:noWrap w:val="0"/>
                  <w:vAlign w:val="center"/>
                </w:tcPr>
                <w:p w14:paraId="09BDF956">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560</w:t>
                  </w:r>
                </w:p>
              </w:tc>
              <w:tc>
                <w:tcPr>
                  <w:tcW w:w="1250" w:type="pct"/>
                  <w:noWrap w:val="0"/>
                  <w:vAlign w:val="center"/>
                </w:tcPr>
                <w:p w14:paraId="5DF9FBF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1.61</w:t>
                  </w:r>
                </w:p>
              </w:tc>
              <w:tc>
                <w:tcPr>
                  <w:tcW w:w="1250" w:type="pct"/>
                  <w:vMerge w:val="continue"/>
                  <w:noWrap w:val="0"/>
                  <w:vAlign w:val="center"/>
                </w:tcPr>
                <w:p w14:paraId="7871E0DC">
                  <w:pPr>
                    <w:pStyle w:val="87"/>
                    <w:rPr>
                      <w:rFonts w:hint="default" w:ascii="Times New Roman" w:hAnsi="Times New Roman" w:cs="Times New Roman"/>
                      <w:color w:val="auto"/>
                      <w:highlight w:val="none"/>
                    </w:rPr>
                  </w:pPr>
                </w:p>
              </w:tc>
            </w:tr>
            <w:tr w14:paraId="1F82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0398409F">
                  <w:pPr>
                    <w:pStyle w:val="87"/>
                    <w:rPr>
                      <w:rFonts w:hint="default" w:ascii="Times New Roman" w:hAnsi="Times New Roman" w:cs="Times New Roman"/>
                      <w:color w:val="auto"/>
                      <w:highlight w:val="none"/>
                    </w:rPr>
                  </w:pPr>
                  <w:r>
                    <w:rPr>
                      <w:rFonts w:hint="default" w:ascii="Times New Roman" w:hAnsi="Times New Roman" w:eastAsia="微软雅黑" w:cs="Times New Roman"/>
                      <w:color w:val="auto"/>
                      <w:highlight w:val="none"/>
                    </w:rPr>
                    <w:t>Ⅱ</w:t>
                  </w:r>
                  <w:r>
                    <w:rPr>
                      <w:rFonts w:hint="default" w:ascii="Times New Roman" w:hAnsi="Times New Roman" w:cs="Times New Roman"/>
                      <w:color w:val="auto"/>
                      <w:highlight w:val="none"/>
                    </w:rPr>
                    <w:t>类</w:t>
                  </w:r>
                </w:p>
              </w:tc>
              <w:tc>
                <w:tcPr>
                  <w:tcW w:w="1251" w:type="pct"/>
                  <w:noWrap w:val="0"/>
                  <w:vAlign w:val="center"/>
                </w:tcPr>
                <w:p w14:paraId="344FE0B2">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19</w:t>
                  </w:r>
                </w:p>
              </w:tc>
              <w:tc>
                <w:tcPr>
                  <w:tcW w:w="1250" w:type="pct"/>
                  <w:noWrap w:val="0"/>
                  <w:vAlign w:val="center"/>
                </w:tcPr>
                <w:p w14:paraId="3FDE21EE">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250" w:type="pct"/>
                  <w:noWrap w:val="0"/>
                  <w:vAlign w:val="center"/>
                </w:tcPr>
                <w:p w14:paraId="2394B1A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217A0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48C18F4F">
                  <w:pPr>
                    <w:pStyle w:val="87"/>
                    <w:rPr>
                      <w:rFonts w:hint="default" w:ascii="Times New Roman" w:hAnsi="Times New Roman" w:cs="Times New Roman"/>
                      <w:color w:val="auto"/>
                      <w:highlight w:val="none"/>
                    </w:rPr>
                  </w:pPr>
                </w:p>
              </w:tc>
              <w:tc>
                <w:tcPr>
                  <w:tcW w:w="1251" w:type="pct"/>
                  <w:noWrap w:val="0"/>
                  <w:vAlign w:val="center"/>
                </w:tcPr>
                <w:p w14:paraId="6FCB991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37</w:t>
                  </w:r>
                </w:p>
              </w:tc>
              <w:tc>
                <w:tcPr>
                  <w:tcW w:w="1250" w:type="pct"/>
                  <w:noWrap w:val="0"/>
                  <w:vAlign w:val="center"/>
                </w:tcPr>
                <w:p w14:paraId="47F9045D">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250" w:type="pct"/>
                  <w:vMerge w:val="restart"/>
                  <w:noWrap w:val="0"/>
                  <w:vAlign w:val="center"/>
                </w:tcPr>
                <w:p w14:paraId="5113067C">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51B51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0D86E3EA">
                  <w:pPr>
                    <w:pStyle w:val="87"/>
                    <w:rPr>
                      <w:rFonts w:hint="default" w:ascii="Times New Roman" w:hAnsi="Times New Roman" w:cs="Times New Roman"/>
                      <w:color w:val="auto"/>
                      <w:highlight w:val="none"/>
                    </w:rPr>
                  </w:pPr>
                </w:p>
              </w:tc>
              <w:tc>
                <w:tcPr>
                  <w:tcW w:w="1251" w:type="pct"/>
                  <w:noWrap w:val="0"/>
                  <w:vAlign w:val="center"/>
                </w:tcPr>
                <w:p w14:paraId="4649E095">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≥37</w:t>
                  </w:r>
                </w:p>
              </w:tc>
              <w:tc>
                <w:tcPr>
                  <w:tcW w:w="1250" w:type="pct"/>
                  <w:noWrap w:val="0"/>
                  <w:vAlign w:val="center"/>
                </w:tcPr>
                <w:p w14:paraId="38A6A8CF">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0.80</w:t>
                  </w:r>
                </w:p>
              </w:tc>
              <w:tc>
                <w:tcPr>
                  <w:tcW w:w="1250" w:type="pct"/>
                  <w:vMerge w:val="continue"/>
                  <w:noWrap w:val="0"/>
                  <w:vAlign w:val="center"/>
                </w:tcPr>
                <w:p w14:paraId="5DB8382B">
                  <w:pPr>
                    <w:pStyle w:val="87"/>
                    <w:rPr>
                      <w:rFonts w:hint="default" w:ascii="Times New Roman" w:hAnsi="Times New Roman" w:cs="Times New Roman"/>
                      <w:color w:val="auto"/>
                      <w:highlight w:val="none"/>
                    </w:rPr>
                  </w:pPr>
                </w:p>
              </w:tc>
            </w:tr>
            <w:tr w14:paraId="6CE2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restart"/>
                  <w:noWrap w:val="0"/>
                  <w:vAlign w:val="center"/>
                </w:tcPr>
                <w:p w14:paraId="1BBCCC65">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ROMAN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III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类</w:t>
                  </w:r>
                </w:p>
              </w:tc>
              <w:tc>
                <w:tcPr>
                  <w:tcW w:w="1251" w:type="pct"/>
                  <w:noWrap w:val="0"/>
                  <w:vAlign w:val="center"/>
                </w:tcPr>
                <w:p w14:paraId="75E64893">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rPr>
                    <w:t>≥37</w:t>
                  </w:r>
                </w:p>
              </w:tc>
              <w:tc>
                <w:tcPr>
                  <w:tcW w:w="1250" w:type="pct"/>
                  <w:noWrap w:val="0"/>
                  <w:vAlign w:val="center"/>
                </w:tcPr>
                <w:p w14:paraId="18DDE201">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c>
                <w:tcPr>
                  <w:tcW w:w="1250" w:type="pct"/>
                  <w:vMerge w:val="restart"/>
                  <w:noWrap w:val="0"/>
                  <w:vAlign w:val="center"/>
                </w:tcPr>
                <w:p w14:paraId="3536C898">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14:paraId="26786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49" w:type="pct"/>
                  <w:vMerge w:val="continue"/>
                  <w:noWrap w:val="0"/>
                  <w:vAlign w:val="center"/>
                </w:tcPr>
                <w:p w14:paraId="7CA0A0CE">
                  <w:pPr>
                    <w:pStyle w:val="87"/>
                    <w:rPr>
                      <w:rFonts w:hint="default" w:ascii="Times New Roman" w:hAnsi="Times New Roman" w:cs="Times New Roman"/>
                      <w:color w:val="auto"/>
                      <w:highlight w:val="none"/>
                    </w:rPr>
                  </w:pPr>
                </w:p>
              </w:tc>
              <w:tc>
                <w:tcPr>
                  <w:tcW w:w="1251" w:type="pct"/>
                  <w:noWrap w:val="0"/>
                  <w:vAlign w:val="center"/>
                </w:tcPr>
                <w:p w14:paraId="0B42926B">
                  <w:pPr>
                    <w:pStyle w:val="87"/>
                    <w:rPr>
                      <w:rFonts w:hint="default" w:ascii="Times New Roman" w:hAnsi="Times New Roman" w:cs="Times New Roman"/>
                      <w:color w:val="auto"/>
                      <w:highlight w:val="none"/>
                    </w:rPr>
                  </w:pPr>
                  <w:r>
                    <w:rPr>
                      <w:rFonts w:hint="default" w:ascii="Times New Roman" w:hAnsi="Times New Roman" w:cs="Times New Roman"/>
                      <w:i/>
                      <w:iCs/>
                      <w:color w:val="auto"/>
                      <w:highlight w:val="none"/>
                    </w:rPr>
                    <w:t>P</w:t>
                  </w:r>
                  <w:r>
                    <w:rPr>
                      <w:rFonts w:hint="default" w:ascii="Times New Roman" w:hAnsi="Times New Roman" w:cs="Times New Roman"/>
                      <w:color w:val="auto"/>
                      <w:highlight w:val="none"/>
                      <w:vertAlign w:val="subscript"/>
                      <w:lang w:eastAsia="zh-CN"/>
                    </w:rPr>
                    <w:t>m</w:t>
                  </w:r>
                  <w:r>
                    <w:rPr>
                      <w:rFonts w:hint="default" w:ascii="Times New Roman" w:hAnsi="Times New Roman" w:cs="Times New Roman"/>
                      <w:color w:val="auto"/>
                      <w:highlight w:val="none"/>
                      <w:vertAlign w:val="subscript"/>
                    </w:rPr>
                    <w:t>ax</w:t>
                  </w:r>
                  <w:r>
                    <w:rPr>
                      <w:rFonts w:hint="default" w:ascii="Times New Roman" w:hAnsi="Times New Roman" w:cs="Times New Roman"/>
                      <w:color w:val="auto"/>
                      <w:highlight w:val="none"/>
                      <w:lang w:eastAsia="zh-CN"/>
                    </w:rPr>
                    <w:t>&lt;</w:t>
                  </w:r>
                  <w:r>
                    <w:rPr>
                      <w:rFonts w:hint="default" w:ascii="Times New Roman" w:hAnsi="Times New Roman" w:cs="Times New Roman"/>
                      <w:color w:val="auto"/>
                      <w:highlight w:val="none"/>
                    </w:rPr>
                    <w:t>37</w:t>
                  </w:r>
                </w:p>
              </w:tc>
              <w:tc>
                <w:tcPr>
                  <w:tcW w:w="1250" w:type="pct"/>
                  <w:noWrap w:val="0"/>
                  <w:vAlign w:val="center"/>
                </w:tcPr>
                <w:p w14:paraId="4520B26E">
                  <w:pPr>
                    <w:pStyle w:val="87"/>
                    <w:rPr>
                      <w:rFonts w:hint="default" w:ascii="Times New Roman" w:hAnsi="Times New Roman" w:cs="Times New Roman"/>
                      <w:color w:val="auto"/>
                      <w:highlight w:val="none"/>
                    </w:rPr>
                  </w:pPr>
                  <w:r>
                    <w:rPr>
                      <w:rFonts w:hint="default" w:ascii="Times New Roman" w:hAnsi="Times New Roman" w:cs="Times New Roman"/>
                      <w:color w:val="auto"/>
                      <w:highlight w:val="none"/>
                    </w:rPr>
                    <w:t>0.80</w:t>
                  </w:r>
                </w:p>
              </w:tc>
              <w:tc>
                <w:tcPr>
                  <w:tcW w:w="1250" w:type="pct"/>
                  <w:vMerge w:val="continue"/>
                  <w:noWrap w:val="0"/>
                  <w:vAlign w:val="center"/>
                </w:tcPr>
                <w:p w14:paraId="424D079B">
                  <w:pPr>
                    <w:pStyle w:val="87"/>
                    <w:rPr>
                      <w:rFonts w:hint="default" w:ascii="Times New Roman" w:hAnsi="Times New Roman" w:cs="Times New Roman"/>
                      <w:color w:val="auto"/>
                      <w:highlight w:val="none"/>
                    </w:rPr>
                  </w:pPr>
                </w:p>
              </w:tc>
            </w:tr>
          </w:tbl>
          <w:p w14:paraId="6C1A7C5E">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2、噪声排放标准</w:t>
            </w:r>
          </w:p>
          <w:p w14:paraId="0C80CC37">
            <w:pPr>
              <w:adjustRightInd w:val="0"/>
              <w:snapToGrid w:val="0"/>
              <w:spacing w:line="50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施工期噪声执行</w:t>
            </w:r>
            <w:r>
              <w:rPr>
                <w:rFonts w:hint="default" w:ascii="Times New Roman" w:hAnsi="Times New Roman" w:cs="Times New Roman"/>
                <w:color w:val="auto"/>
                <w:kern w:val="0"/>
                <w:sz w:val="24"/>
                <w:highlight w:val="none"/>
                <w:lang w:eastAsia="zh-CN"/>
              </w:rPr>
              <w:t>《建筑施工噪声排放标准》（GB12523—2025）</w:t>
            </w:r>
            <w:r>
              <w:rPr>
                <w:rFonts w:hint="default" w:ascii="Times New Roman" w:hAnsi="Times New Roman" w:cs="Times New Roman"/>
                <w:color w:val="auto"/>
                <w:kern w:val="0"/>
                <w:sz w:val="24"/>
                <w:highlight w:val="none"/>
              </w:rPr>
              <w:t>。</w:t>
            </w:r>
          </w:p>
          <w:p w14:paraId="357CC9D1">
            <w:pPr>
              <w:adjustRightInd w:val="0"/>
              <w:snapToGrid w:val="0"/>
              <w:spacing w:line="500" w:lineRule="exact"/>
              <w:ind w:firstLine="422" w:firstLineChars="200"/>
              <w:jc w:val="center"/>
              <w:rPr>
                <w:rFonts w:hint="default" w:ascii="Times New Roman" w:hAnsi="Times New Roman" w:eastAsia="宋体" w:cs="Times New Roman"/>
                <w:b/>
                <w:color w:val="auto"/>
                <w:kern w:val="0"/>
                <w:sz w:val="21"/>
                <w:szCs w:val="21"/>
                <w:highlight w:val="none"/>
                <w:lang w:eastAsia="zh-CN"/>
              </w:rPr>
            </w:pPr>
            <w:r>
              <w:rPr>
                <w:rFonts w:hint="default" w:ascii="Times New Roman" w:hAnsi="Times New Roman" w:cs="Times New Roman"/>
                <w:b/>
                <w:color w:val="auto"/>
                <w:kern w:val="0"/>
                <w:sz w:val="21"/>
                <w:szCs w:val="21"/>
                <w:highlight w:val="none"/>
              </w:rPr>
              <w:t>表3</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cs="Times New Roman"/>
                <w:b/>
                <w:color w:val="auto"/>
                <w:kern w:val="0"/>
                <w:sz w:val="21"/>
                <w:szCs w:val="21"/>
                <w:highlight w:val="none"/>
              </w:rPr>
              <w:t>1</w:t>
            </w:r>
            <w:r>
              <w:rPr>
                <w:rFonts w:hint="default" w:ascii="Times New Roman" w:hAnsi="Times New Roman" w:cs="Times New Roman"/>
                <w:b/>
                <w:color w:val="auto"/>
                <w:kern w:val="0"/>
                <w:sz w:val="21"/>
                <w:szCs w:val="21"/>
                <w:highlight w:val="none"/>
                <w:lang w:val="en-US" w:eastAsia="zh-CN"/>
              </w:rPr>
              <w:t xml:space="preserve">1  </w:t>
            </w:r>
            <w:r>
              <w:rPr>
                <w:rFonts w:hint="default" w:ascii="Times New Roman" w:hAnsi="Times New Roman" w:cs="Times New Roman"/>
                <w:b/>
                <w:color w:val="auto"/>
                <w:kern w:val="0"/>
                <w:sz w:val="21"/>
                <w:szCs w:val="21"/>
                <w:highlight w:val="none"/>
                <w:lang w:eastAsia="zh-CN"/>
              </w:rPr>
              <w:t>《建筑施工噪声排放标准》（GB12523—2025）</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67"/>
              <w:gridCol w:w="3782"/>
            </w:tblGrid>
            <w:tr w14:paraId="76E8E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jc w:val="center"/>
              </w:trPr>
              <w:tc>
                <w:tcPr>
                  <w:tcW w:w="2528" w:type="pct"/>
                  <w:noWrap w:val="0"/>
                  <w:vAlign w:val="top"/>
                </w:tcPr>
                <w:p w14:paraId="01472704">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2472" w:type="pct"/>
                  <w:noWrap w:val="0"/>
                  <w:vAlign w:val="top"/>
                </w:tcPr>
                <w:p w14:paraId="231340E9">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0491D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528" w:type="pct"/>
                  <w:noWrap w:val="0"/>
                  <w:vAlign w:val="top"/>
                </w:tcPr>
                <w:p w14:paraId="7F97064D">
                  <w:pPr>
                    <w:pStyle w:val="57"/>
                    <w:adjustRightInd w:val="0"/>
                    <w:snapToGrid w:val="0"/>
                    <w:spacing w:line="400" w:lineRule="exact"/>
                    <w:jc w:val="center"/>
                    <w:rPr>
                      <w:rFonts w:hint="default" w:ascii="Times New Roman" w:hAnsi="Times New Roman" w:cs="Times New Roman"/>
                      <w:b/>
                      <w:color w:val="auto"/>
                      <w:highlight w:val="none"/>
                    </w:rPr>
                  </w:pPr>
                  <w:r>
                    <w:rPr>
                      <w:rFonts w:hint="default" w:ascii="Times New Roman" w:hAnsi="Times New Roman" w:cs="Times New Roman"/>
                      <w:color w:val="auto"/>
                      <w:highlight w:val="none"/>
                    </w:rPr>
                    <w:t>70</w:t>
                  </w:r>
                  <w:r>
                    <w:rPr>
                      <w:rFonts w:hint="default" w:ascii="Times New Roman" w:hAnsi="Times New Roman" w:cs="Times New Roman"/>
                      <w:bCs/>
                      <w:color w:val="auto"/>
                      <w:highlight w:val="none"/>
                    </w:rPr>
                    <w:t>dB（A）</w:t>
                  </w:r>
                </w:p>
              </w:tc>
              <w:tc>
                <w:tcPr>
                  <w:tcW w:w="2472" w:type="pct"/>
                  <w:noWrap w:val="0"/>
                  <w:vAlign w:val="top"/>
                </w:tcPr>
                <w:p w14:paraId="10D0E06E">
                  <w:pPr>
                    <w:pStyle w:val="57"/>
                    <w:adjustRightInd w:val="0"/>
                    <w:snapToGrid w:val="0"/>
                    <w:spacing w:line="40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r>
                    <w:rPr>
                      <w:rFonts w:hint="default" w:ascii="Times New Roman" w:hAnsi="Times New Roman" w:cs="Times New Roman"/>
                      <w:bCs/>
                      <w:color w:val="auto"/>
                      <w:highlight w:val="none"/>
                    </w:rPr>
                    <w:t>dB（A）</w:t>
                  </w:r>
                </w:p>
              </w:tc>
            </w:tr>
          </w:tbl>
          <w:p w14:paraId="073ADFE0">
            <w:pPr>
              <w:adjustRightInd w:val="0"/>
              <w:snapToGrid w:val="0"/>
              <w:spacing w:line="500" w:lineRule="exact"/>
              <w:ind w:firstLine="482" w:firstLineChars="200"/>
              <w:rPr>
                <w:rFonts w:hint="default" w:ascii="Times New Roman" w:hAnsi="Times New Roman" w:eastAsia="宋体" w:cs="Times New Roman"/>
                <w:b/>
                <w:bCs/>
                <w:color w:val="auto"/>
                <w:kern w:val="0"/>
                <w:sz w:val="24"/>
                <w:highlight w:val="none"/>
                <w:lang w:val="en-US" w:eastAsia="zh-CN"/>
              </w:rPr>
            </w:pPr>
            <w:bookmarkStart w:id="46" w:name="_Toc3119"/>
            <w:r>
              <w:rPr>
                <w:rFonts w:hint="default" w:ascii="Times New Roman" w:hAnsi="Times New Roman" w:cs="Times New Roman"/>
                <w:b/>
                <w:bCs/>
                <w:color w:val="auto"/>
                <w:kern w:val="0"/>
                <w:sz w:val="24"/>
                <w:highlight w:val="none"/>
                <w:lang w:val="en-US" w:eastAsia="zh-CN"/>
              </w:rPr>
              <w:t>3、固体废物执行标准</w:t>
            </w:r>
          </w:p>
          <w:p w14:paraId="47404A8E">
            <w:pPr>
              <w:pStyle w:val="84"/>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一般工业固体废弃物执行《一般工业固体废物贮存和填埋污染控制标准》（GB18599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2020</w:t>
            </w:r>
            <w:bookmarkEnd w:id="46"/>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固体废物分类与代码目录</w:t>
            </w:r>
            <w:r>
              <w:rPr>
                <w:rFonts w:hint="default" w:ascii="Times New Roman" w:hAnsi="Times New Roman" w:cs="Times New Roman"/>
                <w:color w:val="auto"/>
                <w:highlight w:val="none"/>
                <w:lang w:eastAsia="zh-CN"/>
              </w:rPr>
              <w:t>》。</w:t>
            </w:r>
          </w:p>
        </w:tc>
      </w:tr>
      <w:tr w14:paraId="00C6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381" w:type="pct"/>
            <w:noWrap w:val="0"/>
            <w:vAlign w:val="center"/>
          </w:tcPr>
          <w:p w14:paraId="701AE322">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其他</w:t>
            </w:r>
          </w:p>
        </w:tc>
        <w:tc>
          <w:tcPr>
            <w:tcW w:w="4619" w:type="pct"/>
            <w:noWrap w:val="0"/>
            <w:vAlign w:val="top"/>
          </w:tcPr>
          <w:p w14:paraId="075306E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p w14:paraId="1AD5BB5F">
            <w:pPr>
              <w:pStyle w:val="34"/>
              <w:rPr>
                <w:rFonts w:hint="default" w:ascii="Times New Roman" w:hAnsi="Times New Roman" w:cs="Times New Roman"/>
                <w:color w:val="auto"/>
                <w:kern w:val="0"/>
                <w:sz w:val="24"/>
                <w:highlight w:val="none"/>
              </w:rPr>
            </w:pPr>
          </w:p>
          <w:p w14:paraId="0C72ADC9">
            <w:pPr>
              <w:pStyle w:val="34"/>
              <w:rPr>
                <w:rFonts w:hint="default" w:ascii="Times New Roman" w:hAnsi="Times New Roman" w:cs="Times New Roman"/>
                <w:color w:val="auto"/>
                <w:kern w:val="0"/>
                <w:sz w:val="24"/>
                <w:highlight w:val="none"/>
              </w:rPr>
            </w:pPr>
          </w:p>
          <w:p w14:paraId="71EB5B2A">
            <w:pPr>
              <w:pStyle w:val="34"/>
              <w:rPr>
                <w:rFonts w:hint="default" w:ascii="Times New Roman" w:hAnsi="Times New Roman" w:cs="Times New Roman"/>
                <w:color w:val="auto"/>
                <w:kern w:val="0"/>
                <w:sz w:val="24"/>
                <w:highlight w:val="none"/>
              </w:rPr>
            </w:pPr>
          </w:p>
          <w:p w14:paraId="31146A07">
            <w:pPr>
              <w:pStyle w:val="34"/>
              <w:rPr>
                <w:rFonts w:hint="default" w:ascii="Times New Roman" w:hAnsi="Times New Roman" w:cs="Times New Roman"/>
                <w:color w:val="auto"/>
                <w:kern w:val="0"/>
                <w:sz w:val="24"/>
                <w:highlight w:val="none"/>
              </w:rPr>
            </w:pPr>
          </w:p>
          <w:p w14:paraId="45063DB5">
            <w:pPr>
              <w:pStyle w:val="34"/>
              <w:rPr>
                <w:rFonts w:hint="default" w:ascii="Times New Roman" w:hAnsi="Times New Roman" w:cs="Times New Roman"/>
                <w:color w:val="auto"/>
                <w:kern w:val="0"/>
                <w:sz w:val="24"/>
                <w:highlight w:val="none"/>
              </w:rPr>
            </w:pPr>
          </w:p>
          <w:p w14:paraId="4C6A1338">
            <w:pPr>
              <w:pStyle w:val="34"/>
              <w:rPr>
                <w:rFonts w:hint="default" w:ascii="Times New Roman" w:hAnsi="Times New Roman" w:cs="Times New Roman"/>
                <w:color w:val="auto"/>
                <w:kern w:val="0"/>
                <w:sz w:val="24"/>
                <w:highlight w:val="none"/>
              </w:rPr>
            </w:pPr>
          </w:p>
          <w:p w14:paraId="7246AF02">
            <w:pPr>
              <w:pStyle w:val="34"/>
              <w:rPr>
                <w:rFonts w:hint="default" w:ascii="Times New Roman" w:hAnsi="Times New Roman" w:cs="Times New Roman"/>
                <w:color w:val="auto"/>
                <w:kern w:val="0"/>
                <w:sz w:val="24"/>
                <w:highlight w:val="none"/>
              </w:rPr>
            </w:pPr>
          </w:p>
        </w:tc>
      </w:tr>
    </w:tbl>
    <w:p w14:paraId="43BA1E78">
      <w:pPr>
        <w:pStyle w:val="4"/>
        <w:bidi w:val="0"/>
        <w:jc w:val="center"/>
        <w:rPr>
          <w:rFonts w:hint="default" w:ascii="Times New Roman" w:hAnsi="Times New Roman" w:cs="Times New Roman"/>
          <w:b/>
          <w:snapToGrid w:val="0"/>
          <w:color w:val="auto"/>
          <w:szCs w:val="30"/>
          <w:highlight w:val="none"/>
        </w:rPr>
      </w:pPr>
      <w:r>
        <w:rPr>
          <w:rFonts w:hint="default" w:ascii="Times New Roman" w:hAnsi="Times New Roman" w:cs="Times New Roman"/>
          <w:snapToGrid w:val="0"/>
          <w:color w:val="auto"/>
          <w:kern w:val="2"/>
          <w:szCs w:val="36"/>
          <w:highlight w:val="none"/>
        </w:rPr>
        <w:br w:type="page"/>
      </w:r>
      <w:bookmarkStart w:id="47" w:name="_Toc8938"/>
      <w:bookmarkStart w:id="48" w:name="_Toc28550"/>
      <w:r>
        <w:rPr>
          <w:rFonts w:hint="default" w:ascii="Times New Roman" w:hAnsi="Times New Roman" w:eastAsia="宋体" w:cs="Times New Roman"/>
          <w:highlight w:val="none"/>
        </w:rPr>
        <w:t>四、生态环境影响分析</w:t>
      </w:r>
      <w:bookmarkEnd w:id="47"/>
      <w:bookmarkEnd w:id="48"/>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7638"/>
      </w:tblGrid>
      <w:tr w14:paraId="1DF8E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476" w:type="pct"/>
            <w:tcBorders>
              <w:top w:val="single" w:color="auto" w:sz="8"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75C6E6B3">
            <w:pPr>
              <w:widowControl/>
              <w:adjustRightInd w:val="0"/>
              <w:snapToGrid w:val="0"/>
              <w:jc w:val="center"/>
              <w:rPr>
                <w:rFonts w:hint="default" w:ascii="Times New Roman" w:hAnsi="Times New Roman" w:cs="Times New Roman"/>
                <w:bCs/>
                <w:color w:val="auto"/>
                <w:sz w:val="24"/>
                <w:highlight w:val="none"/>
              </w:rPr>
            </w:pPr>
            <w:bookmarkStart w:id="49" w:name="_Hlk49796138"/>
            <w:r>
              <w:rPr>
                <w:rFonts w:hint="default" w:ascii="Times New Roman" w:hAnsi="Times New Roman" w:cs="Times New Roman"/>
                <w:bCs/>
                <w:color w:val="auto"/>
                <w:spacing w:val="10"/>
                <w:sz w:val="24"/>
                <w:highlight w:val="none"/>
              </w:rPr>
              <w:t>施工期生态环境影响分析</w:t>
            </w:r>
            <w:bookmarkEnd w:id="49"/>
          </w:p>
        </w:tc>
        <w:tc>
          <w:tcPr>
            <w:tcW w:w="4524" w:type="pct"/>
            <w:tcBorders>
              <w:top w:val="single" w:color="auto" w:sz="8" w:space="0"/>
              <w:left w:val="single" w:color="auto" w:sz="4" w:space="0"/>
              <w:bottom w:val="single" w:color="auto" w:sz="4" w:space="0"/>
              <w:right w:val="single" w:color="auto" w:sz="8" w:space="0"/>
            </w:tcBorders>
            <w:noWrap w:val="0"/>
            <w:vAlign w:val="top"/>
          </w:tcPr>
          <w:p w14:paraId="43AF2D10">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一、生态影响分析</w:t>
            </w:r>
          </w:p>
          <w:p w14:paraId="520F225D">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rPr>
              <w:t>工程占地的影响</w:t>
            </w:r>
          </w:p>
          <w:p w14:paraId="2431C5CD">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本次新增永久征收土地面积为41.38亩，其中耕地</w:t>
            </w:r>
            <w:r>
              <w:rPr>
                <w:rFonts w:hint="eastAsia" w:cs="Times New Roman"/>
                <w:color w:val="auto"/>
                <w:highlight w:val="none"/>
                <w:lang w:val="en-US" w:eastAsia="zh-CN"/>
              </w:rPr>
              <w:t>22.79</w:t>
            </w:r>
            <w:r>
              <w:rPr>
                <w:rFonts w:hint="default" w:ascii="Times New Roman" w:hAnsi="Times New Roman" w:cs="Times New Roman"/>
                <w:color w:val="auto"/>
                <w:highlight w:val="none"/>
                <w:lang w:val="en-US" w:eastAsia="zh-CN"/>
              </w:rPr>
              <w:t>亩（其中旱地2.85亩，水田19.94亩）、林地13.49亩（全部为其他林地）、草地1.65亩（全部为其他草地）、水域及水利设施用地3.45亩（坑塘水面1.80亩、沟渠1.65亩）。本工程不涉及占用永久基本农田。</w:t>
            </w:r>
          </w:p>
          <w:p w14:paraId="4A7C2DF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新增临时占地土地面积</w:t>
            </w:r>
            <w:r>
              <w:rPr>
                <w:rFonts w:hint="eastAsia" w:cs="Times New Roman"/>
                <w:color w:val="auto"/>
                <w:highlight w:val="none"/>
                <w:lang w:val="en-US" w:eastAsia="zh-CN"/>
              </w:rPr>
              <w:t>35.54</w:t>
            </w:r>
            <w:r>
              <w:rPr>
                <w:rFonts w:hint="default" w:ascii="Times New Roman" w:hAnsi="Times New Roman" w:cs="Times New Roman"/>
                <w:color w:val="auto"/>
                <w:highlight w:val="none"/>
                <w:lang w:val="en-US" w:eastAsia="zh-CN"/>
              </w:rPr>
              <w:t>亩，其中临时占用耕地6.60亩（全部为水田），林地0.90亩，草地1.05亩，水域及水利设施用地26.99亩，未占用基本农田。不占用基本农田。临时占地包括生产生活区、</w:t>
            </w:r>
            <w:r>
              <w:rPr>
                <w:rFonts w:hint="eastAsia" w:cs="Times New Roman"/>
                <w:color w:val="auto"/>
                <w:highlight w:val="none"/>
                <w:lang w:val="en-US" w:eastAsia="zh-CN"/>
              </w:rPr>
              <w:t>弃渣场、施工材料堆放场、表土暂存场</w:t>
            </w:r>
            <w:r>
              <w:rPr>
                <w:rFonts w:hint="default" w:ascii="Times New Roman" w:hAnsi="Times New Roman" w:cs="Times New Roman"/>
                <w:color w:val="auto"/>
                <w:highlight w:val="none"/>
                <w:lang w:val="en-US" w:eastAsia="zh-CN"/>
              </w:rPr>
              <w:t>、临时</w:t>
            </w:r>
            <w:r>
              <w:rPr>
                <w:rFonts w:hint="eastAsia" w:cs="Times New Roman"/>
                <w:color w:val="auto"/>
                <w:highlight w:val="none"/>
                <w:lang w:val="en-US" w:eastAsia="zh-CN"/>
              </w:rPr>
              <w:t>施工</w:t>
            </w:r>
            <w:r>
              <w:rPr>
                <w:rFonts w:hint="default" w:ascii="Times New Roman" w:hAnsi="Times New Roman" w:cs="Times New Roman"/>
                <w:color w:val="auto"/>
                <w:highlight w:val="none"/>
                <w:lang w:val="en-US" w:eastAsia="zh-CN"/>
              </w:rPr>
              <w:t>道路等，占地性质为耕地、林地、草地等。</w:t>
            </w:r>
          </w:p>
          <w:p w14:paraId="1A26B432">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Cs/>
                <w:color w:val="auto"/>
                <w:sz w:val="24"/>
                <w:highlight w:val="none"/>
                <w:lang w:val="en-US" w:eastAsia="zh-CN"/>
              </w:rPr>
              <w:t>本工程根据施工进度合理安排施工时间，根据《水利水电施工组织设计规范》（SL303</w:t>
            </w:r>
            <w:r>
              <w:rPr>
                <w:rFonts w:hint="default" w:ascii="Times New Roman" w:hAnsi="Times New Roman"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2017）和《水利水电枢纽工程项目建设工期定额》中的有关规定，并参照黑龙江省同规模施工情况，结合本工程实际，确定本工程施工工期为</w:t>
            </w:r>
            <w:r>
              <w:rPr>
                <w:rFonts w:hint="eastAsia" w:cs="Times New Roman"/>
                <w:bCs/>
                <w:color w:val="auto"/>
                <w:sz w:val="24"/>
                <w:highlight w:val="none"/>
                <w:lang w:val="en-US" w:eastAsia="zh-CN"/>
              </w:rPr>
              <w:t>10</w:t>
            </w:r>
            <w:r>
              <w:rPr>
                <w:rFonts w:hint="default" w:ascii="Times New Roman" w:hAnsi="Times New Roman" w:eastAsia="宋体" w:cs="Times New Roman"/>
                <w:bCs/>
                <w:color w:val="auto"/>
                <w:sz w:val="24"/>
                <w:highlight w:val="none"/>
                <w:lang w:val="en-US" w:eastAsia="zh-CN"/>
              </w:rPr>
              <w:t>个月。</w:t>
            </w:r>
          </w:p>
          <w:p w14:paraId="003DF42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从工程</w:t>
            </w:r>
            <w:r>
              <w:rPr>
                <w:rFonts w:hint="default" w:ascii="Times New Roman" w:hAnsi="Times New Roman" w:cs="Times New Roman"/>
                <w:color w:val="auto"/>
                <w:sz w:val="24"/>
                <w:highlight w:val="none"/>
              </w:rPr>
              <w:t>施工特点来看，</w:t>
            </w:r>
            <w:r>
              <w:rPr>
                <w:rFonts w:hint="default" w:ascii="Times New Roman" w:hAnsi="Times New Roman" w:cs="Times New Roman"/>
                <w:color w:val="auto"/>
                <w:sz w:val="24"/>
                <w:highlight w:val="none"/>
                <w:lang w:eastAsia="zh-CN"/>
              </w:rPr>
              <w:t>工程临时占地</w:t>
            </w:r>
            <w:r>
              <w:rPr>
                <w:rFonts w:hint="default" w:ascii="Times New Roman" w:hAnsi="Times New Roman" w:cs="Times New Roman"/>
                <w:color w:val="auto"/>
                <w:sz w:val="24"/>
                <w:highlight w:val="none"/>
                <w:lang w:val="zh-CN"/>
              </w:rPr>
              <w:t>一般仅在施工阶段会造成沿线土地利用功能的暂时改变，施工占地区域需要把原来的地表植被全部清除，将导致生物量损失，大部分用地在施工结束后、短期内（1～2年）能恢复原有的土地利用功能，</w:t>
            </w:r>
            <w:r>
              <w:rPr>
                <w:rFonts w:hint="default" w:ascii="Times New Roman" w:hAnsi="Times New Roman" w:cs="Times New Roman"/>
                <w:color w:val="auto"/>
                <w:sz w:val="24"/>
                <w:highlight w:val="none"/>
                <w:lang w:val="en-US" w:eastAsia="zh-CN"/>
              </w:rPr>
              <w:t>且</w:t>
            </w:r>
            <w:r>
              <w:rPr>
                <w:rFonts w:hint="default" w:ascii="Times New Roman" w:hAnsi="Times New Roman" w:cs="Times New Roman"/>
                <w:color w:val="auto"/>
                <w:sz w:val="24"/>
                <w:highlight w:val="none"/>
                <w:lang w:val="zh-CN"/>
              </w:rPr>
              <w:t>由于项目所在区域植被主要为人工栽培植被，引起的生物量减少的主要植物种类为人工种植作物，且项目建设前后区域植被类型变化不大，项目建设减少的生物量损失可进行恢复，对区域自然植被的影响小，对区域生态影响不明显。</w:t>
            </w:r>
          </w:p>
          <w:p w14:paraId="4B27B2AE">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bCs/>
                <w:color w:val="auto"/>
                <w:sz w:val="24"/>
                <w:highlight w:val="none"/>
                <w:lang w:val="en-US" w:eastAsia="zh-CN"/>
              </w:rPr>
              <w:t>本工程</w:t>
            </w:r>
            <w:r>
              <w:rPr>
                <w:rFonts w:hint="default" w:ascii="Times New Roman" w:hAnsi="Times New Roman" w:cs="Times New Roman"/>
                <w:color w:val="auto"/>
                <w:sz w:val="24"/>
                <w:highlight w:val="none"/>
              </w:rPr>
              <w:t>施工时间较短，施工完毕后，</w:t>
            </w:r>
            <w:r>
              <w:rPr>
                <w:rFonts w:hint="default" w:ascii="Times New Roman" w:hAnsi="Times New Roman" w:cs="Times New Roman"/>
                <w:color w:val="auto"/>
                <w:sz w:val="24"/>
                <w:highlight w:val="none"/>
                <w:lang w:eastAsia="zh-CN"/>
              </w:rPr>
              <w:t>各地块</w:t>
            </w:r>
            <w:r>
              <w:rPr>
                <w:rFonts w:hint="default" w:ascii="Times New Roman" w:hAnsi="Times New Roman" w:cs="Times New Roman"/>
                <w:color w:val="auto"/>
                <w:sz w:val="24"/>
                <w:highlight w:val="none"/>
              </w:rPr>
              <w:t>土地利用大部分可恢复原利用状态。</w:t>
            </w:r>
          </w:p>
          <w:p w14:paraId="5B9CE5A2">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所以，在施工期间应同时根据地方</w:t>
            </w:r>
            <w:r>
              <w:rPr>
                <w:rFonts w:hint="default" w:ascii="Times New Roman" w:hAnsi="Times New Roman" w:cs="Times New Roman"/>
                <w:color w:val="auto"/>
                <w:sz w:val="24"/>
                <w:highlight w:val="none"/>
                <w:lang w:val="en-US" w:eastAsia="zh-CN"/>
              </w:rPr>
              <w:t>性</w:t>
            </w:r>
            <w:r>
              <w:rPr>
                <w:rFonts w:hint="default" w:ascii="Times New Roman" w:hAnsi="Times New Roman" w:cs="Times New Roman"/>
                <w:color w:val="auto"/>
                <w:sz w:val="24"/>
                <w:highlight w:val="none"/>
                <w:lang w:val="zh-CN"/>
              </w:rPr>
              <w:t>法规选择合理的地点进行异地补偿等生态措施，随着上述生态补偿或生态恢复措施的实施，这一影响将逐渐减小</w:t>
            </w:r>
            <w:r>
              <w:rPr>
                <w:rFonts w:hint="default" w:ascii="Times New Roman" w:hAnsi="Times New Roman" w:cs="Times New Roman"/>
                <w:color w:val="auto"/>
                <w:sz w:val="24"/>
                <w:highlight w:val="none"/>
              </w:rPr>
              <w:t>直至最终</w:t>
            </w:r>
            <w:r>
              <w:rPr>
                <w:rFonts w:hint="default" w:ascii="Times New Roman" w:hAnsi="Times New Roman" w:cs="Times New Roman"/>
                <w:color w:val="auto"/>
                <w:sz w:val="24"/>
                <w:highlight w:val="none"/>
                <w:lang w:val="zh-CN"/>
              </w:rPr>
              <w:t>消失。</w:t>
            </w:r>
          </w:p>
          <w:p w14:paraId="2DF80FCE">
            <w:pPr>
              <w:pStyle w:val="2"/>
              <w:spacing w:line="360" w:lineRule="auto"/>
              <w:ind w:firstLine="480" w:firstLineChars="200"/>
              <w:rPr>
                <w:rFonts w:hint="default"/>
                <w:sz w:val="24"/>
                <w:szCs w:val="24"/>
                <w:highlight w:val="yellow"/>
              </w:rPr>
            </w:pPr>
            <w:r>
              <w:rPr>
                <w:rFonts w:hint="default" w:ascii="Times New Roman" w:hAnsi="Times New Roman" w:eastAsia="宋体" w:cs="Times New Roman"/>
                <w:color w:val="auto"/>
                <w:sz w:val="24"/>
                <w:szCs w:val="24"/>
                <w:highlight w:val="yellow"/>
              </w:rPr>
              <w:t>本项目临时占地将在工程施工结束后恢复，对项目区生态系统和生物多样性基本无影响，且本工程的建设任务通过</w:t>
            </w:r>
            <w:r>
              <w:rPr>
                <w:rFonts w:hint="eastAsia" w:cs="Times New Roman"/>
                <w:color w:val="auto"/>
                <w:sz w:val="24"/>
                <w:szCs w:val="24"/>
                <w:highlight w:val="yellow"/>
                <w:lang w:val="en-US" w:eastAsia="zh-CN"/>
              </w:rPr>
              <w:t>格木克河改道工程，增大过流断面面积，增大河道行洪能力，</w:t>
            </w:r>
            <w:r>
              <w:rPr>
                <w:rFonts w:hint="default" w:ascii="Times New Roman" w:hAnsi="Times New Roman" w:eastAsia="宋体" w:cs="Times New Roman"/>
                <w:color w:val="auto"/>
                <w:sz w:val="24"/>
                <w:szCs w:val="24"/>
                <w:highlight w:val="yellow"/>
              </w:rPr>
              <w:t>稳固的格宾石笼结构有效防止河岸坍塌，保障行洪通道畅通无阻，显著提升河道行洪能力</w:t>
            </w:r>
            <w:r>
              <w:rPr>
                <w:rFonts w:hint="eastAsia" w:ascii="Times New Roman" w:hAnsi="Times New Roman" w:eastAsia="宋体" w:cs="Times New Roman"/>
                <w:color w:val="auto"/>
                <w:sz w:val="24"/>
                <w:szCs w:val="24"/>
                <w:highlight w:val="yellow"/>
                <w:lang w:eastAsia="zh-CN"/>
              </w:rPr>
              <w:t>。</w:t>
            </w:r>
            <w:r>
              <w:rPr>
                <w:rFonts w:hint="eastAsia" w:ascii="Times New Roman" w:hAnsi="Times New Roman" w:eastAsia="宋体" w:cs="Times New Roman"/>
                <w:color w:val="auto"/>
                <w:sz w:val="24"/>
                <w:szCs w:val="24"/>
                <w:highlight w:val="yellow"/>
                <w:lang w:val="en-US" w:eastAsia="zh-CN"/>
              </w:rPr>
              <w:t>原河道减少水利设施用地面积，本项目的建设较原河道将增大区域水利设施用地面积，改善原有生态系统，增加生态流量。</w:t>
            </w:r>
          </w:p>
          <w:p w14:paraId="4FDDF192">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2、</w:t>
            </w:r>
            <w:r>
              <w:rPr>
                <w:rFonts w:hint="default" w:ascii="Times New Roman" w:hAnsi="Times New Roman" w:cs="Times New Roman"/>
                <w:b/>
                <w:bCs w:val="0"/>
                <w:color w:val="auto"/>
                <w:sz w:val="24"/>
                <w:highlight w:val="none"/>
              </w:rPr>
              <w:t>对陆生生态的影响</w:t>
            </w:r>
          </w:p>
          <w:p w14:paraId="70F79B4E">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工程占地将减少植被的生物量，对工程所在区域自然生态系统产生不利影响。参考《生态环境状况评价技术规范》（HJ192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2015）、黑龙江省区域植被生物量实测数据及同类项目研究成果，确定各用地类型生物量基准值</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旱地平均生物量0.45吨/亩</w:t>
            </w:r>
            <w:r>
              <w:rPr>
                <w:rFonts w:hint="default" w:ascii="Times New Roman" w:hAnsi="Times New Roman" w:cs="Times New Roman"/>
                <w:bCs/>
                <w:color w:val="auto"/>
                <w:sz w:val="24"/>
                <w:highlight w:val="none"/>
                <w:lang w:val="en-US" w:eastAsia="zh-CN"/>
              </w:rPr>
              <w:t>，乔木林地平均生物量为8.5吨/亩，</w:t>
            </w:r>
            <w:r>
              <w:rPr>
                <w:rFonts w:hint="default" w:ascii="Times New Roman" w:hAnsi="Times New Roman" w:cs="Times New Roman"/>
                <w:bCs/>
                <w:color w:val="auto"/>
                <w:sz w:val="24"/>
                <w:highlight w:val="none"/>
              </w:rPr>
              <w:t>其他草地平均生物量0.32吨/亩</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则施工期生物量损失为</w:t>
            </w:r>
            <w:r>
              <w:rPr>
                <w:rFonts w:hint="eastAsia" w:cs="Times New Roman"/>
                <w:bCs/>
                <w:color w:val="auto"/>
                <w:sz w:val="24"/>
                <w:highlight w:val="none"/>
                <w:lang w:val="en-US" w:eastAsia="zh-CN"/>
              </w:rPr>
              <w:t>136.4045</w:t>
            </w:r>
            <w:r>
              <w:rPr>
                <w:rFonts w:hint="default" w:ascii="Times New Roman" w:hAnsi="Times New Roman" w:cs="Times New Roman"/>
                <w:bCs/>
                <w:color w:val="auto"/>
                <w:sz w:val="24"/>
                <w:highlight w:val="none"/>
                <w:lang w:val="en-US" w:eastAsia="zh-CN"/>
              </w:rPr>
              <w:t>吨</w:t>
            </w:r>
            <w:r>
              <w:rPr>
                <w:rFonts w:hint="default" w:ascii="Times New Roman" w:hAnsi="Times New Roman" w:cs="Times New Roman"/>
                <w:bCs/>
                <w:color w:val="auto"/>
                <w:sz w:val="24"/>
                <w:highlight w:val="none"/>
              </w:rPr>
              <w:t>。但本工程占用的各类土地占所在区域各类土地面积的比例较小，其影响只是在工程周边一定范围内，对于工程占地以外区域不产生影响。根据调查，项目周边的植被均为常见和广泛分布的种类，无国家保护种和地方特有种，经济价值和科学价值不大，且项目占用的</w:t>
            </w:r>
            <w:r>
              <w:rPr>
                <w:rFonts w:hint="default" w:ascii="Times New Roman" w:hAnsi="Times New Roman" w:cs="Times New Roman"/>
                <w:bCs/>
                <w:color w:val="auto"/>
                <w:sz w:val="24"/>
                <w:highlight w:val="none"/>
                <w:lang w:val="en-US" w:eastAsia="zh-CN"/>
              </w:rPr>
              <w:t>大部分</w:t>
            </w:r>
            <w:r>
              <w:rPr>
                <w:rFonts w:hint="default" w:ascii="Times New Roman" w:hAnsi="Times New Roman" w:cs="Times New Roman"/>
                <w:bCs/>
                <w:color w:val="auto"/>
                <w:sz w:val="24"/>
                <w:highlight w:val="none"/>
              </w:rPr>
              <w:t>为耕地，</w:t>
            </w:r>
            <w:r>
              <w:rPr>
                <w:rFonts w:hint="default" w:ascii="Times New Roman" w:hAnsi="Times New Roman" w:cs="Times New Roman"/>
                <w:bCs/>
                <w:color w:val="auto"/>
                <w:sz w:val="24"/>
                <w:highlight w:val="none"/>
                <w:lang w:val="en-US" w:eastAsia="zh-CN"/>
              </w:rPr>
              <w:t>仅小部分为其他草地和林地，</w:t>
            </w:r>
            <w:r>
              <w:rPr>
                <w:rFonts w:hint="default" w:ascii="Times New Roman" w:hAnsi="Times New Roman" w:cs="Times New Roman"/>
                <w:bCs/>
                <w:color w:val="auto"/>
                <w:sz w:val="24"/>
                <w:highlight w:val="none"/>
              </w:rPr>
              <w:t>因此，项目的实施不会导致项目区植物物种和种群方面的植物体系的灭绝和消亡，不会影响区域生态系统的完整性。</w:t>
            </w:r>
            <w:r>
              <w:rPr>
                <w:rFonts w:hint="default" w:ascii="Times New Roman" w:hAnsi="Times New Roman" w:cs="Times New Roman"/>
                <w:bCs/>
                <w:color w:val="auto"/>
                <w:sz w:val="24"/>
                <w:highlight w:val="yellow"/>
              </w:rPr>
              <w:t>工程临时占地待工程施工完毕后，将恢复原地类，破坏地表植被和影响土地类型是暂时的。施工结束后，通过土地复垦</w:t>
            </w:r>
            <w:r>
              <w:rPr>
                <w:rFonts w:hint="default" w:ascii="Times New Roman" w:hAnsi="Times New Roman" w:cs="Times New Roman"/>
                <w:bCs/>
                <w:color w:val="auto"/>
                <w:sz w:val="24"/>
                <w:highlight w:val="yellow"/>
                <w:lang w:eastAsia="zh-CN"/>
              </w:rPr>
              <w:t>、</w:t>
            </w:r>
            <w:r>
              <w:rPr>
                <w:rFonts w:hint="default" w:ascii="Times New Roman" w:hAnsi="Times New Roman" w:cs="Times New Roman"/>
                <w:bCs/>
                <w:color w:val="auto"/>
                <w:sz w:val="24"/>
                <w:highlight w:val="yellow"/>
                <w:lang w:val="en-US" w:eastAsia="zh-CN"/>
              </w:rPr>
              <w:t>撒播种草、恢复林地</w:t>
            </w:r>
            <w:r>
              <w:rPr>
                <w:rFonts w:hint="default" w:ascii="Times New Roman" w:hAnsi="Times New Roman" w:cs="Times New Roman"/>
                <w:bCs/>
                <w:color w:val="auto"/>
                <w:sz w:val="24"/>
                <w:highlight w:val="yellow"/>
              </w:rPr>
              <w:t>等措施恢复耕地</w:t>
            </w:r>
            <w:r>
              <w:rPr>
                <w:rFonts w:hint="default" w:ascii="Times New Roman" w:hAnsi="Times New Roman" w:cs="Times New Roman"/>
                <w:bCs/>
                <w:color w:val="auto"/>
                <w:sz w:val="24"/>
                <w:highlight w:val="yellow"/>
                <w:lang w:val="en-US" w:eastAsia="zh-CN"/>
              </w:rPr>
              <w:t>和植被</w:t>
            </w:r>
            <w:r>
              <w:rPr>
                <w:rFonts w:hint="default" w:ascii="Times New Roman" w:hAnsi="Times New Roman" w:cs="Times New Roman"/>
                <w:bCs/>
                <w:color w:val="auto"/>
                <w:sz w:val="24"/>
                <w:highlight w:val="yellow"/>
              </w:rPr>
              <w:t>，可</w:t>
            </w:r>
            <w:r>
              <w:rPr>
                <w:rFonts w:hint="default" w:ascii="Times New Roman" w:hAnsi="Times New Roman" w:cs="Times New Roman"/>
                <w:bCs/>
                <w:color w:val="auto"/>
                <w:sz w:val="24"/>
                <w:highlight w:val="yellow"/>
                <w:lang w:eastAsia="zh-CN"/>
              </w:rPr>
              <w:t>将</w:t>
            </w:r>
            <w:r>
              <w:rPr>
                <w:rFonts w:hint="default" w:ascii="Times New Roman" w:hAnsi="Times New Roman" w:cs="Times New Roman"/>
                <w:bCs/>
                <w:color w:val="auto"/>
                <w:sz w:val="24"/>
                <w:highlight w:val="yellow"/>
              </w:rPr>
              <w:t>其影响降到最小</w:t>
            </w:r>
            <w:r>
              <w:rPr>
                <w:rFonts w:hint="eastAsia" w:cs="Times New Roman"/>
                <w:bCs/>
                <w:color w:val="auto"/>
                <w:sz w:val="24"/>
                <w:highlight w:val="yellow"/>
                <w:lang w:eastAsia="zh-CN"/>
              </w:rPr>
              <w:t>，</w:t>
            </w:r>
            <w:r>
              <w:rPr>
                <w:rFonts w:hint="eastAsia" w:cs="Times New Roman"/>
                <w:bCs/>
                <w:color w:val="auto"/>
                <w:sz w:val="24"/>
                <w:highlight w:val="yellow"/>
                <w:lang w:val="en-US" w:eastAsia="zh-CN"/>
              </w:rPr>
              <w:t>改道后岸坡进行植被恢复，植被覆盖度大于原河道，对生态环境起到保护作用，更有利于生物栖息，优化景观协调性。</w:t>
            </w:r>
          </w:p>
          <w:p w14:paraId="1273667B">
            <w:pPr>
              <w:keepNext w:val="0"/>
              <w:keepLines w:val="0"/>
              <w:pageBreakBefore w:val="0"/>
              <w:widowControl/>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bCs/>
                <w:color w:val="auto"/>
                <w:sz w:val="24"/>
                <w:highlight w:val="none"/>
              </w:rPr>
              <w:t>工程施工活动将破坏施工区及其周边现有野生动物的生存环境，使施工区附近的陆生野生动物栖息地以及活动范围缩小</w:t>
            </w:r>
            <w:r>
              <w:rPr>
                <w:rFonts w:hint="default" w:ascii="Times New Roman" w:hAnsi="Times New Roman" w:eastAsia="宋体" w:cs="Times New Roman"/>
                <w:bCs/>
                <w:color w:val="auto"/>
                <w:sz w:val="24"/>
                <w:highlight w:val="none"/>
                <w:lang w:eastAsia="zh-CN"/>
              </w:rPr>
              <w:t>，压缩了陆栖动物的栖息生境</w:t>
            </w:r>
            <w:r>
              <w:rPr>
                <w:rFonts w:hint="default" w:ascii="Times New Roman" w:hAnsi="Times New Roman" w:eastAsia="宋体" w:cs="Times New Roman"/>
                <w:bCs/>
                <w:color w:val="auto"/>
                <w:sz w:val="24"/>
                <w:highlight w:val="none"/>
              </w:rPr>
              <w:t>；工程沿岸人类活动频繁、隐蔽条件差，常见的动物多为小型啮齿类，由于施工机械、运输车辆噪声及施工现场生境的改变，动物会远离施工现场，对动物生存和数量产生不利影响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主体工程</w:t>
            </w:r>
            <w:r>
              <w:rPr>
                <w:rFonts w:hint="default" w:ascii="Times New Roman" w:hAnsi="Times New Roman" w:eastAsia="宋体" w:cs="Times New Roman"/>
                <w:bCs/>
                <w:color w:val="auto"/>
                <w:sz w:val="24"/>
                <w:highlight w:val="none"/>
                <w:lang w:val="en-US" w:eastAsia="zh-CN"/>
              </w:rPr>
              <w:t>的施工</w:t>
            </w:r>
            <w:r>
              <w:rPr>
                <w:rFonts w:hint="default" w:ascii="Times New Roman" w:hAnsi="Times New Roman" w:eastAsia="宋体" w:cs="Times New Roman"/>
                <w:bCs/>
                <w:color w:val="auto"/>
                <w:sz w:val="24"/>
                <w:highlight w:val="none"/>
              </w:rPr>
              <w:t>也影响到沿河栖息的一些种类，特别是两栖类、爬行类和各种在水域觅食的鸟类。</w:t>
            </w:r>
            <w:r>
              <w:rPr>
                <w:rFonts w:hint="default" w:ascii="Times New Roman" w:hAnsi="Times New Roman" w:eastAsia="宋体" w:cs="Times New Roman"/>
                <w:bCs/>
                <w:color w:val="auto"/>
                <w:sz w:val="24"/>
                <w:highlight w:val="none"/>
                <w:lang w:val="en-US" w:eastAsia="zh-CN"/>
              </w:rPr>
              <w:t>施工</w:t>
            </w:r>
            <w:r>
              <w:rPr>
                <w:rFonts w:hint="default" w:ascii="Times New Roman" w:hAnsi="Times New Roman" w:eastAsia="宋体" w:cs="Times New Roman"/>
                <w:bCs/>
                <w:color w:val="auto"/>
                <w:sz w:val="24"/>
                <w:highlight w:val="none"/>
              </w:rPr>
              <w:t>产生噪声</w:t>
            </w:r>
            <w:r>
              <w:rPr>
                <w:rFonts w:hint="default" w:ascii="Times New Roman" w:hAnsi="Times New Roman" w:eastAsia="宋体" w:cs="Times New Roman"/>
                <w:bCs/>
                <w:color w:val="auto"/>
                <w:sz w:val="24"/>
                <w:highlight w:val="none"/>
                <w:lang w:val="en-US" w:eastAsia="zh-CN"/>
              </w:rPr>
              <w:t>的</w:t>
            </w:r>
            <w:r>
              <w:rPr>
                <w:rFonts w:hint="default" w:ascii="Times New Roman" w:hAnsi="Times New Roman" w:eastAsia="宋体" w:cs="Times New Roman"/>
                <w:bCs/>
                <w:color w:val="auto"/>
                <w:sz w:val="24"/>
                <w:highlight w:val="none"/>
              </w:rPr>
              <w:t>污染</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粉尘污染</w:t>
            </w:r>
            <w:r>
              <w:rPr>
                <w:rFonts w:hint="default" w:ascii="Times New Roman" w:hAnsi="Times New Roman" w:eastAsia="宋体" w:cs="Times New Roman"/>
                <w:bCs/>
                <w:color w:val="auto"/>
                <w:sz w:val="24"/>
                <w:highlight w:val="none"/>
                <w:lang w:val="en-US" w:eastAsia="zh-CN"/>
              </w:rPr>
              <w:t>等，均</w:t>
            </w:r>
            <w:r>
              <w:rPr>
                <w:rFonts w:hint="default" w:ascii="Times New Roman" w:hAnsi="Times New Roman" w:eastAsia="宋体" w:cs="Times New Roman"/>
                <w:bCs/>
                <w:color w:val="auto"/>
                <w:sz w:val="24"/>
                <w:highlight w:val="none"/>
              </w:rPr>
              <w:t>迫使动物迁出施工区，这种不良影响表现为短期的或者为压缩生境同样的效果。施工不会造成动物的死亡</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且</w:t>
            </w:r>
            <w:r>
              <w:rPr>
                <w:rFonts w:hint="default" w:ascii="Times New Roman" w:hAnsi="Times New Roman" w:eastAsia="宋体" w:cs="Times New Roman"/>
                <w:bCs/>
                <w:color w:val="auto"/>
                <w:sz w:val="24"/>
                <w:highlight w:val="none"/>
              </w:rPr>
              <w:t>施工后影响将消失。施工噪声的干扰空气中扬尘增加以及施工人员活动频繁等因素将使栖息在工程附近的陆生野生动物和鸟类产生趋避反</w:t>
            </w:r>
            <w:r>
              <w:rPr>
                <w:rFonts w:hint="default" w:ascii="Times New Roman" w:hAnsi="Times New Roman" w:cs="Times New Roman"/>
                <w:bCs/>
                <w:color w:val="auto"/>
                <w:sz w:val="24"/>
                <w:highlight w:val="none"/>
              </w:rPr>
              <w:t>应，施工活动对施工区附近的野生动物将产生不利影响。但是由于工程施工影响范围相对较小，且影响较大的工程所在沿线人为活动频繁（有集中居民点或者农田），沿岸鸟类以农田、森林生境种类为主，这些鸟类大部分是与人为</w:t>
            </w:r>
            <w:r>
              <w:rPr>
                <w:rFonts w:hint="default" w:ascii="Times New Roman" w:hAnsi="Times New Roman" w:cs="Times New Roman"/>
                <w:bCs/>
                <w:color w:val="auto"/>
                <w:sz w:val="24"/>
                <w:highlight w:val="none"/>
                <w:lang w:eastAsia="zh-CN"/>
              </w:rPr>
              <w:t>活动</w:t>
            </w:r>
            <w:r>
              <w:rPr>
                <w:rFonts w:hint="default" w:ascii="Times New Roman" w:hAnsi="Times New Roman" w:cs="Times New Roman"/>
                <w:bCs/>
                <w:color w:val="auto"/>
                <w:sz w:val="24"/>
                <w:highlight w:val="none"/>
              </w:rPr>
              <w:t>伴生种类，工程施工对这些鸟类影响不大。工程影响区（施工区）偶尔可以见到的两栖动物有林蛙等，两栖动物主要栖息在阴暗潮湿的地方，施工活动使其向非影响区迁移，对其生存产生影响较小。</w:t>
            </w:r>
          </w:p>
          <w:p w14:paraId="1FE73AC8">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总之，工程占地区域及可能影响区内的动物为常见野生动物，其生境在当地广泛分布，且每个工程规模不大、施工时间短，影响范围也有限。在工程施工时这些野生动物产生趋避反应，一时将离开施工区，随着施工活动的结束这些影响也将消失，上述野生动物将回归施工区，因此，工程施工对野生动物影响不大。</w:t>
            </w:r>
          </w:p>
          <w:p w14:paraId="141B77B7">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3、</w:t>
            </w:r>
            <w:r>
              <w:rPr>
                <w:rFonts w:hint="default" w:ascii="Times New Roman" w:hAnsi="Times New Roman" w:cs="Times New Roman"/>
                <w:b/>
                <w:bCs w:val="0"/>
                <w:color w:val="auto"/>
                <w:sz w:val="24"/>
                <w:highlight w:val="none"/>
              </w:rPr>
              <w:t>对水生生物的影响</w:t>
            </w:r>
          </w:p>
          <w:p w14:paraId="770FEAD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对水生生态的影响表现在施工过程中土料、物料及一些废水废渣在地表径流的作用下有可能会进入</w:t>
            </w:r>
            <w:r>
              <w:rPr>
                <w:rFonts w:hint="eastAsia" w:cs="Times New Roman"/>
                <w:color w:val="auto"/>
                <w:highlight w:val="none"/>
                <w:lang w:eastAsia="zh-CN"/>
              </w:rPr>
              <w:t>格木克河</w:t>
            </w:r>
            <w:r>
              <w:rPr>
                <w:rFonts w:hint="default" w:ascii="Times New Roman" w:hAnsi="Times New Roman" w:cs="Times New Roman"/>
                <w:color w:val="auto"/>
                <w:highlight w:val="none"/>
              </w:rPr>
              <w:t>中，导致水体短期内悬浮物含量增加，从而对工程附近和下游水体中水生生物产生不利影响。</w:t>
            </w:r>
            <w:r>
              <w:rPr>
                <w:rFonts w:hint="default" w:ascii="Times New Roman" w:hAnsi="Times New Roman" w:cs="Times New Roman"/>
                <w:color w:val="auto"/>
                <w:highlight w:val="none"/>
                <w:lang w:val="en-US" w:eastAsia="zh-CN"/>
              </w:rPr>
              <w:t>其次，施工时需修筑围堰，施工导流改变了水体的水文情势，并产生了一定的噪声会对施工段鱼类等水生生物产生干扰，</w:t>
            </w:r>
            <w:r>
              <w:rPr>
                <w:rFonts w:hint="default" w:ascii="Times New Roman" w:hAnsi="Times New Roman" w:cs="Times New Roman"/>
                <w:color w:val="auto"/>
                <w:highlight w:val="none"/>
              </w:rPr>
              <w:t>但这些不利影响范围都局限于下游一定长度的水体，影响时段仅为施工期。</w:t>
            </w:r>
          </w:p>
          <w:p w14:paraId="7D2A6A48">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lang w:val="en-US" w:eastAsia="zh-CN"/>
              </w:rPr>
            </w:pPr>
            <w:r>
              <w:rPr>
                <w:rFonts w:hint="eastAsia" w:cs="Times New Roman"/>
                <w:color w:val="auto"/>
                <w:highlight w:val="yellow"/>
                <w:lang w:val="en-US" w:eastAsia="zh-CN"/>
              </w:rPr>
              <w:t>本项目为自然岸线，本项目选择生态友好型护岸，采用格宾石笼形式，种植本土水生植物，恢复自然岸线的形态。</w:t>
            </w:r>
          </w:p>
          <w:p w14:paraId="19C07013">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1）鱼类</w:t>
            </w:r>
          </w:p>
          <w:p w14:paraId="25A819F3">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a.水文情势变化对鱼类的影响</w:t>
            </w:r>
          </w:p>
          <w:p w14:paraId="6284ACD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格木克河为季节性河流，冬季常常断流，</w:t>
            </w:r>
            <w:r>
              <w:rPr>
                <w:rFonts w:hint="eastAsia" w:cs="Times New Roman"/>
                <w:color w:val="auto"/>
                <w:highlight w:val="none"/>
                <w:lang w:val="en-US" w:eastAsia="zh-CN"/>
              </w:rPr>
              <w:t>本项目选择枯水期施工，</w:t>
            </w:r>
            <w:r>
              <w:rPr>
                <w:rFonts w:hint="default" w:ascii="Times New Roman" w:hAnsi="Times New Roman" w:cs="Times New Roman"/>
                <w:color w:val="auto"/>
                <w:highlight w:val="none"/>
              </w:rPr>
              <w:t>通过修筑围堰将施工区域与水流隔开，同时保留了一部分河道让水流通过，仍保持原有的河流水文水动力学特征，施工仅为近岸处的施工活动，工程建设前、后流量变化小，工程对流量、水位、水流方向影响不大。因而，适于水生生物及鱼类栖息、活动的空间</w:t>
            </w:r>
            <w:r>
              <w:rPr>
                <w:rFonts w:hint="default" w:ascii="Times New Roman" w:hAnsi="Times New Roman" w:cs="Times New Roman"/>
                <w:color w:val="auto"/>
                <w:highlight w:val="none"/>
                <w:lang w:val="en-US" w:eastAsia="zh-CN"/>
              </w:rPr>
              <w:t>并未产生较大变化，鱼类栖息生境并未丧失</w:t>
            </w:r>
            <w:r>
              <w:rPr>
                <w:rFonts w:hint="default" w:ascii="Times New Roman" w:hAnsi="Times New Roman" w:cs="Times New Roman"/>
                <w:color w:val="auto"/>
                <w:highlight w:val="none"/>
              </w:rPr>
              <w:t>。</w:t>
            </w:r>
          </w:p>
          <w:p w14:paraId="13C7AF12">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b.水质变化对鱼类的影响</w:t>
            </w:r>
          </w:p>
          <w:p w14:paraId="7D6C3067">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围堰修筑和拆除的过程中将水体产生扰动，</w:t>
            </w:r>
            <w:r>
              <w:rPr>
                <w:rFonts w:hint="default" w:ascii="Times New Roman" w:hAnsi="Times New Roman" w:cs="Times New Roman"/>
                <w:color w:val="auto"/>
                <w:highlight w:val="none"/>
              </w:rPr>
              <w:t>造成一定范围内SS浓度增高，透明度下降，但竣工后即恢复正常水平，水质将保持总体良好状态；浮游生物种群将会发生小幅的波动，水体生物生产力总体未发生明显的改变，因而鱼类资源也将保持现有规模不变。</w:t>
            </w:r>
          </w:p>
          <w:p w14:paraId="0F2DBA5C">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c.对鱼类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三场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的影响</w:t>
            </w:r>
          </w:p>
          <w:p w14:paraId="4D92C70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施工围堰对河流没有阻断，但围堰会改变河流局部形态，</w:t>
            </w:r>
            <w:r>
              <w:rPr>
                <w:rFonts w:hint="default" w:ascii="Times New Roman" w:hAnsi="Times New Roman" w:cs="Times New Roman"/>
                <w:color w:val="auto"/>
                <w:highlight w:val="none"/>
                <w:lang w:val="en-US" w:eastAsia="zh-CN"/>
              </w:rPr>
              <w:t>主体</w:t>
            </w:r>
            <w:r>
              <w:rPr>
                <w:rFonts w:hint="default" w:ascii="Times New Roman" w:hAnsi="Times New Roman" w:cs="Times New Roman"/>
                <w:color w:val="auto"/>
                <w:highlight w:val="none"/>
                <w:lang w:eastAsia="zh-CN"/>
              </w:rPr>
              <w:t>工程已避开常见鱼类的产卵期高峰期（</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eastAsia="zh-CN"/>
              </w:rPr>
              <w:t>月）、冷水性鱼类产卵期（1月—3月）、索饵期（</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eastAsia="zh-CN"/>
              </w:rPr>
              <w:t>月下旬—</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lang w:eastAsia="zh-CN"/>
              </w:rPr>
              <w:t>月）</w:t>
            </w:r>
            <w:r>
              <w:rPr>
                <w:rFonts w:hint="default" w:ascii="Times New Roman" w:hAnsi="Times New Roman" w:cs="Times New Roman"/>
                <w:color w:val="auto"/>
                <w:highlight w:val="none"/>
              </w:rPr>
              <w:t>。</w:t>
            </w:r>
            <w:r>
              <w:rPr>
                <w:rFonts w:hint="default" w:ascii="Times New Roman" w:hAnsi="Times New Roman" w:cs="Times New Roman"/>
                <w:color w:val="auto"/>
                <w:highlight w:val="yellow"/>
              </w:rPr>
              <w:t>根据水生态调查结果可知，工程所在</w:t>
            </w:r>
            <w:r>
              <w:rPr>
                <w:rFonts w:hint="default" w:ascii="Times New Roman" w:hAnsi="Times New Roman" w:cs="Times New Roman"/>
                <w:color w:val="auto"/>
                <w:highlight w:val="yellow"/>
                <w:lang w:val="en-US" w:eastAsia="zh-CN"/>
              </w:rPr>
              <w:t>河道</w:t>
            </w:r>
            <w:r>
              <w:rPr>
                <w:rFonts w:hint="default" w:ascii="Times New Roman" w:hAnsi="Times New Roman" w:cs="Times New Roman"/>
                <w:color w:val="auto"/>
                <w:highlight w:val="yellow"/>
              </w:rPr>
              <w:t>没有冷水鱼类产卵场、索饵场及越冬场分布，因此，本项目施工不会对</w:t>
            </w:r>
            <w:r>
              <w:rPr>
                <w:rFonts w:hint="default" w:ascii="Times New Roman" w:hAnsi="Times New Roman" w:cs="Times New Roman"/>
                <w:color w:val="auto"/>
                <w:highlight w:val="yellow"/>
                <w:lang w:val="en-US" w:eastAsia="zh-CN"/>
              </w:rPr>
              <w:t>冷水</w:t>
            </w:r>
            <w:r>
              <w:rPr>
                <w:rFonts w:hint="default" w:ascii="Times New Roman" w:hAnsi="Times New Roman" w:cs="Times New Roman"/>
                <w:color w:val="auto"/>
                <w:highlight w:val="yellow"/>
              </w:rPr>
              <w:t>鱼类</w:t>
            </w:r>
            <w:r>
              <w:rPr>
                <w:rFonts w:hint="default" w:ascii="Times New Roman" w:hAnsi="Times New Roman" w:cs="Times New Roman"/>
                <w:color w:val="auto"/>
                <w:highlight w:val="yellow"/>
                <w:lang w:eastAsia="zh-CN"/>
              </w:rPr>
              <w:t>"</w:t>
            </w:r>
            <w:r>
              <w:rPr>
                <w:rFonts w:hint="default" w:ascii="Times New Roman" w:hAnsi="Times New Roman" w:cs="Times New Roman"/>
                <w:color w:val="auto"/>
                <w:highlight w:val="yellow"/>
              </w:rPr>
              <w:t>三场</w:t>
            </w:r>
            <w:r>
              <w:rPr>
                <w:rFonts w:hint="default" w:ascii="Times New Roman" w:hAnsi="Times New Roman" w:cs="Times New Roman"/>
                <w:color w:val="auto"/>
                <w:highlight w:val="yellow"/>
                <w:lang w:eastAsia="zh-CN"/>
              </w:rPr>
              <w:t>"</w:t>
            </w:r>
            <w:r>
              <w:rPr>
                <w:rFonts w:hint="default" w:ascii="Times New Roman" w:hAnsi="Times New Roman" w:cs="Times New Roman"/>
                <w:color w:val="auto"/>
                <w:highlight w:val="yellow"/>
              </w:rPr>
              <w:t>和鱼类洄游造成影响。</w:t>
            </w:r>
          </w:p>
          <w:p w14:paraId="269A07B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竣工及运行后，附近水域的生物生产力恢复现状水平，浮游生物、底栖动物生物量总体保持不变，河流内鱼类育幼、鱼类索饵、产卵、洄游生境将总体保持现状，不会对鱼类的产卵、索饵和越冬产生明显的不利影响。</w:t>
            </w:r>
          </w:p>
          <w:p w14:paraId="2F342187">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.噪声对鱼类的影响</w:t>
            </w:r>
          </w:p>
          <w:p w14:paraId="11E61D5F">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噪声也可能对鱼类分布产生一定影响，鱼类能够辨别多种强度和频率的声信号，包括人为噪音、风浪声、雨声等，以此来与种群其他个体进行信息交流、确定周围食物及敌人的存在及方位。强烈的噪音影响鱼类辨别声信号，与此相关的觅食、攻击、保卫领域、防卫、生殖等行为活动会受到一定程度的干扰，使其主动游离干扰区域。施工结束后噪声和悬浮物消失，对鱼类的不利影响自然消失。</w:t>
            </w:r>
          </w:p>
          <w:p w14:paraId="7017FE60">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d.鱼类种类组成的变化</w:t>
            </w:r>
          </w:p>
          <w:p w14:paraId="25FC149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范围内的干扰活动所带来的不利影响属于临时扰动，施工结束后即可恢复或逐步恢复正常水平，因而附近水域的水深、水温、流速、溶解氧等环境因素总体上能够基本保持现状水平。另外，工程施工仅对工程临近的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的浅水区底质产生扰动，不会对河床底质产生大范围的扰动，不会对鱼类产生地理阻隔效应，即鱼类的种类组成亦不会明显变化。</w:t>
            </w:r>
          </w:p>
          <w:p w14:paraId="500BCD89">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2）浮游植物</w:t>
            </w:r>
          </w:p>
          <w:p w14:paraId="7834E4EB">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中岸坡清理、块石铺设、围堰填筑和拆除会扰动水体，悬浮物易累积，遮挡光照并降低水体透明度，抑制浮游植物光合作用，短期内密度可能下降。本项目不进行河道截流，仅在局部作业，悬浮物扩散范围局限于施工段岸边水域，对河道其他区域浮游植物群落影响极小。</w:t>
            </w:r>
          </w:p>
          <w:p w14:paraId="1FA6E434">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3）浮游动物</w:t>
            </w:r>
          </w:p>
          <w:p w14:paraId="5B4A3105">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浮游动物多以浮游植物或有机碎屑为食，水体悬浮物增加会堵塞其滤食结构，导致短期摄食困难，密度可能下降；冬季浮游动物代谢减慢、活动减弱，施工噪声、水体扰动会进一步惊扰原生动物，导致其短期迁移或死亡率小幅上升。但浮游动物繁殖速度快，施工结束后悬浮物沉降、水质恢复，1～3个月内可通过自身繁殖补充种群数量，群落结构回归原有状态。</w:t>
            </w:r>
          </w:p>
          <w:p w14:paraId="025F5A7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4）底栖动物</w:t>
            </w:r>
          </w:p>
          <w:p w14:paraId="4DF90BD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格宾石笼铺设需清理表层松散土体，围堰施工会破坏部分河道底质，会直接破坏底栖动物（环节动物、节肢动物）的栖息环境，施工段底栖动物密度短期内下降。施工结束后，石笼缝隙会逐渐积累土壤、有机碎屑，形成适合底栖动物栖息的"人工微生境"，围堰拆除后河道自然形态恢复，6～16个月内可吸引周边底栖动物迁移定居，种群数量逐步恢复。</w:t>
            </w:r>
          </w:p>
          <w:p w14:paraId="44F69A6C">
            <w:pPr>
              <w:pStyle w:val="84"/>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5）水生植物</w:t>
            </w:r>
          </w:p>
          <w:p w14:paraId="1A1C092A">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岸坡清理、机械作业会直接碾压或铲除植株，施工段属于受水流冲刷严重地段，水土流失导致岸坡出现坍塌，坡面陡峭，冲刷段几乎无植物生长，因此对水生植物影响较小。</w:t>
            </w:r>
          </w:p>
          <w:p w14:paraId="3B373157">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水土流失</w:t>
            </w:r>
          </w:p>
          <w:p w14:paraId="69F8434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本工程产生的水土流失主要发生在施工期。工程产生水土流失主要发生在主体工程区、施工生产生活区。在工程建设中，会扰动地表和损坏土地、植被，建设施工期各施工迹地产生的水土流失类型以水蚀为主。</w:t>
            </w:r>
          </w:p>
          <w:p w14:paraId="1AED4235">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呈线型分布，工程建设将占用、损坏地表植被，损失一定的植被生物量，影响施工区周围环境的植被覆盖率和数量分布。同时，土壤结构也受到一定的破坏，降低原地表水土保持功能，加剧项目区水土流失的发生，具体表现在以下几方面</w:t>
            </w:r>
            <w:r>
              <w:rPr>
                <w:rFonts w:hint="default" w:ascii="Times New Roman" w:hAnsi="Times New Roman" w:cs="Times New Roman"/>
                <w:color w:val="auto"/>
                <w:sz w:val="24"/>
                <w:highlight w:val="none"/>
                <w:lang w:eastAsia="zh-CN"/>
              </w:rPr>
              <w:t>:</w:t>
            </w:r>
          </w:p>
          <w:p w14:paraId="2F84D55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施工占用扰动一定数量土地，使项目区植被覆盖度降低，破坏自然植被保土、保水的生态功能，同时也降低土壤抗蚀能力。</w:t>
            </w:r>
          </w:p>
          <w:p w14:paraId="72361F1D">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施工期间土渣沿线堆置，如果不进行防护，遇到强降雨渣面易坍塌，渣体稳定性受到威胁，会产生流失。</w:t>
            </w:r>
          </w:p>
          <w:p w14:paraId="60C67FD8">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生态系统完整性和稳定性评价</w:t>
            </w:r>
          </w:p>
          <w:p w14:paraId="1798D4D3">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1）对农业生态系统的影响</w:t>
            </w:r>
          </w:p>
          <w:p w14:paraId="52A897F1">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工程建设时对该区域农业生态的影响主要表现在临时占用耕地对当地农业生态系统的直接影响。工程临时占用旱地，使得局部地区农作物减产，农业生产受到影响，但面积很小，对整个农业生态系统不构成影响。</w:t>
            </w:r>
          </w:p>
          <w:p w14:paraId="6E5CE29B">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2）生态系统稳定性的影响</w:t>
            </w:r>
          </w:p>
          <w:p w14:paraId="57A3CDC1">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工程建设时，各种土地利用类型的面积、比例发生了一些变化，各个植被群落类型的面积也发生了相应的变化，对该区域植被类型将产生一定的影响，</w:t>
            </w:r>
            <w:r>
              <w:rPr>
                <w:rFonts w:hint="default" w:ascii="Times New Roman" w:hAnsi="Times New Roman" w:cs="Times New Roman"/>
                <w:color w:val="auto"/>
                <w:kern w:val="2"/>
                <w:sz w:val="24"/>
                <w:szCs w:val="24"/>
                <w:highlight w:val="none"/>
                <w:lang w:val="en-US" w:eastAsia="zh-CN" w:bidi="ar-SA"/>
              </w:rPr>
              <w:t>将</w:t>
            </w:r>
            <w:r>
              <w:rPr>
                <w:rFonts w:hint="default" w:ascii="Times New Roman" w:hAnsi="Times New Roman" w:eastAsia="宋体" w:cs="Times New Roman"/>
                <w:color w:val="auto"/>
                <w:kern w:val="2"/>
                <w:sz w:val="24"/>
                <w:szCs w:val="24"/>
                <w:highlight w:val="none"/>
                <w:lang w:val="en-US" w:eastAsia="zh-CN" w:bidi="ar-SA"/>
              </w:rPr>
              <w:t>区域陆生生态系统恢复稳定性产生一定影响，但面积不大，施工结束后进行恢复，区域植物区系组成没有发生根本变化。</w:t>
            </w:r>
          </w:p>
          <w:p w14:paraId="64F2C7B8">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工程的影响范围内植被类型主要是耕地、林地和草地，损失占评价区面积微小，且施工结束后恢复，整体对自然植被类型的影响不大，因此工程建成后对评价区陆生生态系统异质化程度和阻抗能力都影响不大。</w:t>
            </w:r>
          </w:p>
          <w:p w14:paraId="688580E2">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区域景观影响</w:t>
            </w:r>
          </w:p>
          <w:p w14:paraId="57541600">
            <w:pPr>
              <w:pStyle w:val="2"/>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施工期间植被的破坏、水土流失、施工临时设施的建设，在一定程度上破坏了周边的景观，使施工区与周边景观产生了一定不协调性。但这种情况是暂时的，随着施工结束和周边绿化，景观将逐渐恢复。</w:t>
            </w:r>
          </w:p>
          <w:p w14:paraId="7381D9F7">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对黑土地的影响</w:t>
            </w:r>
          </w:p>
          <w:p w14:paraId="6133CB78">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 w:val="0"/>
                <w:bCs w:val="0"/>
                <w:color w:val="auto"/>
                <w:sz w:val="24"/>
                <w:szCs w:val="24"/>
                <w:highlight w:val="none"/>
              </w:rPr>
              <w:t>为保护地表土质肥沃的表土资源，对占地区表土赋存较好区域进行表土剥离，主体设计在</w:t>
            </w:r>
            <w:r>
              <w:rPr>
                <w:rFonts w:hint="default" w:ascii="Times New Roman" w:hAnsi="Times New Roman" w:eastAsia="宋体" w:cs="Times New Roman"/>
                <w:b w:val="0"/>
                <w:bCs w:val="0"/>
                <w:color w:val="auto"/>
                <w:sz w:val="24"/>
                <w:szCs w:val="24"/>
                <w:highlight w:val="none"/>
                <w:lang w:val="en-US" w:eastAsia="zh-CN"/>
              </w:rPr>
              <w:t>工程</w:t>
            </w:r>
            <w:r>
              <w:rPr>
                <w:rFonts w:hint="default" w:ascii="Times New Roman" w:hAnsi="Times New Roman" w:eastAsia="宋体" w:cs="Times New Roman"/>
                <w:b w:val="0"/>
                <w:bCs w:val="0"/>
                <w:color w:val="auto"/>
                <w:sz w:val="24"/>
                <w:szCs w:val="24"/>
                <w:highlight w:val="none"/>
              </w:rPr>
              <w:t>开挖前进行了表土剥离，将表土</w:t>
            </w:r>
            <w:r>
              <w:rPr>
                <w:rFonts w:hint="default" w:ascii="Times New Roman" w:hAnsi="Times New Roman" w:eastAsia="宋体" w:cs="Times New Roman"/>
                <w:b w:val="0"/>
                <w:bCs w:val="0"/>
                <w:color w:val="auto"/>
                <w:sz w:val="24"/>
                <w:szCs w:val="24"/>
                <w:highlight w:val="none"/>
                <w:lang w:eastAsia="zh-CN"/>
              </w:rPr>
              <w:t>堆置在</w:t>
            </w:r>
            <w:r>
              <w:rPr>
                <w:rFonts w:hint="default" w:ascii="Times New Roman" w:hAnsi="Times New Roman" w:eastAsia="宋体" w:cs="Times New Roman"/>
                <w:b w:val="0"/>
                <w:bCs w:val="0"/>
                <w:color w:val="auto"/>
                <w:sz w:val="24"/>
                <w:szCs w:val="24"/>
                <w:highlight w:val="none"/>
                <w:lang w:val="en-US" w:eastAsia="zh-CN"/>
              </w:rPr>
              <w:t>临时堆土场</w:t>
            </w:r>
            <w:r>
              <w:rPr>
                <w:rFonts w:hint="default" w:ascii="Times New Roman" w:hAnsi="Times New Roman" w:eastAsia="宋体" w:cs="Times New Roman"/>
                <w:b w:val="0"/>
                <w:bCs w:val="0"/>
                <w:color w:val="auto"/>
                <w:sz w:val="24"/>
                <w:szCs w:val="24"/>
                <w:highlight w:val="none"/>
                <w:lang w:eastAsia="zh-CN"/>
              </w:rPr>
              <w:t>，做好拦挡措施，工程结束后，用于恢复临时占地区及植被恢复区，严禁</w:t>
            </w:r>
            <w:r>
              <w:rPr>
                <w:rFonts w:hint="default" w:ascii="Times New Roman" w:hAnsi="Times New Roman" w:eastAsia="宋体" w:cs="Times New Roman"/>
                <w:bCs/>
                <w:color w:val="auto"/>
                <w:sz w:val="24"/>
                <w:highlight w:val="none"/>
                <w:lang w:eastAsia="zh-CN"/>
              </w:rPr>
              <w:t>表土随意丢弃，保护黑土</w:t>
            </w:r>
            <w:r>
              <w:rPr>
                <w:rFonts w:hint="default" w:ascii="Times New Roman" w:hAnsi="Times New Roman" w:eastAsia="宋体" w:cs="Times New Roman"/>
                <w:bCs/>
                <w:color w:val="auto"/>
                <w:sz w:val="24"/>
                <w:highlight w:val="none"/>
              </w:rPr>
              <w:t>。</w:t>
            </w:r>
          </w:p>
          <w:p w14:paraId="2425836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二、水环境影响分析</w:t>
            </w:r>
          </w:p>
          <w:p w14:paraId="471ABF83">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根据工程方案及施工工艺分析，本项目</w:t>
            </w:r>
            <w:r>
              <w:rPr>
                <w:rFonts w:hint="default" w:ascii="Times New Roman" w:hAnsi="Times New Roman" w:cs="Times New Roman"/>
                <w:bCs/>
                <w:color w:val="auto"/>
                <w:sz w:val="24"/>
                <w:highlight w:val="none"/>
                <w:lang w:val="en-US" w:eastAsia="zh-CN"/>
              </w:rPr>
              <w:t>不进行机械冲洗，不产生含油废水，废水主要为</w:t>
            </w:r>
            <w:r>
              <w:rPr>
                <w:rFonts w:hint="default" w:ascii="Times New Roman" w:hAnsi="Times New Roman" w:cs="Times New Roman"/>
                <w:bCs/>
                <w:color w:val="auto"/>
                <w:sz w:val="24"/>
                <w:highlight w:val="none"/>
              </w:rPr>
              <w:t>施工人员临时生活区</w:t>
            </w:r>
            <w:r>
              <w:rPr>
                <w:rFonts w:hint="default" w:ascii="Times New Roman" w:hAnsi="Times New Roman" w:cs="Times New Roman"/>
                <w:color w:val="auto"/>
                <w:sz w:val="24"/>
                <w:highlight w:val="none"/>
              </w:rPr>
              <w:t>产生</w:t>
            </w:r>
            <w:r>
              <w:rPr>
                <w:rFonts w:hint="default" w:ascii="Times New Roman" w:hAnsi="Times New Roman" w:cs="Times New Roman"/>
                <w:bCs/>
                <w:color w:val="auto"/>
                <w:sz w:val="24"/>
                <w:highlight w:val="none"/>
              </w:rPr>
              <w:t>的生活污水</w:t>
            </w:r>
            <w:r>
              <w:rPr>
                <w:rFonts w:hint="default" w:ascii="Times New Roman" w:hAnsi="Times New Roman" w:cs="Times New Roman"/>
                <w:bCs/>
                <w:color w:val="auto"/>
                <w:sz w:val="24"/>
                <w:highlight w:val="none"/>
                <w:lang w:eastAsia="zh-CN"/>
              </w:rPr>
              <w:t>、混凝土拌和和养护废水、基坑废水</w:t>
            </w:r>
            <w:r>
              <w:rPr>
                <w:rFonts w:hint="default" w:ascii="Times New Roman" w:hAnsi="Times New Roman" w:cs="Times New Roman"/>
                <w:bCs/>
                <w:color w:val="auto"/>
                <w:sz w:val="24"/>
                <w:highlight w:val="none"/>
              </w:rPr>
              <w:t>。</w:t>
            </w:r>
          </w:p>
          <w:p w14:paraId="09B7F160">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1、生活污水</w:t>
            </w:r>
          </w:p>
          <w:p w14:paraId="00A9F494">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施工人员按高峰阶段计算，需劳动力人数</w:t>
            </w:r>
            <w:r>
              <w:rPr>
                <w:rFonts w:hint="eastAsia" w:cs="Times New Roman"/>
                <w:color w:val="auto"/>
                <w:sz w:val="24"/>
                <w:highlight w:val="none"/>
                <w:lang w:val="en-US" w:eastAsia="zh-CN"/>
              </w:rPr>
              <w:t>20</w:t>
            </w:r>
            <w:r>
              <w:rPr>
                <w:rFonts w:hint="default" w:ascii="Times New Roman" w:hAnsi="Times New Roman" w:cs="Times New Roman"/>
                <w:color w:val="auto"/>
                <w:sz w:val="24"/>
                <w:highlight w:val="none"/>
              </w:rPr>
              <w:t>人，不设置食堂，采用配餐形式。按照黑龙江省地方标准《用水定额》（DB23/T727</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）规定，以及结合东北地区用水情况，用水量按80L/（人·d）计，生活污水产生量按日用水量的80%计，则生活用水量为</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/d，生活污水产生量为</w:t>
            </w:r>
            <w:r>
              <w:rPr>
                <w:rFonts w:hint="eastAsia" w:cs="Times New Roman"/>
                <w:color w:val="auto"/>
                <w:sz w:val="24"/>
                <w:highlight w:val="none"/>
                <w:lang w:val="en-US" w:eastAsia="zh-CN"/>
              </w:rPr>
              <w:t>1.28</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bCs/>
                <w:color w:val="auto"/>
                <w:sz w:val="24"/>
                <w:highlight w:val="none"/>
              </w:rPr>
              <w:t>污水中主要污染物有COD、</w:t>
            </w:r>
            <w:r>
              <w:rPr>
                <w:rFonts w:hint="default" w:ascii="Times New Roman" w:hAnsi="Times New Roman" w:cs="Times New Roman"/>
                <w:bCs/>
                <w:color w:val="auto"/>
                <w:sz w:val="24"/>
                <w:highlight w:val="none"/>
                <w:lang w:val="en-US" w:eastAsia="zh-CN"/>
              </w:rPr>
              <w:t>BOD</w:t>
            </w:r>
            <w:r>
              <w:rPr>
                <w:rFonts w:hint="default" w:ascii="Times New Roman" w:hAnsi="Times New Roman" w:cs="Times New Roman"/>
                <w:bCs/>
                <w:color w:val="auto"/>
                <w:sz w:val="24"/>
                <w:highlight w:val="none"/>
                <w:vertAlign w:val="subscript"/>
                <w:lang w:val="en-US" w:eastAsia="zh-CN"/>
              </w:rPr>
              <w:t>5</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SS、NH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N等，其浓度一般为300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w:t>
            </w:r>
            <w:r>
              <w:rPr>
                <w:rFonts w:hint="default" w:ascii="Times New Roman" w:hAnsi="Times New Roman" w:cs="Times New Roman"/>
                <w:bCs/>
                <w:color w:val="auto"/>
                <w:sz w:val="24"/>
                <w:highlight w:val="none"/>
                <w:lang w:val="en-US" w:eastAsia="zh-CN"/>
              </w:rPr>
              <w:t>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g/L、25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g/L。生活污水排入防渗旱厕，定期清掏，外运</w:t>
            </w:r>
            <w:r>
              <w:rPr>
                <w:rFonts w:hint="default" w:ascii="Times New Roman" w:hAnsi="Times New Roman" w:cs="Times New Roman"/>
                <w:bCs/>
                <w:color w:val="auto"/>
                <w:sz w:val="24"/>
                <w:highlight w:val="none"/>
                <w:lang w:val="en-US" w:eastAsia="zh-CN"/>
              </w:rPr>
              <w:t>堆肥</w:t>
            </w:r>
            <w:r>
              <w:rPr>
                <w:rFonts w:hint="default" w:ascii="Times New Roman" w:hAnsi="Times New Roman" w:cs="Times New Roman"/>
                <w:bCs/>
                <w:color w:val="auto"/>
                <w:sz w:val="24"/>
                <w:highlight w:val="none"/>
              </w:rPr>
              <w:t>，防止粪便污染周围环境。</w:t>
            </w:r>
          </w:p>
          <w:p w14:paraId="1476C902">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2、</w:t>
            </w:r>
            <w:r>
              <w:rPr>
                <w:rFonts w:hint="default" w:ascii="Times New Roman" w:hAnsi="Times New Roman" w:cs="Times New Roman"/>
                <w:b/>
                <w:bCs/>
                <w:color w:val="auto"/>
                <w:sz w:val="24"/>
                <w:szCs w:val="32"/>
                <w:highlight w:val="none"/>
              </w:rPr>
              <w:t>碱性废水</w:t>
            </w:r>
          </w:p>
          <w:p w14:paraId="74EFFA9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工程施工过程中，混凝土</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系统废水主要来源于混凝土转筒和料罐的冲洗，废水含有较高的悬浮物和pH值。根据混凝土浇筑部位，本工程设置1台0.</w:t>
            </w:r>
            <w:r>
              <w:rPr>
                <w:rFonts w:hint="default" w:ascii="Times New Roman" w:hAnsi="Times New Roman" w:cs="Times New Roman"/>
                <w:color w:val="auto"/>
                <w:sz w:val="24"/>
                <w:szCs w:val="32"/>
                <w:highlight w:val="none"/>
                <w:lang w:val="en-US" w:eastAsia="zh-CN"/>
              </w:rPr>
              <w:t>8</w:t>
            </w:r>
            <w:r>
              <w:rPr>
                <w:rFonts w:hint="default" w:ascii="Times New Roman" w:hAnsi="Times New Roman" w:cs="Times New Roman"/>
                <w:color w:val="auto"/>
                <w:sz w:val="24"/>
                <w:szCs w:val="32"/>
                <w:highlight w:val="none"/>
                <w:lang w:eastAsia="zh-CN"/>
              </w:rPr>
              <w:t>m</w:t>
            </w:r>
            <w:r>
              <w:rPr>
                <w:rFonts w:hint="default" w:ascii="Times New Roman" w:hAnsi="Times New Roman" w:cs="Times New Roman"/>
                <w:color w:val="auto"/>
                <w:sz w:val="24"/>
                <w:szCs w:val="32"/>
                <w:highlight w:val="none"/>
                <w:vertAlign w:val="superscript"/>
              </w:rPr>
              <w:t>3</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机，</w:t>
            </w:r>
            <w:r>
              <w:rPr>
                <w:rFonts w:hint="default" w:ascii="Times New Roman" w:hAnsi="Times New Roman" w:cs="Times New Roman"/>
                <w:color w:val="auto"/>
                <w:sz w:val="24"/>
                <w:szCs w:val="32"/>
                <w:highlight w:val="none"/>
                <w:lang w:val="en-US" w:eastAsia="zh-CN"/>
              </w:rPr>
              <w:t>根据《水电水利工程施工环境保护技术规程》（DL_T 5260—2010）附录C，料罐冲洗用水为10～20L/s，本次取15L/s，每天冲洗1次，每次冲洗5min，则用水量为4.5m</w:t>
            </w:r>
            <w:r>
              <w:rPr>
                <w:rFonts w:hint="default" w:ascii="Times New Roman" w:hAnsi="Times New Roman" w:cs="Times New Roman"/>
                <w:color w:val="auto"/>
                <w:sz w:val="24"/>
                <w:szCs w:val="32"/>
                <w:highlight w:val="none"/>
                <w:vertAlign w:val="superscript"/>
                <w:lang w:val="en-US" w:eastAsia="zh-CN"/>
              </w:rPr>
              <w:t>3</w:t>
            </w:r>
            <w:r>
              <w:rPr>
                <w:rFonts w:hint="default" w:ascii="Times New Roman" w:hAnsi="Times New Roman" w:cs="Times New Roman"/>
                <w:color w:val="auto"/>
                <w:sz w:val="24"/>
                <w:szCs w:val="32"/>
                <w:highlight w:val="none"/>
                <w:lang w:val="en-US" w:eastAsia="zh-CN"/>
              </w:rPr>
              <w:t>/d，</w:t>
            </w:r>
            <w:r>
              <w:rPr>
                <w:rFonts w:hint="default" w:ascii="Times New Roman" w:hAnsi="Times New Roman" w:cs="Times New Roman"/>
                <w:color w:val="auto"/>
                <w:sz w:val="24"/>
                <w:szCs w:val="32"/>
                <w:highlight w:val="none"/>
              </w:rPr>
              <w:t>冲洗产生废水约</w:t>
            </w:r>
            <w:r>
              <w:rPr>
                <w:rFonts w:hint="default" w:ascii="Times New Roman" w:hAnsi="Times New Roman" w:cs="Times New Roman"/>
                <w:color w:val="auto"/>
                <w:sz w:val="24"/>
                <w:szCs w:val="32"/>
                <w:highlight w:val="none"/>
                <w:lang w:val="en-US" w:eastAsia="zh-CN"/>
              </w:rPr>
              <w:t>3.6</w:t>
            </w:r>
            <w:r>
              <w:rPr>
                <w:rFonts w:hint="default" w:ascii="Times New Roman" w:hAnsi="Times New Roman" w:cs="Times New Roman"/>
                <w:color w:val="auto"/>
                <w:sz w:val="24"/>
                <w:szCs w:val="32"/>
                <w:highlight w:val="none"/>
                <w:lang w:eastAsia="zh-CN"/>
              </w:rPr>
              <w:t>m</w:t>
            </w:r>
            <w:r>
              <w:rPr>
                <w:rFonts w:hint="default" w:ascii="Times New Roman" w:hAnsi="Times New Roman" w:cs="Times New Roman"/>
                <w:color w:val="auto"/>
                <w:sz w:val="24"/>
                <w:szCs w:val="32"/>
                <w:highlight w:val="none"/>
                <w:vertAlign w:val="superscript"/>
                <w:lang w:eastAsia="zh-CN"/>
              </w:rPr>
              <w:t>3</w:t>
            </w:r>
            <w:r>
              <w:rPr>
                <w:rFonts w:hint="default" w:ascii="Times New Roman" w:hAnsi="Times New Roman" w:cs="Times New Roman"/>
                <w:color w:val="auto"/>
                <w:sz w:val="24"/>
                <w:szCs w:val="32"/>
                <w:highlight w:val="none"/>
              </w:rPr>
              <w:t>/d；</w:t>
            </w:r>
            <w:r>
              <w:rPr>
                <w:rFonts w:hint="default" w:ascii="Times New Roman" w:hAnsi="Times New Roman" w:cs="Times New Roman"/>
                <w:color w:val="auto"/>
                <w:sz w:val="24"/>
                <w:szCs w:val="32"/>
                <w:highlight w:val="none"/>
                <w:lang w:val="en-US" w:eastAsia="zh-CN"/>
              </w:rPr>
              <w:t>根据附录B，混凝土拌和冲洗废水悬浮物SS浓度为500～5000mg/L，pH值为9～12。</w:t>
            </w:r>
            <w:r>
              <w:rPr>
                <w:rFonts w:hint="default" w:ascii="Times New Roman" w:hAnsi="Times New Roman" w:cs="Times New Roman"/>
                <w:color w:val="auto"/>
                <w:sz w:val="24"/>
                <w:szCs w:val="32"/>
                <w:highlight w:val="none"/>
              </w:rPr>
              <w:t>本次工程拟在</w:t>
            </w:r>
            <w:r>
              <w:rPr>
                <w:rFonts w:hint="default" w:ascii="Times New Roman" w:hAnsi="Times New Roman" w:cs="Times New Roman"/>
                <w:color w:val="auto"/>
                <w:sz w:val="24"/>
                <w:szCs w:val="32"/>
                <w:highlight w:val="none"/>
                <w:lang w:eastAsia="zh-CN"/>
              </w:rPr>
              <w:t>生产</w:t>
            </w:r>
            <w:r>
              <w:rPr>
                <w:rFonts w:hint="default" w:ascii="Times New Roman" w:hAnsi="Times New Roman" w:cs="Times New Roman"/>
                <w:color w:val="auto"/>
                <w:sz w:val="24"/>
                <w:szCs w:val="32"/>
                <w:highlight w:val="none"/>
              </w:rPr>
              <w:t>设置一处沉淀池</w:t>
            </w:r>
            <w:r>
              <w:rPr>
                <w:rFonts w:hint="default" w:ascii="Times New Roman" w:hAnsi="Times New Roman" w:cs="Times New Roman"/>
                <w:color w:val="auto"/>
                <w:sz w:val="24"/>
                <w:szCs w:val="32"/>
                <w:highlight w:val="none"/>
                <w:lang w:eastAsia="zh-CN"/>
              </w:rPr>
              <w:t>、中和池、清水池组合工艺</w:t>
            </w:r>
            <w:r>
              <w:rPr>
                <w:rFonts w:hint="default" w:ascii="Times New Roman" w:hAnsi="Times New Roman" w:cs="Times New Roman"/>
                <w:color w:val="auto"/>
                <w:sz w:val="24"/>
                <w:szCs w:val="32"/>
                <w:highlight w:val="none"/>
              </w:rPr>
              <w:t>收集</w:t>
            </w:r>
            <w:r>
              <w:rPr>
                <w:rFonts w:hint="default" w:ascii="Times New Roman" w:hAnsi="Times New Roman" w:cs="Times New Roman"/>
                <w:color w:val="auto"/>
                <w:sz w:val="24"/>
                <w:szCs w:val="32"/>
                <w:highlight w:val="none"/>
                <w:lang w:eastAsia="zh-CN"/>
              </w:rPr>
              <w:t>处理</w:t>
            </w:r>
            <w:r>
              <w:rPr>
                <w:rFonts w:hint="default" w:ascii="Times New Roman" w:hAnsi="Times New Roman" w:cs="Times New Roman"/>
                <w:color w:val="auto"/>
                <w:sz w:val="24"/>
                <w:szCs w:val="32"/>
                <w:highlight w:val="none"/>
              </w:rPr>
              <w:t>冲洗废水。混凝土</w:t>
            </w:r>
            <w:r>
              <w:rPr>
                <w:rFonts w:hint="default" w:ascii="Times New Roman" w:hAnsi="Times New Roman" w:cs="Times New Roman"/>
                <w:color w:val="auto"/>
                <w:sz w:val="24"/>
                <w:szCs w:val="32"/>
                <w:highlight w:val="none"/>
                <w:lang w:eastAsia="zh-CN"/>
              </w:rPr>
              <w:t>拌和</w:t>
            </w:r>
            <w:r>
              <w:rPr>
                <w:rFonts w:hint="default" w:ascii="Times New Roman" w:hAnsi="Times New Roman" w:cs="Times New Roman"/>
                <w:color w:val="auto"/>
                <w:sz w:val="24"/>
                <w:szCs w:val="32"/>
                <w:highlight w:val="none"/>
              </w:rPr>
              <w:t>废水经过中和及沉淀后回用于周边洒水降尘，不向外环境排放。</w:t>
            </w:r>
          </w:p>
          <w:p w14:paraId="1C48F0C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混凝土工程在养护过程中会产生少量的养护废水，基本不会形成径流。混凝土的养护应采取在混凝土表面处于潮湿状态时，迅速采用麻布、草帘等材料将暴露面混凝土覆盖或包裹，再用</w:t>
            </w:r>
            <w:r>
              <w:rPr>
                <w:rFonts w:hint="default" w:ascii="Times New Roman" w:hAnsi="Times New Roman" w:cs="Times New Roman"/>
                <w:color w:val="auto"/>
                <w:sz w:val="24"/>
                <w:szCs w:val="32"/>
                <w:highlight w:val="none"/>
              </w:rPr>
              <w:fldChar w:fldCharType="begin"/>
            </w:r>
            <w:r>
              <w:rPr>
                <w:rFonts w:hint="default" w:ascii="Times New Roman" w:hAnsi="Times New Roman" w:cs="Times New Roman"/>
                <w:color w:val="auto"/>
                <w:sz w:val="24"/>
                <w:szCs w:val="32"/>
                <w:highlight w:val="none"/>
              </w:rPr>
              <w:instrText xml:space="preserve"> HYPERLINK "https://baike.sogou.com/lemma/ShowInnerLink.htm?lemmaId=183554&amp;ss_c=ssc.citiao.link" \t "_blank" </w:instrText>
            </w:r>
            <w:r>
              <w:rPr>
                <w:rFonts w:hint="default" w:ascii="Times New Roman" w:hAnsi="Times New Roman" w:cs="Times New Roman"/>
                <w:color w:val="auto"/>
                <w:sz w:val="24"/>
                <w:szCs w:val="32"/>
                <w:highlight w:val="none"/>
              </w:rPr>
              <w:fldChar w:fldCharType="separate"/>
            </w:r>
            <w:r>
              <w:rPr>
                <w:rFonts w:hint="default" w:ascii="Times New Roman" w:hAnsi="Times New Roman" w:cs="Times New Roman"/>
                <w:color w:val="auto"/>
                <w:sz w:val="24"/>
                <w:szCs w:val="32"/>
                <w:highlight w:val="none"/>
              </w:rPr>
              <w:t>塑料布</w:t>
            </w:r>
            <w:r>
              <w:rPr>
                <w:rFonts w:hint="default" w:ascii="Times New Roman" w:hAnsi="Times New Roman" w:cs="Times New Roman"/>
                <w:color w:val="auto"/>
                <w:sz w:val="24"/>
                <w:szCs w:val="32"/>
                <w:highlight w:val="none"/>
              </w:rPr>
              <w:fldChar w:fldCharType="end"/>
            </w:r>
            <w:r>
              <w:rPr>
                <w:rFonts w:hint="default" w:ascii="Times New Roman" w:hAnsi="Times New Roman" w:cs="Times New Roman"/>
                <w:color w:val="auto"/>
                <w:sz w:val="24"/>
                <w:szCs w:val="32"/>
                <w:highlight w:val="none"/>
              </w:rPr>
              <w:t>或帆布等将麻布、草帘等保湿材料包覆。包覆期间，包覆物应完好无损，彼此搭接完整，内表面应具有凝结水珠。若在养护过程中出现覆盖物干燥情况，可采用喷水的方式将覆盖物喷湿进行养护，养护过程的水分完全靠蒸发，不形成径流进入土壤和附近水体，养护废水对周边环境影响甚微。</w:t>
            </w:r>
          </w:p>
          <w:p w14:paraId="512A08F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none"/>
              </w:rPr>
            </w:pPr>
            <w:r>
              <w:rPr>
                <w:rFonts w:hint="default" w:ascii="Times New Roman" w:hAnsi="Times New Roman" w:cs="Times New Roman"/>
                <w:b/>
                <w:bCs/>
                <w:color w:val="auto"/>
                <w:sz w:val="24"/>
                <w:szCs w:val="32"/>
                <w:highlight w:val="none"/>
                <w:lang w:val="en-US" w:eastAsia="zh-CN"/>
              </w:rPr>
              <w:t>3、</w:t>
            </w:r>
            <w:r>
              <w:rPr>
                <w:rFonts w:hint="default" w:ascii="Times New Roman" w:hAnsi="Times New Roman" w:cs="Times New Roman"/>
                <w:b/>
                <w:bCs/>
                <w:color w:val="auto"/>
                <w:sz w:val="24"/>
                <w:szCs w:val="32"/>
                <w:highlight w:val="none"/>
              </w:rPr>
              <w:t>基坑排水</w:t>
            </w:r>
          </w:p>
          <w:p w14:paraId="2882643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工程施工过程中由于基础开挖将产生基坑，</w:t>
            </w:r>
            <w:r>
              <w:rPr>
                <w:rFonts w:hint="eastAsia" w:cs="Times New Roman"/>
                <w:color w:val="auto"/>
                <w:sz w:val="24"/>
                <w:szCs w:val="32"/>
                <w:highlight w:val="none"/>
                <w:lang w:val="en-US" w:eastAsia="zh-CN"/>
              </w:rPr>
              <w:t>本项目在枯水期施工，</w:t>
            </w:r>
            <w:r>
              <w:rPr>
                <w:rFonts w:hint="default" w:ascii="Times New Roman" w:hAnsi="Times New Roman" w:cs="Times New Roman"/>
                <w:color w:val="auto"/>
                <w:sz w:val="24"/>
                <w:szCs w:val="32"/>
                <w:highlight w:val="none"/>
              </w:rPr>
              <w:t>因施工弃水等因素，在基坑内有基坑废水产生，需要经常性排水。</w:t>
            </w:r>
            <w:r>
              <w:rPr>
                <w:rFonts w:hint="default" w:ascii="Times New Roman" w:hAnsi="Times New Roman" w:cs="Times New Roman"/>
                <w:color w:val="auto"/>
                <w:sz w:val="24"/>
                <w:szCs w:val="32"/>
                <w:highlight w:val="none"/>
                <w:lang w:val="en-US" w:eastAsia="zh-CN"/>
              </w:rPr>
              <w:t>根据《水电水利工程施工环境保护技术规程》（DL/T 5260—2010）附录B，</w:t>
            </w:r>
            <w:r>
              <w:rPr>
                <w:rFonts w:hint="default" w:ascii="Times New Roman" w:hAnsi="Times New Roman" w:cs="Times New Roman"/>
                <w:color w:val="auto"/>
                <w:sz w:val="24"/>
                <w:szCs w:val="32"/>
                <w:highlight w:val="none"/>
              </w:rPr>
              <w:t>基坑排水主要污染物为SS，</w:t>
            </w:r>
            <w:r>
              <w:rPr>
                <w:rFonts w:hint="default" w:ascii="Times New Roman" w:hAnsi="Times New Roman" w:cs="Times New Roman"/>
                <w:color w:val="auto"/>
                <w:sz w:val="24"/>
                <w:szCs w:val="32"/>
                <w:highlight w:val="none"/>
                <w:lang w:val="en-US" w:eastAsia="zh-CN"/>
              </w:rPr>
              <w:t>SS浓度为1500mg/L～2500mg/L，</w:t>
            </w:r>
            <w:r>
              <w:rPr>
                <w:rFonts w:hint="default" w:ascii="Times New Roman" w:hAnsi="Times New Roman" w:cs="Times New Roman"/>
                <w:color w:val="auto"/>
                <w:sz w:val="24"/>
                <w:szCs w:val="32"/>
                <w:highlight w:val="none"/>
              </w:rPr>
              <w:t>其他污染物很少，如果不经处理直接进入地表水体将会对河流水质产生不利影响。因此，基坑排水经沉淀池沉淀后用于周边洒水降尘，不外排。</w:t>
            </w:r>
          </w:p>
          <w:p w14:paraId="74342BA2">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4、</w:t>
            </w:r>
            <w:r>
              <w:rPr>
                <w:rFonts w:hint="default" w:ascii="Times New Roman" w:hAnsi="Times New Roman" w:cs="Times New Roman"/>
                <w:b/>
                <w:bCs w:val="0"/>
                <w:color w:val="auto"/>
                <w:sz w:val="24"/>
                <w:highlight w:val="none"/>
              </w:rPr>
              <w:t>含油废水</w:t>
            </w:r>
          </w:p>
          <w:p w14:paraId="6466A97A">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kern w:val="0"/>
                <w:sz w:val="24"/>
                <w:szCs w:val="21"/>
                <w:highlight w:val="none"/>
              </w:rPr>
            </w:pPr>
            <w:r>
              <w:rPr>
                <w:rFonts w:hint="default" w:ascii="Times New Roman" w:hAnsi="Times New Roman" w:cs="Times New Roman"/>
                <w:bCs/>
                <w:color w:val="auto"/>
                <w:sz w:val="24"/>
                <w:highlight w:val="none"/>
                <w:lang w:val="en-US" w:eastAsia="zh-CN"/>
              </w:rPr>
              <w:t>本项目</w:t>
            </w:r>
            <w:r>
              <w:rPr>
                <w:rFonts w:hint="default" w:ascii="Times New Roman" w:hAnsi="Times New Roman" w:cs="Times New Roman"/>
                <w:bCs/>
                <w:color w:val="auto"/>
                <w:sz w:val="24"/>
                <w:highlight w:val="none"/>
              </w:rPr>
              <w:t>施工机械、车辆检修、维护、清洗</w:t>
            </w:r>
            <w:r>
              <w:rPr>
                <w:rFonts w:hint="default" w:ascii="Times New Roman" w:hAnsi="Times New Roman" w:cs="Times New Roman"/>
                <w:bCs/>
                <w:color w:val="auto"/>
                <w:sz w:val="24"/>
                <w:highlight w:val="none"/>
                <w:lang w:val="en-US" w:eastAsia="zh-CN"/>
              </w:rPr>
              <w:t>等工序均外委给当地机械工厂进行，因此本项目无含油废水产生</w:t>
            </w:r>
            <w:r>
              <w:rPr>
                <w:rFonts w:hint="default" w:ascii="Times New Roman" w:hAnsi="Times New Roman" w:cs="Times New Roman"/>
                <w:bCs/>
                <w:color w:val="auto"/>
                <w:sz w:val="24"/>
                <w:highlight w:val="none"/>
              </w:rPr>
              <w:t>。</w:t>
            </w:r>
          </w:p>
          <w:p w14:paraId="7F440C30">
            <w:pPr>
              <w:keepNext w:val="0"/>
              <w:keepLines w:val="0"/>
              <w:pageBreakBefore w:val="0"/>
              <w:kinsoku/>
              <w:wordWrap/>
              <w:overflowPunct/>
              <w:topLinePunct w:val="0"/>
              <w:autoSpaceDE/>
              <w:autoSpaceDN/>
              <w:bidi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lang w:val="en-US" w:eastAsia="zh-CN"/>
              </w:rPr>
              <w:t>施工导流</w:t>
            </w:r>
          </w:p>
          <w:p w14:paraId="3C73665E">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rPr>
              <w:t>本工程为</w:t>
            </w:r>
            <w:r>
              <w:rPr>
                <w:rFonts w:hint="eastAsia" w:cs="Times New Roman"/>
                <w:color w:val="auto"/>
                <w:szCs w:val="24"/>
                <w:highlight w:val="none"/>
                <w:lang w:val="en-US" w:eastAsia="zh-CN"/>
              </w:rPr>
              <w:t>河道改道</w:t>
            </w:r>
            <w:r>
              <w:rPr>
                <w:rFonts w:hint="default" w:ascii="Times New Roman" w:hAnsi="Times New Roman" w:eastAsia="宋体" w:cs="Times New Roman"/>
                <w:color w:val="auto"/>
                <w:szCs w:val="24"/>
                <w:highlight w:val="none"/>
              </w:rPr>
              <w:t>工程，其结构型式为</w:t>
            </w:r>
            <w:r>
              <w:rPr>
                <w:rFonts w:cs="Times New Roman"/>
                <w:highlight w:val="none"/>
              </w:rPr>
              <w:t>格宾石笼护砌</w:t>
            </w:r>
            <w:r>
              <w:rPr>
                <w:rFonts w:hint="default" w:ascii="Times New Roman" w:hAnsi="Times New Roman" w:eastAsia="宋体" w:cs="Times New Roman"/>
                <w:color w:val="auto"/>
                <w:szCs w:val="24"/>
                <w:highlight w:val="none"/>
              </w:rPr>
              <w:t>。工程量相对不大且可在一个枯水期施工完成，根据水文资料、水面线及工程设计情况，该工程施工时水位低于工程设计护脚高程，无需修筑围堰。综上本工程施工期间无需导流</w:t>
            </w:r>
            <w:r>
              <w:rPr>
                <w:rFonts w:hint="default" w:ascii="Times New Roman" w:hAnsi="Times New Roman" w:eastAsia="宋体" w:cs="Times New Roman"/>
                <w:color w:val="auto"/>
                <w:szCs w:val="24"/>
                <w:highlight w:val="none"/>
                <w:lang w:eastAsia="zh-CN"/>
              </w:rPr>
              <w:t>。</w:t>
            </w:r>
          </w:p>
          <w:p w14:paraId="0DDDD4D1">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szCs w:val="32"/>
                <w:highlight w:val="yellow"/>
                <w:lang w:val="en-US" w:eastAsia="zh-CN"/>
              </w:rPr>
            </w:pPr>
            <w:r>
              <w:rPr>
                <w:rFonts w:hint="default" w:ascii="Times New Roman" w:hAnsi="Times New Roman" w:cs="Times New Roman"/>
                <w:b/>
                <w:bCs/>
                <w:color w:val="auto"/>
                <w:sz w:val="24"/>
                <w:szCs w:val="32"/>
                <w:highlight w:val="yellow"/>
                <w:lang w:val="en-US" w:eastAsia="zh-CN"/>
              </w:rPr>
              <w:t>6、施工对水质的影响分析</w:t>
            </w:r>
          </w:p>
          <w:p w14:paraId="2E241CE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szCs w:val="32"/>
                <w:highlight w:val="yellow"/>
                <w:lang w:val="en-US" w:eastAsia="zh-CN"/>
              </w:rPr>
            </w:pPr>
            <w:r>
              <w:rPr>
                <w:rFonts w:hint="eastAsia" w:cs="Times New Roman"/>
                <w:color w:val="auto"/>
                <w:sz w:val="24"/>
                <w:szCs w:val="32"/>
                <w:highlight w:val="yellow"/>
                <w:lang w:val="en-US" w:eastAsia="zh-CN"/>
              </w:rPr>
              <w:t>本项目在枯水期施工，</w:t>
            </w:r>
            <w:r>
              <w:rPr>
                <w:rFonts w:hint="default" w:ascii="Times New Roman" w:hAnsi="Times New Roman" w:cs="Times New Roman"/>
                <w:color w:val="auto"/>
                <w:sz w:val="24"/>
                <w:szCs w:val="32"/>
                <w:highlight w:val="yellow"/>
                <w:lang w:val="en-US" w:eastAsia="zh-CN"/>
              </w:rPr>
              <w:t>基础施工和机械作业可能搅动底泥，引起SS浓度升高。</w:t>
            </w:r>
            <w:r>
              <w:rPr>
                <w:rFonts w:hint="eastAsia" w:cs="Times New Roman"/>
                <w:color w:val="auto"/>
                <w:sz w:val="24"/>
                <w:szCs w:val="32"/>
                <w:highlight w:val="yellow"/>
                <w:lang w:val="en-US" w:eastAsia="zh-CN"/>
              </w:rPr>
              <w:t>枯水期河水水量较小，施工对水质影响较小。</w:t>
            </w:r>
            <w:r>
              <w:rPr>
                <w:rFonts w:hint="default" w:ascii="Times New Roman" w:hAnsi="Times New Roman" w:cs="Times New Roman"/>
                <w:color w:val="auto"/>
                <w:sz w:val="24"/>
                <w:szCs w:val="32"/>
                <w:highlight w:val="yellow"/>
                <w:lang w:val="en-US" w:eastAsia="zh-CN"/>
              </w:rPr>
              <w:t>施工结束后，水体会逐步恢复水质。</w:t>
            </w:r>
          </w:p>
          <w:p w14:paraId="32EAD6B8">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施工对水文情势的影响</w:t>
            </w:r>
          </w:p>
          <w:p w14:paraId="446D1F9D">
            <w:pPr>
              <w:pStyle w:val="84"/>
              <w:keepNext w:val="0"/>
              <w:keepLines w:val="0"/>
              <w:pageBreakBefore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通过施工方式、导流方式和导流时段分析，工程施工围堰的建设主要影响围堰周边水流流向，对河道总体流向无影响，工程施工期间，不会造成河床断流，河流水量不减少，对</w:t>
            </w:r>
            <w:r>
              <w:rPr>
                <w:rFonts w:hint="eastAsia" w:cs="Times New Roman"/>
                <w:color w:val="auto"/>
                <w:highlight w:val="none"/>
                <w:lang w:eastAsia="zh-CN"/>
              </w:rPr>
              <w:t>格木克河</w:t>
            </w:r>
            <w:r>
              <w:rPr>
                <w:rFonts w:hint="default" w:ascii="Times New Roman" w:hAnsi="Times New Roman" w:cs="Times New Roman"/>
                <w:color w:val="auto"/>
                <w:highlight w:val="none"/>
              </w:rPr>
              <w:t>的水文情势影响较小。</w:t>
            </w:r>
          </w:p>
          <w:p w14:paraId="725DE058">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三、环境空气影响分析</w:t>
            </w:r>
          </w:p>
          <w:p w14:paraId="032E265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本工程施工期的大气污染源主要包括土石方开挖和回填产生的粉尘和扬尘、运输车辆产生的扬尘和排放的尾气、施工机械产生的燃油废气。</w:t>
            </w:r>
          </w:p>
          <w:p w14:paraId="10440D64">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rPr>
              <w:t>施工粉尘和扬尘影响分析</w:t>
            </w:r>
          </w:p>
          <w:p w14:paraId="48F0585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施工粉尘主要来源于混凝土</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，土方开挖、回填，工程物资（砂石等）装卸、堆放，施工垃圾堆放、清运等过程。施工区粉尘的排放具有短暂性与瞬时性，粉尘产生量较大的施工活动主要在施工现场。</w:t>
            </w:r>
          </w:p>
          <w:p w14:paraId="7AE6D867">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本项目在混凝土搅拌过程中均存在持续的粉尘产生，本次评价考虑该搅拌过程为持续排放，类比其他类似企业产生粉尘浓度可达1200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机每天运行时间约8h，则施工期运行</w:t>
            </w:r>
            <w:r>
              <w:rPr>
                <w:rFonts w:hint="eastAsia" w:cs="Times New Roman"/>
                <w:bCs/>
                <w:color w:val="auto"/>
                <w:sz w:val="24"/>
                <w:highlight w:val="none"/>
                <w:lang w:val="en-US" w:eastAsia="zh-CN"/>
              </w:rPr>
              <w:t>72</w:t>
            </w:r>
            <w:r>
              <w:rPr>
                <w:rFonts w:hint="default" w:ascii="Times New Roman" w:hAnsi="Times New Roman" w:cs="Times New Roman"/>
                <w:bCs/>
                <w:color w:val="auto"/>
                <w:sz w:val="24"/>
                <w:highlight w:val="none"/>
                <w:lang w:val="en-US" w:eastAsia="zh-CN"/>
              </w:rPr>
              <w:t>0</w:t>
            </w:r>
            <w:r>
              <w:rPr>
                <w:rFonts w:hint="default" w:ascii="Times New Roman" w:hAnsi="Times New Roman" w:cs="Times New Roman"/>
                <w:bCs/>
                <w:color w:val="auto"/>
                <w:sz w:val="24"/>
                <w:highlight w:val="none"/>
              </w:rPr>
              <w:t>h。经参考《逸散性工业粉尘控制技术》一书，确定本项目搅拌工段粉尘产生系数为0.2kg/t物料，项目搅拌机粉状原料下料量约为</w:t>
            </w:r>
            <w:r>
              <w:rPr>
                <w:rFonts w:hint="eastAsia" w:cs="Times New Roman"/>
                <w:bCs/>
                <w:color w:val="auto"/>
                <w:sz w:val="24"/>
                <w:highlight w:val="none"/>
                <w:lang w:val="en-US" w:eastAsia="zh-CN"/>
              </w:rPr>
              <w:t>1683</w:t>
            </w:r>
            <w:r>
              <w:rPr>
                <w:rFonts w:hint="default" w:ascii="Times New Roman" w:hAnsi="Times New Roman" w:cs="Times New Roman"/>
                <w:bCs/>
                <w:color w:val="auto"/>
                <w:sz w:val="24"/>
                <w:highlight w:val="none"/>
              </w:rPr>
              <w:t>t，则搅拌粉尘产生量约为</w:t>
            </w:r>
            <w:r>
              <w:rPr>
                <w:rFonts w:hint="eastAsia" w:cs="Times New Roman"/>
                <w:bCs/>
                <w:color w:val="auto"/>
                <w:sz w:val="24"/>
                <w:highlight w:val="none"/>
                <w:lang w:val="en-US" w:eastAsia="zh-CN"/>
              </w:rPr>
              <w:t>0.34</w:t>
            </w:r>
            <w:r>
              <w:rPr>
                <w:rFonts w:hint="default" w:ascii="Times New Roman" w:hAnsi="Times New Roman" w:cs="Times New Roman"/>
                <w:bCs/>
                <w:color w:val="auto"/>
                <w:sz w:val="24"/>
                <w:highlight w:val="none"/>
              </w:rPr>
              <w:t>t、</w:t>
            </w:r>
            <w:r>
              <w:rPr>
                <w:rFonts w:hint="eastAsia" w:cs="Times New Roman"/>
                <w:bCs/>
                <w:color w:val="auto"/>
                <w:sz w:val="24"/>
                <w:highlight w:val="none"/>
                <w:lang w:val="en-US" w:eastAsia="zh-CN"/>
              </w:rPr>
              <w:t>0.47</w:t>
            </w:r>
            <w:r>
              <w:rPr>
                <w:rFonts w:hint="default" w:ascii="Times New Roman" w:hAnsi="Times New Roman" w:cs="Times New Roman"/>
                <w:bCs/>
                <w:color w:val="auto"/>
                <w:sz w:val="24"/>
                <w:highlight w:val="none"/>
              </w:rPr>
              <w:t>kg/h。</w:t>
            </w:r>
            <w:r>
              <w:rPr>
                <w:rFonts w:hint="default" w:ascii="Times New Roman" w:hAnsi="Times New Roman" w:cs="Times New Roman"/>
                <w:bCs/>
                <w:color w:val="auto"/>
                <w:sz w:val="24"/>
                <w:highlight w:val="none"/>
                <w:lang w:eastAsia="zh-CN"/>
              </w:rPr>
              <w:t>拌和</w:t>
            </w:r>
            <w:r>
              <w:rPr>
                <w:rFonts w:hint="default" w:ascii="Times New Roman" w:hAnsi="Times New Roman" w:cs="Times New Roman"/>
                <w:bCs/>
                <w:color w:val="auto"/>
                <w:sz w:val="24"/>
                <w:highlight w:val="none"/>
              </w:rPr>
              <w:t>机配套除尘设备（除尘效率99%），粉尘经处理后排放，粉尘排放量约为</w:t>
            </w:r>
            <w:r>
              <w:rPr>
                <w:rFonts w:hint="default" w:ascii="Times New Roman" w:hAnsi="Times New Roman" w:cs="Times New Roman"/>
                <w:bCs/>
                <w:color w:val="auto"/>
                <w:sz w:val="24"/>
                <w:highlight w:val="none"/>
                <w:lang w:val="en-US" w:eastAsia="zh-CN"/>
              </w:rPr>
              <w:t>0.0</w:t>
            </w:r>
            <w:r>
              <w:rPr>
                <w:rFonts w:hint="eastAsia" w:cs="Times New Roman"/>
                <w:bCs/>
                <w:color w:val="auto"/>
                <w:sz w:val="24"/>
                <w:highlight w:val="none"/>
                <w:lang w:val="en-US" w:eastAsia="zh-CN"/>
              </w:rPr>
              <w:t>034</w:t>
            </w:r>
            <w:r>
              <w:rPr>
                <w:rFonts w:hint="default" w:ascii="Times New Roman" w:hAnsi="Times New Roman" w:cs="Times New Roman"/>
                <w:bCs/>
                <w:color w:val="auto"/>
                <w:sz w:val="24"/>
                <w:highlight w:val="none"/>
              </w:rPr>
              <w:t>t、0.</w:t>
            </w:r>
            <w:r>
              <w:rPr>
                <w:rFonts w:hint="eastAsia" w:cs="Times New Roman"/>
                <w:bCs/>
                <w:color w:val="auto"/>
                <w:sz w:val="24"/>
                <w:highlight w:val="none"/>
                <w:lang w:val="en-US" w:eastAsia="zh-CN"/>
              </w:rPr>
              <w:t>0047</w:t>
            </w:r>
            <w:r>
              <w:rPr>
                <w:rFonts w:hint="default" w:ascii="Times New Roman" w:hAnsi="Times New Roman" w:cs="Times New Roman"/>
                <w:bCs/>
                <w:color w:val="auto"/>
                <w:sz w:val="24"/>
                <w:highlight w:val="none"/>
              </w:rPr>
              <w:t>kg/h。</w:t>
            </w:r>
          </w:p>
          <w:p w14:paraId="6E66D7FD">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参考《排放源统计调查产排污核算方法和系数手册》（3021、3022、3029 水泥制品制造行业系数手册）中3021水泥制品制造（含3022 砼结构构件、3029 其他水泥类似制品制造）的行业系数，颗粒物产污系数为0.12kg/t（产品），本项目物料砂石、水泥用量合计</w:t>
            </w:r>
            <w:r>
              <w:rPr>
                <w:rFonts w:hint="eastAsia" w:cs="Times New Roman"/>
                <w:bCs/>
                <w:color w:val="auto"/>
                <w:sz w:val="24"/>
                <w:highlight w:val="none"/>
                <w:lang w:val="en-US" w:eastAsia="zh-CN"/>
              </w:rPr>
              <w:t>1683</w:t>
            </w:r>
            <w:r>
              <w:rPr>
                <w:rFonts w:hint="default" w:ascii="Times New Roman" w:hAnsi="Times New Roman" w:cs="Times New Roman"/>
                <w:bCs/>
                <w:color w:val="auto"/>
                <w:sz w:val="24"/>
                <w:highlight w:val="none"/>
                <w:lang w:val="en-US" w:eastAsia="zh-CN"/>
              </w:rPr>
              <w:t>t，计算得出项目物料储存的颗粒物产生量为</w:t>
            </w:r>
            <w:r>
              <w:rPr>
                <w:rFonts w:hint="eastAsia" w:cs="Times New Roman"/>
                <w:bCs/>
                <w:color w:val="auto"/>
                <w:sz w:val="24"/>
                <w:highlight w:val="none"/>
                <w:lang w:val="en-US" w:eastAsia="zh-CN"/>
              </w:rPr>
              <w:t>0.20</w:t>
            </w:r>
            <w:r>
              <w:rPr>
                <w:rFonts w:hint="default" w:ascii="Times New Roman" w:hAnsi="Times New Roman" w:cs="Times New Roman"/>
                <w:bCs/>
                <w:color w:val="auto"/>
                <w:sz w:val="24"/>
                <w:highlight w:val="none"/>
                <w:lang w:val="en-US" w:eastAsia="zh-CN"/>
              </w:rPr>
              <w:t>t/a（</w:t>
            </w:r>
            <w:r>
              <w:rPr>
                <w:rFonts w:hint="eastAsia" w:cs="Times New Roman"/>
                <w:bCs/>
                <w:color w:val="auto"/>
                <w:sz w:val="24"/>
                <w:highlight w:val="none"/>
                <w:lang w:val="en-US" w:eastAsia="zh-CN"/>
              </w:rPr>
              <w:t>0.28</w:t>
            </w:r>
            <w:r>
              <w:rPr>
                <w:rFonts w:hint="default" w:ascii="Times New Roman" w:hAnsi="Times New Roman" w:cs="Times New Roman"/>
                <w:bCs/>
                <w:color w:val="auto"/>
                <w:sz w:val="24"/>
                <w:highlight w:val="none"/>
                <w:lang w:val="en-US" w:eastAsia="zh-CN"/>
              </w:rPr>
              <w:t>kg/h）。水泥料仓顶部自带除尘设施（除尘效率99%），处理后经仓顶排放，则物料储存的颗粒物排放量为0.</w:t>
            </w:r>
            <w:r>
              <w:rPr>
                <w:rFonts w:hint="eastAsia" w:cs="Times New Roman"/>
                <w:bCs/>
                <w:color w:val="auto"/>
                <w:sz w:val="24"/>
                <w:highlight w:val="none"/>
                <w:lang w:val="en-US" w:eastAsia="zh-CN"/>
              </w:rPr>
              <w:t>00</w:t>
            </w:r>
            <w:r>
              <w:rPr>
                <w:rFonts w:hint="default" w:ascii="Times New Roman" w:hAnsi="Times New Roman" w:cs="Times New Roman"/>
                <w:bCs/>
                <w:color w:val="auto"/>
                <w:sz w:val="24"/>
                <w:highlight w:val="none"/>
                <w:lang w:val="en-US" w:eastAsia="zh-CN"/>
              </w:rPr>
              <w:t>2t/a（0.</w:t>
            </w:r>
            <w:r>
              <w:rPr>
                <w:rFonts w:hint="eastAsia" w:cs="Times New Roman"/>
                <w:bCs/>
                <w:color w:val="auto"/>
                <w:sz w:val="24"/>
                <w:highlight w:val="none"/>
                <w:lang w:val="en-US" w:eastAsia="zh-CN"/>
              </w:rPr>
              <w:t>0028</w:t>
            </w:r>
            <w:r>
              <w:rPr>
                <w:rFonts w:hint="default" w:ascii="Times New Roman" w:hAnsi="Times New Roman" w:cs="Times New Roman"/>
                <w:bCs/>
                <w:color w:val="auto"/>
                <w:sz w:val="24"/>
                <w:highlight w:val="none"/>
                <w:lang w:val="en-US" w:eastAsia="zh-CN"/>
              </w:rPr>
              <w:t>kg/h）。</w:t>
            </w:r>
          </w:p>
          <w:p w14:paraId="61ADEA64">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目前水利工程施工期扬尘源强监测相关数据较少，采取工程类比方式对施工期扬尘源强予以估计。根据类比，一般施工场土方开挖、土方回填和一般施工过程中场界10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范围内扬尘浓度分别为938.67μg/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、219.38μg/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、611.89μg/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、78.15μg/</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，建筑施工场界外扬尘在距场界15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处开始迅速下降，在距离场界100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处，扬尘总量仅为场界处的11%左右，即建筑施工周围扬尘浓度随水平扩散距离的增加迅速降低。根据施工场外降尘量衰减规律，可得出工程各施工作业过程中20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、100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处最大可能扬尘浓度，如表4</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1所示。</w:t>
            </w:r>
          </w:p>
          <w:p w14:paraId="47D82A07">
            <w:pPr>
              <w:keepNext w:val="0"/>
              <w:keepLines w:val="0"/>
              <w:pageBreakBefore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降尘前后距离施工点不同距离处扬尘浓度变化</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1230"/>
              <w:gridCol w:w="845"/>
              <w:gridCol w:w="867"/>
              <w:gridCol w:w="845"/>
              <w:gridCol w:w="908"/>
              <w:gridCol w:w="905"/>
              <w:gridCol w:w="908"/>
            </w:tblGrid>
            <w:tr w14:paraId="210546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0" w:type="auto"/>
                  <w:vMerge w:val="restart"/>
                  <w:tcBorders>
                    <w:top w:val="single" w:color="auto" w:sz="12" w:space="0"/>
                    <w:left w:val="nil"/>
                    <w:bottom w:val="single" w:color="auto" w:sz="4" w:space="0"/>
                    <w:right w:val="single" w:color="auto" w:sz="4" w:space="0"/>
                  </w:tcBorders>
                  <w:noWrap w:val="0"/>
                  <w:vAlign w:val="center"/>
                </w:tcPr>
                <w:p w14:paraId="6051803B">
                  <w:pPr>
                    <w:widowControl/>
                    <w:adjustRightInd w:val="0"/>
                    <w:snapToGrid w:val="0"/>
                    <w:jc w:val="center"/>
                    <w:rPr>
                      <w:rFonts w:hint="default" w:ascii="Times New Roman" w:hAnsi="Times New Roman" w:eastAsia="Times New Roman" w:cs="Times New Roman"/>
                      <w:color w:val="auto"/>
                      <w:kern w:val="0"/>
                      <w:szCs w:val="21"/>
                      <w:highlight w:val="none"/>
                    </w:rPr>
                  </w:pPr>
                  <w:r>
                    <w:rPr>
                      <w:rFonts w:hint="default" w:ascii="Times New Roman" w:hAnsi="Times New Roman" w:cs="Times New Roman"/>
                      <w:color w:val="auto"/>
                      <w:kern w:val="0"/>
                      <w:szCs w:val="20"/>
                      <w:highlight w:val="none"/>
                    </w:rPr>
                    <w:t>工程内容</w:t>
                  </w:r>
                </w:p>
              </w:tc>
              <w:tc>
                <w:tcPr>
                  <w:tcW w:w="0" w:type="auto"/>
                  <w:vMerge w:val="restart"/>
                  <w:tcBorders>
                    <w:top w:val="single" w:color="auto" w:sz="12" w:space="0"/>
                    <w:left w:val="single" w:color="auto" w:sz="4" w:space="0"/>
                    <w:bottom w:val="single" w:color="auto" w:sz="4" w:space="0"/>
                    <w:right w:val="single" w:color="auto" w:sz="4" w:space="0"/>
                  </w:tcBorders>
                  <w:noWrap w:val="0"/>
                  <w:vAlign w:val="center"/>
                </w:tcPr>
                <w:p w14:paraId="121C487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扬尘环节</w:t>
                  </w:r>
                </w:p>
              </w:tc>
              <w:tc>
                <w:tcPr>
                  <w:tcW w:w="0" w:type="auto"/>
                  <w:gridSpan w:val="2"/>
                  <w:tcBorders>
                    <w:top w:val="single" w:color="auto" w:sz="12" w:space="0"/>
                    <w:left w:val="single" w:color="auto" w:sz="4" w:space="0"/>
                    <w:bottom w:val="single" w:color="auto" w:sz="4" w:space="0"/>
                    <w:right w:val="single" w:color="auto" w:sz="4" w:space="0"/>
                  </w:tcBorders>
                  <w:noWrap w:val="0"/>
                  <w:vAlign w:val="center"/>
                </w:tcPr>
                <w:p w14:paraId="0E489A1D">
                  <w:pPr>
                    <w:widowControl/>
                    <w:adjustRightInd w:val="0"/>
                    <w:snapToGrid w:val="0"/>
                    <w:jc w:val="center"/>
                    <w:rPr>
                      <w:rFonts w:hint="default" w:ascii="Times New Roman" w:hAnsi="Times New Roman" w:eastAsia="宋体" w:cs="Times New Roman"/>
                      <w:color w:val="auto"/>
                      <w:kern w:val="0"/>
                      <w:szCs w:val="20"/>
                      <w:highlight w:val="none"/>
                      <w:lang w:eastAsia="zh-CN"/>
                    </w:rPr>
                  </w:pPr>
                  <w:r>
                    <w:rPr>
                      <w:rFonts w:hint="default" w:ascii="Times New Roman" w:hAnsi="Times New Roman" w:eastAsia="宋体" w:cs="Times New Roman"/>
                      <w:color w:val="auto"/>
                      <w:kern w:val="0"/>
                      <w:szCs w:val="20"/>
                      <w:highlight w:val="none"/>
                      <w:lang w:eastAsia="zh-CN"/>
                    </w:rPr>
                    <w:t>20m处（μg/m</w:t>
                  </w:r>
                  <w:r>
                    <w:rPr>
                      <w:rFonts w:hint="eastAsia" w:ascii="Times New Roman" w:hAnsi="Times New Roman" w:eastAsia="宋体" w:cs="Times New Roman"/>
                      <w:color w:val="auto"/>
                      <w:kern w:val="0"/>
                      <w:szCs w:val="20"/>
                      <w:highlight w:val="none"/>
                      <w:vertAlign w:val="superscript"/>
                      <w:lang w:val="en-US" w:eastAsia="zh-CN"/>
                    </w:rPr>
                    <w:t>3</w:t>
                  </w:r>
                  <w:r>
                    <w:rPr>
                      <w:rFonts w:hint="default" w:ascii="Times New Roman" w:hAnsi="Times New Roman" w:eastAsia="宋体" w:cs="Times New Roman"/>
                      <w:color w:val="auto"/>
                      <w:kern w:val="0"/>
                      <w:szCs w:val="20"/>
                      <w:highlight w:val="none"/>
                      <w:lang w:eastAsia="zh-CN"/>
                    </w:rPr>
                    <w:t>）</w:t>
                  </w:r>
                </w:p>
              </w:tc>
              <w:tc>
                <w:tcPr>
                  <w:tcW w:w="0" w:type="auto"/>
                  <w:gridSpan w:val="2"/>
                  <w:tcBorders>
                    <w:top w:val="single" w:color="auto" w:sz="12" w:space="0"/>
                    <w:left w:val="single" w:color="auto" w:sz="4" w:space="0"/>
                    <w:bottom w:val="single" w:color="auto" w:sz="4" w:space="0"/>
                    <w:right w:val="single" w:color="auto" w:sz="4" w:space="0"/>
                  </w:tcBorders>
                  <w:noWrap w:val="0"/>
                  <w:vAlign w:val="center"/>
                </w:tcPr>
                <w:p w14:paraId="59C32F74">
                  <w:pPr>
                    <w:widowControl/>
                    <w:adjustRightInd w:val="0"/>
                    <w:snapToGrid w:val="0"/>
                    <w:jc w:val="center"/>
                    <w:rPr>
                      <w:rFonts w:hint="default" w:ascii="Times New Roman" w:hAnsi="Times New Roman" w:eastAsia="宋体" w:cs="Times New Roman"/>
                      <w:color w:val="auto"/>
                      <w:kern w:val="0"/>
                      <w:szCs w:val="20"/>
                      <w:highlight w:val="none"/>
                      <w:lang w:eastAsia="zh-CN"/>
                    </w:rPr>
                  </w:pPr>
                  <w:r>
                    <w:rPr>
                      <w:rFonts w:hint="default" w:ascii="Times New Roman" w:hAnsi="Times New Roman" w:eastAsia="宋体" w:cs="Times New Roman"/>
                      <w:color w:val="auto"/>
                      <w:kern w:val="0"/>
                      <w:szCs w:val="20"/>
                      <w:highlight w:val="none"/>
                      <w:lang w:eastAsia="zh-CN"/>
                    </w:rPr>
                    <w:t>50m处（μg/m</w:t>
                  </w:r>
                  <w:r>
                    <w:rPr>
                      <w:rFonts w:hint="default" w:ascii="Times New Roman" w:hAnsi="Times New Roman" w:eastAsia="宋体" w:cs="Times New Roman"/>
                      <w:color w:val="auto"/>
                      <w:kern w:val="0"/>
                      <w:szCs w:val="20"/>
                      <w:highlight w:val="none"/>
                      <w:vertAlign w:val="superscript"/>
                      <w:lang w:eastAsia="zh-CN"/>
                    </w:rPr>
                    <w:t>3</w:t>
                  </w:r>
                  <w:r>
                    <w:rPr>
                      <w:rFonts w:hint="default" w:ascii="Times New Roman" w:hAnsi="Times New Roman" w:eastAsia="宋体" w:cs="Times New Roman"/>
                      <w:color w:val="auto"/>
                      <w:kern w:val="0"/>
                      <w:szCs w:val="20"/>
                      <w:highlight w:val="none"/>
                      <w:lang w:eastAsia="zh-CN"/>
                    </w:rPr>
                    <w:t>）</w:t>
                  </w:r>
                </w:p>
              </w:tc>
              <w:tc>
                <w:tcPr>
                  <w:tcW w:w="0" w:type="auto"/>
                  <w:gridSpan w:val="2"/>
                  <w:tcBorders>
                    <w:top w:val="single" w:color="auto" w:sz="12" w:space="0"/>
                    <w:left w:val="single" w:color="auto" w:sz="4" w:space="0"/>
                    <w:bottom w:val="single" w:color="auto" w:sz="4" w:space="0"/>
                    <w:right w:val="nil"/>
                  </w:tcBorders>
                  <w:noWrap w:val="0"/>
                  <w:vAlign w:val="center"/>
                </w:tcPr>
                <w:p w14:paraId="6285EC2A">
                  <w:pPr>
                    <w:widowControl/>
                    <w:adjustRightInd w:val="0"/>
                    <w:snapToGrid w:val="0"/>
                    <w:jc w:val="center"/>
                    <w:rPr>
                      <w:rFonts w:hint="default" w:ascii="Times New Roman" w:hAnsi="Times New Roman" w:eastAsia="宋体" w:cs="Times New Roman"/>
                      <w:color w:val="auto"/>
                      <w:kern w:val="0"/>
                      <w:szCs w:val="20"/>
                      <w:highlight w:val="none"/>
                      <w:lang w:eastAsia="zh-CN"/>
                    </w:rPr>
                  </w:pPr>
                  <w:r>
                    <w:rPr>
                      <w:rFonts w:hint="default" w:ascii="Times New Roman" w:hAnsi="Times New Roman" w:eastAsia="宋体" w:cs="Times New Roman"/>
                      <w:color w:val="auto"/>
                      <w:kern w:val="0"/>
                      <w:szCs w:val="20"/>
                      <w:highlight w:val="none"/>
                      <w:lang w:eastAsia="zh-CN"/>
                    </w:rPr>
                    <w:t>100m处（μg/m</w:t>
                  </w:r>
                  <w:r>
                    <w:rPr>
                      <w:rFonts w:hint="default" w:ascii="Times New Roman" w:hAnsi="Times New Roman" w:eastAsia="宋体" w:cs="Times New Roman"/>
                      <w:color w:val="auto"/>
                      <w:kern w:val="0"/>
                      <w:szCs w:val="20"/>
                      <w:highlight w:val="none"/>
                      <w:vertAlign w:val="superscript"/>
                      <w:lang w:eastAsia="zh-CN"/>
                    </w:rPr>
                    <w:t>3</w:t>
                  </w:r>
                  <w:r>
                    <w:rPr>
                      <w:rFonts w:hint="default" w:ascii="Times New Roman" w:hAnsi="Times New Roman" w:eastAsia="宋体" w:cs="Times New Roman"/>
                      <w:color w:val="auto"/>
                      <w:kern w:val="0"/>
                      <w:szCs w:val="20"/>
                      <w:highlight w:val="none"/>
                      <w:lang w:eastAsia="zh-CN"/>
                    </w:rPr>
                    <w:t>）</w:t>
                  </w:r>
                </w:p>
              </w:tc>
            </w:tr>
            <w:tr w14:paraId="0BCA4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0" w:type="auto"/>
                  <w:vMerge w:val="continue"/>
                  <w:tcBorders>
                    <w:top w:val="single" w:color="auto" w:sz="12" w:space="0"/>
                    <w:left w:val="nil"/>
                    <w:bottom w:val="single" w:color="auto" w:sz="4" w:space="0"/>
                    <w:right w:val="single" w:color="auto" w:sz="4" w:space="0"/>
                  </w:tcBorders>
                  <w:noWrap w:val="0"/>
                  <w:vAlign w:val="center"/>
                </w:tcPr>
                <w:p w14:paraId="0FC73D55">
                  <w:pPr>
                    <w:widowControl/>
                    <w:adjustRightInd w:val="0"/>
                    <w:snapToGrid w:val="0"/>
                    <w:jc w:val="left"/>
                    <w:rPr>
                      <w:rFonts w:hint="default" w:ascii="Times New Roman" w:hAnsi="Times New Roman" w:eastAsia="Times New Roman" w:cs="Times New Roman"/>
                      <w:color w:val="auto"/>
                      <w:kern w:val="0"/>
                      <w:szCs w:val="21"/>
                      <w:highlight w:val="none"/>
                    </w:rPr>
                  </w:pPr>
                </w:p>
              </w:tc>
              <w:tc>
                <w:tcPr>
                  <w:tcW w:w="0" w:type="auto"/>
                  <w:vMerge w:val="continue"/>
                  <w:tcBorders>
                    <w:top w:val="single" w:color="auto" w:sz="12" w:space="0"/>
                    <w:left w:val="single" w:color="auto" w:sz="4" w:space="0"/>
                    <w:bottom w:val="single" w:color="auto" w:sz="4" w:space="0"/>
                    <w:right w:val="single" w:color="auto" w:sz="4" w:space="0"/>
                  </w:tcBorders>
                  <w:noWrap w:val="0"/>
                  <w:vAlign w:val="center"/>
                </w:tcPr>
                <w:p w14:paraId="6563EA26">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53E7BB01">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A5BECB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B158AD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6309683">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DB85A1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降尘前</w:t>
                  </w:r>
                </w:p>
              </w:tc>
              <w:tc>
                <w:tcPr>
                  <w:tcW w:w="0" w:type="auto"/>
                  <w:tcBorders>
                    <w:top w:val="single" w:color="auto" w:sz="4" w:space="0"/>
                    <w:left w:val="single" w:color="auto" w:sz="4" w:space="0"/>
                    <w:bottom w:val="single" w:color="auto" w:sz="4" w:space="0"/>
                    <w:right w:val="nil"/>
                  </w:tcBorders>
                  <w:noWrap w:val="0"/>
                  <w:vAlign w:val="center"/>
                </w:tcPr>
                <w:p w14:paraId="7871957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5"/>
                      <w:kern w:val="0"/>
                      <w:szCs w:val="20"/>
                      <w:highlight w:val="none"/>
                    </w:rPr>
                    <w:t>降尘后</w:t>
                  </w:r>
                </w:p>
              </w:tc>
            </w:tr>
            <w:tr w14:paraId="77A17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0" w:type="auto"/>
                  <w:vMerge w:val="restart"/>
                  <w:tcBorders>
                    <w:top w:val="single" w:color="auto" w:sz="4" w:space="0"/>
                    <w:left w:val="nil"/>
                    <w:bottom w:val="single" w:color="auto" w:sz="4" w:space="0"/>
                    <w:right w:val="single" w:color="auto" w:sz="4" w:space="0"/>
                  </w:tcBorders>
                  <w:noWrap w:val="0"/>
                  <w:vAlign w:val="center"/>
                </w:tcPr>
                <w:p w14:paraId="2F14A62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土方</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A0F923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开挖</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7D8724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844.8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D3571C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422.4</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541435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208.59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486518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104.295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50C33F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103.25</w:t>
                  </w:r>
                </w:p>
              </w:tc>
              <w:tc>
                <w:tcPr>
                  <w:tcW w:w="0" w:type="auto"/>
                  <w:tcBorders>
                    <w:top w:val="single" w:color="auto" w:sz="4" w:space="0"/>
                    <w:left w:val="single" w:color="auto" w:sz="4" w:space="0"/>
                    <w:bottom w:val="single" w:color="auto" w:sz="4" w:space="0"/>
                    <w:right w:val="nil"/>
                  </w:tcBorders>
                  <w:noWrap w:val="0"/>
                  <w:vAlign w:val="center"/>
                </w:tcPr>
                <w:p w14:paraId="2B4A48D6">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51.625</w:t>
                  </w:r>
                </w:p>
              </w:tc>
            </w:tr>
            <w:tr w14:paraId="574AB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42248F33">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4EF0393F">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7"/>
                      <w:kern w:val="0"/>
                      <w:szCs w:val="20"/>
                      <w:highlight w:val="none"/>
                    </w:rPr>
                    <w:t>回填</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F70099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550.7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5232D5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275.35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672B4F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135.98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D5C8B0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67.99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DDA651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67.31</w:t>
                  </w:r>
                </w:p>
              </w:tc>
              <w:tc>
                <w:tcPr>
                  <w:tcW w:w="0" w:type="auto"/>
                  <w:tcBorders>
                    <w:top w:val="single" w:color="auto" w:sz="4" w:space="0"/>
                    <w:left w:val="single" w:color="auto" w:sz="4" w:space="0"/>
                    <w:bottom w:val="single" w:color="auto" w:sz="4" w:space="0"/>
                    <w:right w:val="nil"/>
                  </w:tcBorders>
                  <w:noWrap w:val="0"/>
                  <w:vAlign w:val="center"/>
                </w:tcPr>
                <w:p w14:paraId="6517F02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33.655</w:t>
                  </w:r>
                </w:p>
              </w:tc>
            </w:tr>
            <w:tr w14:paraId="7E794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0" w:type="auto"/>
                  <w:vMerge w:val="restart"/>
                  <w:tcBorders>
                    <w:top w:val="single" w:color="auto" w:sz="4" w:space="0"/>
                    <w:left w:val="nil"/>
                    <w:bottom w:val="single" w:color="auto" w:sz="4" w:space="0"/>
                    <w:right w:val="single" w:color="auto" w:sz="4" w:space="0"/>
                  </w:tcBorders>
                  <w:noWrap w:val="0"/>
                  <w:vAlign w:val="center"/>
                </w:tcPr>
                <w:p w14:paraId="1D45646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3"/>
                      <w:kern w:val="0"/>
                      <w:szCs w:val="20"/>
                      <w:highlight w:val="none"/>
                    </w:rPr>
                    <w:t>弃土</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0B644A">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kern w:val="0"/>
                      <w:szCs w:val="20"/>
                      <w:highlight w:val="none"/>
                    </w:rPr>
                    <w:t>清表</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5D9E643">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844.8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6DE502D">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422.4</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DC0A7F">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208.59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2DDF320">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104.295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EFA2976">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103.25</w:t>
                  </w:r>
                </w:p>
              </w:tc>
              <w:tc>
                <w:tcPr>
                  <w:tcW w:w="0" w:type="auto"/>
                  <w:tcBorders>
                    <w:top w:val="single" w:color="auto" w:sz="4" w:space="0"/>
                    <w:left w:val="single" w:color="auto" w:sz="4" w:space="0"/>
                    <w:bottom w:val="single" w:color="auto" w:sz="4" w:space="0"/>
                    <w:right w:val="nil"/>
                  </w:tcBorders>
                  <w:noWrap w:val="0"/>
                  <w:vAlign w:val="center"/>
                </w:tcPr>
                <w:p w14:paraId="22F1210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51.625</w:t>
                  </w:r>
                </w:p>
              </w:tc>
            </w:tr>
            <w:tr w14:paraId="3A61F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0" w:type="auto"/>
                  <w:vMerge w:val="continue"/>
                  <w:tcBorders>
                    <w:top w:val="single" w:color="auto" w:sz="4" w:space="0"/>
                    <w:left w:val="nil"/>
                    <w:bottom w:val="single" w:color="auto" w:sz="4" w:space="0"/>
                    <w:right w:val="single" w:color="auto" w:sz="4" w:space="0"/>
                  </w:tcBorders>
                  <w:noWrap w:val="0"/>
                  <w:vAlign w:val="center"/>
                </w:tcPr>
                <w:p w14:paraId="479B9333">
                  <w:pPr>
                    <w:widowControl/>
                    <w:adjustRightInd w:val="0"/>
                    <w:snapToGrid w:val="0"/>
                    <w:jc w:val="left"/>
                    <w:rPr>
                      <w:rFonts w:hint="default" w:ascii="Times New Roman" w:hAnsi="Times New Roman" w:eastAsia="Times New Roman" w:cs="Times New Roman"/>
                      <w:color w:val="auto"/>
                      <w:kern w:val="0"/>
                      <w:szCs w:val="20"/>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150B2597">
                  <w:pPr>
                    <w:widowControl/>
                    <w:adjustRightInd w:val="0"/>
                    <w:snapToGrid w:val="0"/>
                    <w:jc w:val="center"/>
                    <w:rPr>
                      <w:rFonts w:hint="default" w:ascii="Times New Roman" w:hAnsi="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土方装卸作业</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0882A6B">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550.7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C0C412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275.35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27B1D15">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135.98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554AD735">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67.99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C24FC6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67.31</w:t>
                  </w:r>
                </w:p>
              </w:tc>
              <w:tc>
                <w:tcPr>
                  <w:tcW w:w="0" w:type="auto"/>
                  <w:tcBorders>
                    <w:top w:val="single" w:color="auto" w:sz="4" w:space="0"/>
                    <w:left w:val="single" w:color="auto" w:sz="4" w:space="0"/>
                    <w:bottom w:val="single" w:color="auto" w:sz="4" w:space="0"/>
                    <w:right w:val="nil"/>
                  </w:tcBorders>
                  <w:noWrap w:val="0"/>
                  <w:vAlign w:val="center"/>
                </w:tcPr>
                <w:p w14:paraId="11A26DC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33.655</w:t>
                  </w:r>
                </w:p>
              </w:tc>
            </w:tr>
            <w:tr w14:paraId="68975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0" w:type="auto"/>
                  <w:tcBorders>
                    <w:top w:val="single" w:color="auto" w:sz="4" w:space="0"/>
                    <w:left w:val="nil"/>
                    <w:bottom w:val="single" w:color="auto" w:sz="12" w:space="0"/>
                    <w:right w:val="single" w:color="auto" w:sz="4" w:space="0"/>
                  </w:tcBorders>
                  <w:noWrap w:val="0"/>
                  <w:vAlign w:val="center"/>
                </w:tcPr>
                <w:p w14:paraId="7F9E1B22">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施工工区</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72449D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cs="Times New Roman"/>
                      <w:color w:val="auto"/>
                      <w:spacing w:val="-1"/>
                      <w:kern w:val="0"/>
                      <w:szCs w:val="20"/>
                      <w:highlight w:val="none"/>
                    </w:rPr>
                    <w:t>运输</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708C1628">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70.34</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5FC3CA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35.17</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7DDACCFC">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4"/>
                      <w:kern w:val="0"/>
                      <w:szCs w:val="20"/>
                      <w:highlight w:val="none"/>
                    </w:rPr>
                    <w:t>17.37</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3825F57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kern w:val="0"/>
                      <w:szCs w:val="20"/>
                      <w:highlight w:val="none"/>
                    </w:rPr>
                    <w:t>8.685</w:t>
                  </w:r>
                </w:p>
              </w:tc>
              <w:tc>
                <w:tcPr>
                  <w:tcW w:w="0" w:type="auto"/>
                  <w:tcBorders>
                    <w:top w:val="single" w:color="auto" w:sz="4" w:space="0"/>
                    <w:left w:val="single" w:color="auto" w:sz="4" w:space="0"/>
                    <w:bottom w:val="single" w:color="auto" w:sz="12" w:space="0"/>
                    <w:right w:val="single" w:color="auto" w:sz="4" w:space="0"/>
                  </w:tcBorders>
                  <w:noWrap w:val="0"/>
                  <w:vAlign w:val="center"/>
                </w:tcPr>
                <w:p w14:paraId="6D414384">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3"/>
                      <w:kern w:val="0"/>
                      <w:szCs w:val="20"/>
                      <w:highlight w:val="none"/>
                    </w:rPr>
                    <w:t>8.6</w:t>
                  </w:r>
                </w:p>
              </w:tc>
              <w:tc>
                <w:tcPr>
                  <w:tcW w:w="0" w:type="auto"/>
                  <w:tcBorders>
                    <w:top w:val="single" w:color="auto" w:sz="4" w:space="0"/>
                    <w:left w:val="single" w:color="auto" w:sz="4" w:space="0"/>
                    <w:bottom w:val="single" w:color="auto" w:sz="12" w:space="0"/>
                    <w:right w:val="nil"/>
                  </w:tcBorders>
                  <w:noWrap w:val="0"/>
                  <w:vAlign w:val="center"/>
                </w:tcPr>
                <w:p w14:paraId="46045A31">
                  <w:pPr>
                    <w:widowControl/>
                    <w:adjustRightInd w:val="0"/>
                    <w:snapToGrid w:val="0"/>
                    <w:jc w:val="center"/>
                    <w:rPr>
                      <w:rFonts w:hint="default" w:ascii="Times New Roman" w:hAnsi="Times New Roman" w:eastAsia="Times New Roman" w:cs="Times New Roman"/>
                      <w:color w:val="auto"/>
                      <w:kern w:val="0"/>
                      <w:szCs w:val="20"/>
                      <w:highlight w:val="none"/>
                    </w:rPr>
                  </w:pPr>
                  <w:r>
                    <w:rPr>
                      <w:rFonts w:hint="default" w:ascii="Times New Roman" w:hAnsi="Times New Roman" w:eastAsia="Times New Roman" w:cs="Times New Roman"/>
                      <w:color w:val="auto"/>
                      <w:spacing w:val="-1"/>
                      <w:kern w:val="0"/>
                      <w:szCs w:val="20"/>
                      <w:highlight w:val="none"/>
                    </w:rPr>
                    <w:t>4.3</w:t>
                  </w:r>
                </w:p>
              </w:tc>
            </w:tr>
          </w:tbl>
          <w:p w14:paraId="6BADF37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交通运输扬尘污染源主要包括两部分，一是汽车行驶产生的扬尘，二是水泥、土方等多尘物质运输时，因防护不当导致物料失落和飘散。交通运输扬尘将导致进场道路两侧空气中含尘量的增加，对道路两侧区域环境空气质量产生一定影响。基于相关工程资料，施工过程中车辆行驶产生的扬尘约占施工总扬尘量的60%以上。一般情况车辆行驶产生的扬尘在同样路面清洁程度下，车速越快扬尘量越大，而在同样车速下，路面越脏扬尘量越大</w:t>
            </w:r>
            <w:r>
              <w:rPr>
                <w:rFonts w:hint="default" w:ascii="Times New Roman" w:hAnsi="Times New Roman" w:cs="Times New Roman"/>
                <w:bCs/>
                <w:color w:val="auto"/>
                <w:sz w:val="24"/>
                <w:highlight w:val="none"/>
                <w:lang w:eastAsia="zh-CN"/>
              </w:rPr>
              <w:t>。</w:t>
            </w:r>
          </w:p>
          <w:p w14:paraId="69493645">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szCs w:val="28"/>
                <w:highlight w:val="none"/>
              </w:rPr>
              <w:t>施工机械燃油废气及</w:t>
            </w:r>
            <w:r>
              <w:rPr>
                <w:rFonts w:hint="default" w:ascii="Times New Roman" w:hAnsi="Times New Roman" w:cs="Times New Roman"/>
                <w:b/>
                <w:bCs/>
                <w:color w:val="auto"/>
                <w:sz w:val="24"/>
                <w:highlight w:val="none"/>
              </w:rPr>
              <w:t>车辆尾气影响分析</w:t>
            </w:r>
          </w:p>
          <w:p w14:paraId="6313D574">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施工机械的燃油废气基本是在施工作业区域内以点源形式排放，燃油废气中所含的主要污染物为CO、NO</w:t>
            </w:r>
            <w:r>
              <w:rPr>
                <w:rFonts w:hint="default" w:ascii="Times New Roman" w:hAnsi="Times New Roman" w:cs="Times New Roman"/>
                <w:color w:val="auto"/>
                <w:sz w:val="24"/>
                <w:szCs w:val="28"/>
                <w:highlight w:val="none"/>
                <w:vertAlign w:val="subscript"/>
              </w:rPr>
              <w:t>x</w:t>
            </w:r>
            <w:r>
              <w:rPr>
                <w:rFonts w:hint="default" w:ascii="Times New Roman" w:hAnsi="Times New Roman" w:cs="Times New Roman"/>
                <w:color w:val="auto"/>
                <w:sz w:val="24"/>
                <w:szCs w:val="28"/>
                <w:highlight w:val="none"/>
              </w:rPr>
              <w:t>、THC等。由于工程施工营地地形开阔，空气流通性好，加之废气排放的不连续性，燃油机械排放废气中的各项污染物能够很快稀释扩散，对敏感目标所在区域环境空气质量影响较小。</w:t>
            </w:r>
          </w:p>
          <w:p w14:paraId="4B2C670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柴油发电机运行时也将产生废气。根据《中国环境影响评价培训教材》</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燃烧1</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的柴油排放的主要大气污染物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氮氧化物</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以NO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计</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8.57kg/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，二氧化硫10.0kg/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，烟尘1.80kg/</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。柴油</w:t>
            </w:r>
            <w:r>
              <w:rPr>
                <w:rFonts w:hint="default" w:ascii="Times New Roman" w:hAnsi="Times New Roman" w:cs="Times New Roman"/>
                <w:color w:val="auto"/>
                <w:sz w:val="24"/>
                <w:highlight w:val="none"/>
                <w:lang w:eastAsia="zh-CN"/>
              </w:rPr>
              <w:t>密</w:t>
            </w:r>
            <w:r>
              <w:rPr>
                <w:rFonts w:hint="default" w:ascii="Times New Roman" w:hAnsi="Times New Roman" w:cs="Times New Roman"/>
                <w:color w:val="auto"/>
                <w:sz w:val="24"/>
                <w:highlight w:val="none"/>
              </w:rPr>
              <w:t>度取950kg/N</w:t>
            </w:r>
            <w:r>
              <w:rPr>
                <w:rFonts w:hint="default" w:ascii="Times New Roman" w:hAnsi="Times New Roman" w:cs="Times New Roman"/>
                <w:color w:val="auto"/>
                <w:sz w:val="24"/>
                <w:highlight w:val="none"/>
                <w:lang w:eastAsia="zh-CN"/>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，则项目主要大NO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和烟尘的排放系数分别为9.02kg/t、10.53kg/t、1.89kg/t。本项目消耗柴油量为</w:t>
            </w:r>
            <w:r>
              <w:rPr>
                <w:rFonts w:hint="eastAsia" w:cs="Times New Roman"/>
                <w:color w:val="auto"/>
                <w:sz w:val="24"/>
                <w:highlight w:val="none"/>
                <w:lang w:val="en-US" w:eastAsia="zh-CN"/>
              </w:rPr>
              <w:t>48.69</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eastAsia="zh-CN"/>
              </w:rPr>
              <w:t>则柴油发电机</w:t>
            </w:r>
            <w:r>
              <w:rPr>
                <w:rFonts w:hint="default" w:ascii="Times New Roman" w:hAnsi="Times New Roman" w:cs="Times New Roman"/>
                <w:color w:val="auto"/>
                <w:sz w:val="24"/>
                <w:highlight w:val="none"/>
              </w:rPr>
              <w:t>烟气中各污气</w:t>
            </w:r>
            <w:r>
              <w:rPr>
                <w:rFonts w:hint="default" w:ascii="Times New Roman" w:hAnsi="Times New Roman" w:cs="Times New Roman"/>
                <w:color w:val="auto"/>
                <w:sz w:val="24"/>
                <w:highlight w:val="none"/>
                <w:lang w:eastAsia="zh-CN"/>
              </w:rPr>
              <w:t>污染物</w:t>
            </w:r>
            <w:r>
              <w:rPr>
                <w:rFonts w:hint="default" w:ascii="Times New Roman" w:hAnsi="Times New Roman" w:cs="Times New Roman"/>
                <w:color w:val="auto"/>
                <w:sz w:val="24"/>
                <w:highlight w:val="none"/>
              </w:rPr>
              <w:t>产生量为NO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lang w:val="en-US" w:eastAsia="zh-CN"/>
              </w:rPr>
              <w:t xml:space="preserve"> </w:t>
            </w:r>
            <w:r>
              <w:rPr>
                <w:rFonts w:hint="eastAsia" w:cs="Times New Roman"/>
                <w:color w:val="auto"/>
                <w:sz w:val="24"/>
                <w:highlight w:val="none"/>
                <w:lang w:val="en-US" w:eastAsia="zh-CN"/>
              </w:rPr>
              <w:t>0.44</w:t>
            </w:r>
            <w:r>
              <w:rPr>
                <w:rFonts w:hint="default" w:ascii="Times New Roman" w:hAnsi="Times New Roman" w:cs="Times New Roman"/>
                <w:color w:val="auto"/>
                <w:sz w:val="24"/>
                <w:highlight w:val="none"/>
              </w:rPr>
              <w:t>t/a、S</w:t>
            </w:r>
            <w:r>
              <w:rPr>
                <w:rFonts w:hint="default" w:ascii="Times New Roman" w:hAnsi="Times New Roman" w:cs="Times New Roman"/>
                <w:color w:val="auto"/>
                <w:sz w:val="24"/>
                <w:highlight w:val="none"/>
                <w:lang w:val="en-US" w:eastAsia="zh-CN"/>
              </w:rPr>
              <w:t>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lang w:val="en-US" w:eastAsia="zh-CN"/>
              </w:rPr>
              <w:t xml:space="preserve"> </w:t>
            </w:r>
            <w:r>
              <w:rPr>
                <w:rFonts w:hint="eastAsia" w:cs="Times New Roman"/>
                <w:color w:val="auto"/>
                <w:sz w:val="24"/>
                <w:highlight w:val="none"/>
                <w:lang w:val="en-US" w:eastAsia="zh-CN"/>
              </w:rPr>
              <w:t>0.51</w:t>
            </w:r>
            <w:r>
              <w:rPr>
                <w:rFonts w:hint="default" w:ascii="Times New Roman" w:hAnsi="Times New Roman" w:cs="Times New Roman"/>
                <w:color w:val="auto"/>
                <w:sz w:val="24"/>
                <w:highlight w:val="none"/>
              </w:rPr>
              <w:t>t/a、烟尘</w:t>
            </w:r>
            <w:r>
              <w:rPr>
                <w:rFonts w:hint="default" w:ascii="Times New Roman" w:hAnsi="Times New Roman" w:cs="Times New Roman"/>
                <w:color w:val="auto"/>
                <w:sz w:val="24"/>
                <w:highlight w:val="none"/>
                <w:lang w:val="en-US" w:eastAsia="zh-CN"/>
              </w:rPr>
              <w:t xml:space="preserve"> </w:t>
            </w:r>
            <w:r>
              <w:rPr>
                <w:rFonts w:hint="eastAsia" w:cs="Times New Roman"/>
                <w:color w:val="auto"/>
                <w:sz w:val="24"/>
                <w:highlight w:val="none"/>
                <w:lang w:val="en-US" w:eastAsia="zh-CN"/>
              </w:rPr>
              <w:t>0.09</w:t>
            </w:r>
            <w:r>
              <w:rPr>
                <w:rFonts w:hint="default" w:ascii="Times New Roman" w:hAnsi="Times New Roman" w:cs="Times New Roman"/>
                <w:color w:val="auto"/>
                <w:sz w:val="24"/>
                <w:highlight w:val="none"/>
              </w:rPr>
              <w:t>t/a。</w:t>
            </w:r>
          </w:p>
          <w:p w14:paraId="258632A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8"/>
                <w:highlight w:val="none"/>
              </w:rPr>
              <w:t>运输车辆的尾气是沿交通路线沿程以线源形式排放。车辆尾气中所含的主要污染物为CO、NO</w:t>
            </w:r>
            <w:r>
              <w:rPr>
                <w:rFonts w:hint="default" w:ascii="Times New Roman" w:hAnsi="Times New Roman" w:cs="Times New Roman"/>
                <w:color w:val="auto"/>
                <w:sz w:val="24"/>
                <w:szCs w:val="28"/>
                <w:highlight w:val="none"/>
                <w:vertAlign w:val="subscript"/>
              </w:rPr>
              <w:t>x</w:t>
            </w:r>
            <w:r>
              <w:rPr>
                <w:rFonts w:hint="default" w:ascii="Times New Roman" w:hAnsi="Times New Roman" w:cs="Times New Roman"/>
                <w:color w:val="auto"/>
                <w:sz w:val="24"/>
                <w:szCs w:val="28"/>
                <w:highlight w:val="none"/>
              </w:rPr>
              <w:t>、THC等。施工期间预计经过居民点时的运输车流量在5辆/h之内，单车排放的大气污染物的扩散、稀释后，对敏感地区产生的浓度贡献值很小，因此，运输车辆排放的废气污染物只会引起局部大气环境质量的短暂下降，对区域的环境空气质量影响较小。</w:t>
            </w:r>
          </w:p>
          <w:p w14:paraId="30B71734">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lang w:val="en-US" w:eastAsia="zh-CN"/>
              </w:rPr>
              <w:t>3、</w:t>
            </w:r>
            <w:r>
              <w:rPr>
                <w:rFonts w:hint="default" w:ascii="Times New Roman" w:hAnsi="Times New Roman" w:cs="Times New Roman"/>
                <w:b/>
                <w:bCs w:val="0"/>
                <w:color w:val="auto"/>
                <w:sz w:val="24"/>
                <w:szCs w:val="28"/>
                <w:highlight w:val="none"/>
                <w:lang w:val="en-US" w:eastAsia="zh-CN"/>
              </w:rPr>
              <w:t>新建临时道路废气</w:t>
            </w:r>
            <w:r>
              <w:rPr>
                <w:rFonts w:hint="default" w:ascii="Times New Roman" w:hAnsi="Times New Roman" w:cs="Times New Roman"/>
                <w:b/>
                <w:bCs w:val="0"/>
                <w:color w:val="auto"/>
                <w:sz w:val="24"/>
                <w:highlight w:val="none"/>
              </w:rPr>
              <w:t>影响分析</w:t>
            </w:r>
          </w:p>
          <w:p w14:paraId="717DB48B">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施工期间新建临时简易道路</w:t>
            </w:r>
            <w:r>
              <w:rPr>
                <w:rFonts w:hint="eastAsia"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eastAsia="zh-CN"/>
              </w:rPr>
              <w:t>k</w:t>
            </w:r>
            <w:r>
              <w:rPr>
                <w:rFonts w:hint="default" w:ascii="Times New Roman" w:hAnsi="Times New Roman" w:cs="Times New Roman"/>
                <w:bCs/>
                <w:color w:val="auto"/>
                <w:sz w:val="24"/>
                <w:highlight w:val="none"/>
                <w:lang w:val="en-US" w:eastAsia="zh-CN"/>
              </w:rPr>
              <w:t>m</w:t>
            </w:r>
            <w:r>
              <w:rPr>
                <w:rFonts w:hint="default" w:ascii="Times New Roman" w:hAnsi="Times New Roman" w:eastAsia="宋体" w:cs="Times New Roman"/>
                <w:bCs/>
                <w:color w:val="auto"/>
                <w:sz w:val="24"/>
                <w:highlight w:val="none"/>
                <w:lang w:val="en-US" w:eastAsia="zh-CN"/>
              </w:rPr>
              <w:t>，为施工期间临时通行使用，路面未硬化，施工及车辆行驶会产生少量道路扬尘，主要影响道路沿线近距离区域，影响范围小、时间短、随施工结束消失，对区域环境空气影响较轻，定期对临时道路洒水抑尘，保持路面湿润；限制车辆低速行驶，减少扬尘产生。</w:t>
            </w:r>
          </w:p>
          <w:p w14:paraId="2792FB3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对周边居民的影响</w:t>
            </w:r>
          </w:p>
          <w:p w14:paraId="0CF34F7E">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施工期道路运输扬尘将影响周边居民的环境空气质量，导致居民生活质量下降，影响周边环境卫生。为防止施工期道路扬尘污染，评价要求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施工期经常洒水并定期清扫，保持路面湿润；通过合理设置施工车辆进出口和运输路线，最大程度减轻项目施工车辆进出过程中产生的车辆扬尘对环境敏感点的影响。</w:t>
            </w:r>
          </w:p>
          <w:p w14:paraId="3593440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四、环境噪声影响分析</w:t>
            </w:r>
          </w:p>
          <w:p w14:paraId="0F8301E0">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cs="Times New Roman"/>
                <w:b/>
                <w:bCs w:val="0"/>
                <w:color w:val="auto"/>
                <w:sz w:val="24"/>
                <w:highlight w:val="none"/>
                <w:lang w:val="en-US" w:eastAsia="zh-CN"/>
              </w:rPr>
              <w:t>1、噪声源</w:t>
            </w:r>
          </w:p>
          <w:p w14:paraId="25D16E3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本工程施工将使用推土机、挖掘机、自卸汽车等施工机械。</w:t>
            </w:r>
          </w:p>
          <w:p w14:paraId="4BF72B82">
            <w:pPr>
              <w:keepNext w:val="0"/>
              <w:keepLines w:val="0"/>
              <w:pageBreakBefore w:val="0"/>
              <w:widowControl w:val="0"/>
              <w:kinsoku/>
              <w:wordWrap/>
              <w:overflowPunct/>
              <w:topLinePunct w:val="0"/>
              <w:autoSpaceDE/>
              <w:autoSpaceDN/>
              <w:bidi w:val="0"/>
              <w:spacing w:line="500" w:lineRule="exact"/>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施工期间，大量施工人员和施工机械的进驻，施工</w:t>
            </w:r>
            <w:r>
              <w:rPr>
                <w:rFonts w:hint="default" w:ascii="Times New Roman" w:hAnsi="Times New Roman" w:cs="Times New Roman"/>
                <w:color w:val="auto"/>
                <w:sz w:val="24"/>
                <w:highlight w:val="none"/>
                <w:lang w:eastAsia="zh-CN"/>
              </w:rPr>
              <w:t>生产区</w:t>
            </w:r>
            <w:r>
              <w:rPr>
                <w:rFonts w:hint="default" w:ascii="Times New Roman" w:hAnsi="Times New Roman" w:cs="Times New Roman"/>
                <w:color w:val="auto"/>
                <w:sz w:val="24"/>
                <w:highlight w:val="none"/>
              </w:rPr>
              <w:t>的布设，车辆运输及各种施工活动的开展，打破了原有的宁静，使施工区变成一个繁忙的施工场地，施工期间噪声主要来自各种施工机械设备及运输车辆。</w:t>
            </w:r>
          </w:p>
          <w:p w14:paraId="65A340F4">
            <w:pPr>
              <w:keepNext w:val="0"/>
              <w:keepLines w:val="0"/>
              <w:pageBreakBefore w:val="0"/>
              <w:widowControl w:val="0"/>
              <w:kinsoku/>
              <w:wordWrap/>
              <w:overflowPunct/>
              <w:topLinePunct w:val="0"/>
              <w:autoSpaceDE/>
              <w:autoSpaceDN/>
              <w:bidi w:val="0"/>
              <w:spacing w:line="500" w:lineRule="exact"/>
              <w:ind w:firstLine="480"/>
              <w:textAlignment w:val="auto"/>
              <w:rPr>
                <w:rFonts w:hint="default" w:ascii="Times New Roman" w:hAnsi="Times New Roman" w:cs="Times New Roman"/>
                <w:color w:val="auto"/>
                <w:sz w:val="28"/>
                <w:szCs w:val="28"/>
                <w:highlight w:val="none"/>
              </w:rPr>
            </w:pPr>
            <w:r>
              <w:rPr>
                <w:rFonts w:hint="default" w:ascii="Times New Roman" w:hAnsi="Times New Roman" w:cs="Times New Roman"/>
                <w:bCs/>
                <w:color w:val="auto"/>
                <w:sz w:val="24"/>
                <w:highlight w:val="none"/>
              </w:rPr>
              <w:t>施工噪声具有阶段性、临时性和不固定性，不同的施工设备产生的噪声不同，在多台机械设备同时作业时，各台设备产生的噪声会产生叠加，叠加后的噪声增约为90dB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。主要施工设备噪声的距离衰减情况见下表。</w:t>
            </w:r>
          </w:p>
          <w:p w14:paraId="2A58071B">
            <w:pPr>
              <w:keepNext w:val="0"/>
              <w:keepLines w:val="0"/>
              <w:pageBreakBefore w:val="0"/>
              <w:widowControl w:val="0"/>
              <w:kinsoku/>
              <w:wordWrap/>
              <w:overflowPunct/>
              <w:topLinePunct w:val="0"/>
              <w:autoSpaceDE/>
              <w:autoSpaceDN/>
              <w:bidi w:val="0"/>
              <w:spacing w:line="500" w:lineRule="exact"/>
              <w:ind w:firstLine="482"/>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施工机械噪声衰减距离  单位</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dB（A）</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506"/>
              <w:gridCol w:w="604"/>
              <w:gridCol w:w="601"/>
              <w:gridCol w:w="604"/>
              <w:gridCol w:w="633"/>
              <w:gridCol w:w="633"/>
              <w:gridCol w:w="633"/>
              <w:gridCol w:w="632"/>
              <w:gridCol w:w="633"/>
              <w:gridCol w:w="627"/>
            </w:tblGrid>
            <w:tr w14:paraId="32F8F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12" w:space="0"/>
                    <w:left w:val="nil"/>
                    <w:bottom w:val="single" w:color="auto" w:sz="4" w:space="0"/>
                    <w:right w:val="single" w:color="auto" w:sz="4" w:space="0"/>
                    <w:tl2br w:val="single" w:color="auto" w:sz="4" w:space="0"/>
                  </w:tcBorders>
                  <w:noWrap w:val="0"/>
                  <w:vAlign w:val="center"/>
                </w:tcPr>
                <w:p w14:paraId="57A1D09C">
                  <w:pPr>
                    <w:adjustRightInd w:val="0"/>
                    <w:snapToGrid w:val="0"/>
                    <w:spacing w:line="300" w:lineRule="exact"/>
                    <w:jc w:val="righ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距离</w:t>
                  </w:r>
                  <w:r>
                    <w:rPr>
                      <w:rFonts w:hint="default" w:ascii="Times New Roman" w:hAnsi="Times New Roman" w:cs="Times New Roman"/>
                      <w:bCs/>
                      <w:color w:val="auto"/>
                      <w:szCs w:val="21"/>
                      <w:highlight w:val="none"/>
                      <w:lang w:eastAsia="zh-CN"/>
                    </w:rPr>
                    <w:t>（m）</w:t>
                  </w:r>
                </w:p>
                <w:p w14:paraId="6BF27DD6">
                  <w:pPr>
                    <w:adjustRightInd w:val="0"/>
                    <w:snapToGrid w:val="0"/>
                    <w:spacing w:line="300" w:lineRule="exact"/>
                    <w:jc w:val="left"/>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机械名称</w:t>
                  </w:r>
                </w:p>
              </w:tc>
              <w:tc>
                <w:tcPr>
                  <w:tcW w:w="341" w:type="pct"/>
                  <w:tcBorders>
                    <w:top w:val="single" w:color="auto" w:sz="12" w:space="0"/>
                    <w:left w:val="single" w:color="auto" w:sz="4" w:space="0"/>
                    <w:bottom w:val="single" w:color="auto" w:sz="4" w:space="0"/>
                    <w:right w:val="single" w:color="auto" w:sz="4" w:space="0"/>
                  </w:tcBorders>
                  <w:noWrap w:val="0"/>
                  <w:vAlign w:val="center"/>
                </w:tcPr>
                <w:p w14:paraId="796DE38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w:t>
                  </w:r>
                </w:p>
              </w:tc>
              <w:tc>
                <w:tcPr>
                  <w:tcW w:w="407" w:type="pct"/>
                  <w:tcBorders>
                    <w:top w:val="single" w:color="auto" w:sz="12" w:space="0"/>
                    <w:left w:val="single" w:color="auto" w:sz="4" w:space="0"/>
                    <w:bottom w:val="single" w:color="auto" w:sz="4" w:space="0"/>
                    <w:right w:val="single" w:color="auto" w:sz="4" w:space="0"/>
                  </w:tcBorders>
                  <w:noWrap w:val="0"/>
                  <w:vAlign w:val="center"/>
                </w:tcPr>
                <w:p w14:paraId="182C6FD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w:t>
                  </w:r>
                </w:p>
              </w:tc>
              <w:tc>
                <w:tcPr>
                  <w:tcW w:w="405" w:type="pct"/>
                  <w:tcBorders>
                    <w:top w:val="single" w:color="auto" w:sz="12" w:space="0"/>
                    <w:left w:val="single" w:color="auto" w:sz="4" w:space="0"/>
                    <w:bottom w:val="single" w:color="auto" w:sz="4" w:space="0"/>
                    <w:right w:val="single" w:color="auto" w:sz="4" w:space="0"/>
                  </w:tcBorders>
                  <w:noWrap w:val="0"/>
                  <w:vAlign w:val="center"/>
                </w:tcPr>
                <w:p w14:paraId="52FE2097">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w:t>
                  </w:r>
                </w:p>
              </w:tc>
              <w:tc>
                <w:tcPr>
                  <w:tcW w:w="407" w:type="pct"/>
                  <w:tcBorders>
                    <w:top w:val="single" w:color="auto" w:sz="12" w:space="0"/>
                    <w:left w:val="single" w:color="auto" w:sz="4" w:space="0"/>
                    <w:bottom w:val="single" w:color="auto" w:sz="4" w:space="0"/>
                    <w:right w:val="single" w:color="auto" w:sz="4" w:space="0"/>
                  </w:tcBorders>
                  <w:noWrap w:val="0"/>
                  <w:vAlign w:val="center"/>
                </w:tcPr>
                <w:p w14:paraId="0EF92C3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0513ECB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7D172D7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59BF963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300</w:t>
                  </w:r>
                </w:p>
              </w:tc>
              <w:tc>
                <w:tcPr>
                  <w:tcW w:w="426" w:type="pct"/>
                  <w:tcBorders>
                    <w:top w:val="single" w:color="auto" w:sz="12" w:space="0"/>
                    <w:left w:val="single" w:color="auto" w:sz="4" w:space="0"/>
                    <w:bottom w:val="single" w:color="auto" w:sz="4" w:space="0"/>
                    <w:right w:val="single" w:color="auto" w:sz="4" w:space="0"/>
                  </w:tcBorders>
                  <w:noWrap w:val="0"/>
                  <w:vAlign w:val="center"/>
                </w:tcPr>
                <w:p w14:paraId="2FB2F9C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400</w:t>
                  </w:r>
                </w:p>
              </w:tc>
              <w:tc>
                <w:tcPr>
                  <w:tcW w:w="427" w:type="pct"/>
                  <w:tcBorders>
                    <w:top w:val="single" w:color="auto" w:sz="12" w:space="0"/>
                    <w:left w:val="single" w:color="auto" w:sz="4" w:space="0"/>
                    <w:bottom w:val="single" w:color="auto" w:sz="4" w:space="0"/>
                    <w:right w:val="single" w:color="auto" w:sz="4" w:space="0"/>
                  </w:tcBorders>
                  <w:noWrap w:val="0"/>
                  <w:vAlign w:val="center"/>
                </w:tcPr>
                <w:p w14:paraId="2E0072F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500</w:t>
                  </w:r>
                </w:p>
              </w:tc>
              <w:tc>
                <w:tcPr>
                  <w:tcW w:w="423" w:type="pct"/>
                  <w:tcBorders>
                    <w:top w:val="single" w:color="auto" w:sz="12" w:space="0"/>
                    <w:left w:val="single" w:color="auto" w:sz="4" w:space="0"/>
                    <w:bottom w:val="single" w:color="auto" w:sz="4" w:space="0"/>
                    <w:right w:val="nil"/>
                  </w:tcBorders>
                  <w:noWrap w:val="0"/>
                  <w:vAlign w:val="center"/>
                </w:tcPr>
                <w:p w14:paraId="538D848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900</w:t>
                  </w:r>
                </w:p>
              </w:tc>
            </w:tr>
            <w:tr w14:paraId="3C13EB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3D0829F1">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推土机</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2CDF6A4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80</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15CED27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74</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3187B79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68</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0BFF14F4">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64</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5CD59CF">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4666003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C54D81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4D04E37A">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48</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24B46C82">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46</w:t>
                  </w:r>
                </w:p>
              </w:tc>
              <w:tc>
                <w:tcPr>
                  <w:tcW w:w="423" w:type="pct"/>
                  <w:tcBorders>
                    <w:top w:val="single" w:color="auto" w:sz="4" w:space="0"/>
                    <w:left w:val="single" w:color="auto" w:sz="4" w:space="0"/>
                    <w:bottom w:val="single" w:color="auto" w:sz="4" w:space="0"/>
                    <w:right w:val="nil"/>
                  </w:tcBorders>
                  <w:noWrap w:val="0"/>
                  <w:vAlign w:val="center"/>
                </w:tcPr>
                <w:p w14:paraId="5768129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41</w:t>
                  </w:r>
                </w:p>
              </w:tc>
            </w:tr>
            <w:tr w14:paraId="341C5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5A7AAE18">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挖掘机</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48F6A68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75</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5177B36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72</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45722A8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66</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7E41B9EF">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62</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0279C6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58</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5FFE67C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52</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3132280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76C4B587">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16EA200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44</w:t>
                  </w:r>
                </w:p>
              </w:tc>
              <w:tc>
                <w:tcPr>
                  <w:tcW w:w="423" w:type="pct"/>
                  <w:tcBorders>
                    <w:top w:val="single" w:color="auto" w:sz="4" w:space="0"/>
                    <w:left w:val="single" w:color="auto" w:sz="4" w:space="0"/>
                    <w:bottom w:val="single" w:color="auto" w:sz="4" w:space="0"/>
                    <w:right w:val="nil"/>
                  </w:tcBorders>
                  <w:noWrap w:val="0"/>
                  <w:vAlign w:val="center"/>
                </w:tcPr>
                <w:p w14:paraId="5A29A544">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39</w:t>
                  </w:r>
                </w:p>
              </w:tc>
            </w:tr>
            <w:tr w14:paraId="21593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4" w:space="0"/>
                    <w:right w:val="single" w:color="auto" w:sz="4" w:space="0"/>
                  </w:tcBorders>
                  <w:noWrap w:val="0"/>
                  <w:vAlign w:val="center"/>
                </w:tcPr>
                <w:p w14:paraId="4546F5D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自卸汽车</w:t>
                  </w:r>
                </w:p>
              </w:tc>
              <w:tc>
                <w:tcPr>
                  <w:tcW w:w="341" w:type="pct"/>
                  <w:tcBorders>
                    <w:top w:val="single" w:color="auto" w:sz="4" w:space="0"/>
                    <w:left w:val="single" w:color="auto" w:sz="4" w:space="0"/>
                    <w:bottom w:val="single" w:color="auto" w:sz="4" w:space="0"/>
                    <w:right w:val="single" w:color="auto" w:sz="4" w:space="0"/>
                  </w:tcBorders>
                  <w:noWrap w:val="0"/>
                  <w:vAlign w:val="center"/>
                </w:tcPr>
                <w:p w14:paraId="15D0133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89</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74174B43">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77</w:t>
                  </w:r>
                </w:p>
              </w:tc>
              <w:tc>
                <w:tcPr>
                  <w:tcW w:w="405" w:type="pct"/>
                  <w:tcBorders>
                    <w:top w:val="single" w:color="auto" w:sz="4" w:space="0"/>
                    <w:left w:val="single" w:color="auto" w:sz="4" w:space="0"/>
                    <w:bottom w:val="single" w:color="auto" w:sz="4" w:space="0"/>
                    <w:right w:val="single" w:color="auto" w:sz="4" w:space="0"/>
                  </w:tcBorders>
                  <w:noWrap w:val="0"/>
                  <w:vAlign w:val="center"/>
                </w:tcPr>
                <w:p w14:paraId="6BE8495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71</w:t>
                  </w:r>
                </w:p>
              </w:tc>
              <w:tc>
                <w:tcPr>
                  <w:tcW w:w="407" w:type="pct"/>
                  <w:tcBorders>
                    <w:top w:val="single" w:color="auto" w:sz="4" w:space="0"/>
                    <w:left w:val="single" w:color="auto" w:sz="4" w:space="0"/>
                    <w:bottom w:val="single" w:color="auto" w:sz="4" w:space="0"/>
                    <w:right w:val="single" w:color="auto" w:sz="4" w:space="0"/>
                  </w:tcBorders>
                  <w:noWrap w:val="0"/>
                  <w:vAlign w:val="center"/>
                </w:tcPr>
                <w:p w14:paraId="08A0CD4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67</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586F0D4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63</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519716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59</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4C7ADEAC">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54</w:t>
                  </w:r>
                </w:p>
              </w:tc>
              <w:tc>
                <w:tcPr>
                  <w:tcW w:w="426" w:type="pct"/>
                  <w:tcBorders>
                    <w:top w:val="single" w:color="auto" w:sz="4" w:space="0"/>
                    <w:left w:val="single" w:color="auto" w:sz="4" w:space="0"/>
                    <w:bottom w:val="single" w:color="auto" w:sz="4" w:space="0"/>
                    <w:right w:val="single" w:color="auto" w:sz="4" w:space="0"/>
                  </w:tcBorders>
                  <w:noWrap w:val="0"/>
                  <w:vAlign w:val="center"/>
                </w:tcPr>
                <w:p w14:paraId="3ABE264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7" w:type="pct"/>
                  <w:tcBorders>
                    <w:top w:val="single" w:color="auto" w:sz="4" w:space="0"/>
                    <w:left w:val="single" w:color="auto" w:sz="4" w:space="0"/>
                    <w:bottom w:val="single" w:color="auto" w:sz="4" w:space="0"/>
                    <w:right w:val="single" w:color="auto" w:sz="4" w:space="0"/>
                  </w:tcBorders>
                  <w:noWrap w:val="0"/>
                  <w:vAlign w:val="center"/>
                </w:tcPr>
                <w:p w14:paraId="6E72C20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49</w:t>
                  </w:r>
                </w:p>
              </w:tc>
              <w:tc>
                <w:tcPr>
                  <w:tcW w:w="423" w:type="pct"/>
                  <w:tcBorders>
                    <w:top w:val="single" w:color="auto" w:sz="4" w:space="0"/>
                    <w:left w:val="single" w:color="auto" w:sz="4" w:space="0"/>
                    <w:bottom w:val="single" w:color="auto" w:sz="4" w:space="0"/>
                    <w:right w:val="nil"/>
                  </w:tcBorders>
                  <w:noWrap w:val="0"/>
                  <w:vAlign w:val="center"/>
                </w:tcPr>
                <w:p w14:paraId="07D193D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44</w:t>
                  </w:r>
                </w:p>
              </w:tc>
            </w:tr>
            <w:tr w14:paraId="0F5DF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84" w:type="pct"/>
                  <w:tcBorders>
                    <w:top w:val="single" w:color="auto" w:sz="4" w:space="0"/>
                    <w:left w:val="nil"/>
                    <w:bottom w:val="single" w:color="auto" w:sz="12" w:space="0"/>
                    <w:right w:val="single" w:color="auto" w:sz="4" w:space="0"/>
                  </w:tcBorders>
                  <w:noWrap w:val="0"/>
                  <w:vAlign w:val="center"/>
                </w:tcPr>
                <w:p w14:paraId="44A124B2">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多台设备</w:t>
                  </w:r>
                </w:p>
                <w:p w14:paraId="0D1D57B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同时施工</w:t>
                  </w:r>
                </w:p>
              </w:tc>
              <w:tc>
                <w:tcPr>
                  <w:tcW w:w="341" w:type="pct"/>
                  <w:tcBorders>
                    <w:top w:val="single" w:color="auto" w:sz="4" w:space="0"/>
                    <w:left w:val="single" w:color="auto" w:sz="4" w:space="0"/>
                    <w:bottom w:val="single" w:color="auto" w:sz="12" w:space="0"/>
                    <w:right w:val="single" w:color="auto" w:sz="4" w:space="0"/>
                  </w:tcBorders>
                  <w:noWrap w:val="0"/>
                  <w:vAlign w:val="center"/>
                </w:tcPr>
                <w:p w14:paraId="3A17A4A0">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90</w:t>
                  </w:r>
                </w:p>
              </w:tc>
              <w:tc>
                <w:tcPr>
                  <w:tcW w:w="407" w:type="pct"/>
                  <w:tcBorders>
                    <w:top w:val="single" w:color="auto" w:sz="4" w:space="0"/>
                    <w:left w:val="single" w:color="auto" w:sz="4" w:space="0"/>
                    <w:bottom w:val="single" w:color="auto" w:sz="12" w:space="0"/>
                    <w:right w:val="single" w:color="auto" w:sz="4" w:space="0"/>
                  </w:tcBorders>
                  <w:noWrap w:val="0"/>
                  <w:vAlign w:val="center"/>
                </w:tcPr>
                <w:p w14:paraId="2794D8EB">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79</w:t>
                  </w:r>
                </w:p>
              </w:tc>
              <w:tc>
                <w:tcPr>
                  <w:tcW w:w="405" w:type="pct"/>
                  <w:tcBorders>
                    <w:top w:val="single" w:color="auto" w:sz="4" w:space="0"/>
                    <w:left w:val="single" w:color="auto" w:sz="4" w:space="0"/>
                    <w:bottom w:val="single" w:color="auto" w:sz="12" w:space="0"/>
                    <w:right w:val="single" w:color="auto" w:sz="4" w:space="0"/>
                  </w:tcBorders>
                  <w:noWrap w:val="0"/>
                  <w:vAlign w:val="center"/>
                </w:tcPr>
                <w:p w14:paraId="3BFF69B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73</w:t>
                  </w:r>
                </w:p>
              </w:tc>
              <w:tc>
                <w:tcPr>
                  <w:tcW w:w="407" w:type="pct"/>
                  <w:tcBorders>
                    <w:top w:val="single" w:color="auto" w:sz="4" w:space="0"/>
                    <w:left w:val="single" w:color="auto" w:sz="4" w:space="0"/>
                    <w:bottom w:val="single" w:color="auto" w:sz="12" w:space="0"/>
                    <w:right w:val="single" w:color="auto" w:sz="4" w:space="0"/>
                  </w:tcBorders>
                  <w:noWrap w:val="0"/>
                  <w:vAlign w:val="center"/>
                </w:tcPr>
                <w:p w14:paraId="3027311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69</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7F51E279">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66</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12A149CE">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60</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736E869D">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55</w:t>
                  </w:r>
                </w:p>
              </w:tc>
              <w:tc>
                <w:tcPr>
                  <w:tcW w:w="426" w:type="pct"/>
                  <w:tcBorders>
                    <w:top w:val="single" w:color="auto" w:sz="4" w:space="0"/>
                    <w:left w:val="single" w:color="auto" w:sz="4" w:space="0"/>
                    <w:bottom w:val="single" w:color="auto" w:sz="12" w:space="0"/>
                    <w:right w:val="single" w:color="auto" w:sz="4" w:space="0"/>
                  </w:tcBorders>
                  <w:noWrap w:val="0"/>
                  <w:vAlign w:val="center"/>
                </w:tcPr>
                <w:p w14:paraId="56C51AF5">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53</w:t>
                  </w:r>
                </w:p>
              </w:tc>
              <w:tc>
                <w:tcPr>
                  <w:tcW w:w="427" w:type="pct"/>
                  <w:tcBorders>
                    <w:top w:val="single" w:color="auto" w:sz="4" w:space="0"/>
                    <w:left w:val="single" w:color="auto" w:sz="4" w:space="0"/>
                    <w:bottom w:val="single" w:color="auto" w:sz="12" w:space="0"/>
                    <w:right w:val="single" w:color="auto" w:sz="4" w:space="0"/>
                  </w:tcBorders>
                  <w:noWrap w:val="0"/>
                  <w:vAlign w:val="center"/>
                </w:tcPr>
                <w:p w14:paraId="4CDB6A3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51</w:t>
                  </w:r>
                </w:p>
              </w:tc>
              <w:tc>
                <w:tcPr>
                  <w:tcW w:w="423" w:type="pct"/>
                  <w:tcBorders>
                    <w:top w:val="single" w:color="auto" w:sz="4" w:space="0"/>
                    <w:left w:val="single" w:color="auto" w:sz="4" w:space="0"/>
                    <w:bottom w:val="single" w:color="auto" w:sz="12" w:space="0"/>
                    <w:right w:val="nil"/>
                  </w:tcBorders>
                  <w:noWrap w:val="0"/>
                  <w:vAlign w:val="center"/>
                </w:tcPr>
                <w:p w14:paraId="39CE8F86">
                  <w:pPr>
                    <w:adjustRightInd w:val="0"/>
                    <w:snapToGrid w:val="0"/>
                    <w:spacing w:line="300" w:lineRule="exact"/>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45</w:t>
                  </w:r>
                </w:p>
              </w:tc>
            </w:tr>
          </w:tbl>
          <w:p w14:paraId="7B217FA4">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从上表可以看出，单台机械设备在50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外产生的声级值均能满足施工场界噪声昼间标准要求，夜间场界施工噪声达标距离约280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。道路施工现场往往是多种施工机械同时进行作业，施工噪声的达标距离约昼间60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，夜间300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w:t>
            </w:r>
          </w:p>
          <w:p w14:paraId="69F6FAC7">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本次评价要求采用低噪声施工设备，设备安装消声减振措施，夜间（22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00</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6</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00）禁止施工作业，60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处满足</w:t>
            </w:r>
            <w:r>
              <w:rPr>
                <w:rFonts w:hint="default" w:ascii="Times New Roman" w:hAnsi="Times New Roman" w:cs="Times New Roman"/>
                <w:bCs/>
                <w:color w:val="auto"/>
                <w:sz w:val="24"/>
                <w:highlight w:val="none"/>
                <w:lang w:eastAsia="zh-CN"/>
              </w:rPr>
              <w:t>《建筑施工噪声排放标准》（GB12523—2025）</w:t>
            </w:r>
            <w:r>
              <w:rPr>
                <w:rFonts w:hint="default" w:ascii="Times New Roman" w:hAnsi="Times New Roman" w:cs="Times New Roman"/>
                <w:bCs/>
                <w:color w:val="auto"/>
                <w:sz w:val="24"/>
                <w:highlight w:val="none"/>
              </w:rPr>
              <w:t>昼间70dB</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限值要求</w:t>
            </w:r>
            <w:r>
              <w:rPr>
                <w:rFonts w:hint="default" w:ascii="Times New Roman" w:hAnsi="Times New Roman" w:cs="Times New Roman"/>
                <w:bCs/>
                <w:color w:val="auto"/>
                <w:sz w:val="24"/>
                <w:highlight w:val="none"/>
              </w:rPr>
              <w:t>。</w:t>
            </w:r>
          </w:p>
          <w:p w14:paraId="0FDC4EE9">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工程施工时噪声对周边环境及居民点的影响仅在施工期，夜间禁止施工，施工机械300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外敏感点噪声可满足《声环境质量标准》（GB3096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2008）1类标准。</w:t>
            </w:r>
            <w:r>
              <w:rPr>
                <w:rFonts w:hint="default" w:ascii="Times New Roman" w:hAnsi="Times New Roman" w:cs="Times New Roman"/>
                <w:color w:val="auto"/>
                <w:sz w:val="24"/>
                <w:szCs w:val="24"/>
                <w:highlight w:val="none"/>
                <w:lang w:eastAsia="zh-CN"/>
              </w:rPr>
              <w:t>实际施工中，往往是各工序分别施工，多台设备同时运行的状况很少，</w:t>
            </w:r>
            <w:r>
              <w:rPr>
                <w:rFonts w:hint="default" w:ascii="Times New Roman" w:hAnsi="Times New Roman" w:cs="Times New Roman"/>
                <w:color w:val="auto"/>
                <w:sz w:val="24"/>
                <w:szCs w:val="24"/>
                <w:highlight w:val="none"/>
              </w:rPr>
              <w:t>距离本项目较近的居民点</w:t>
            </w:r>
            <w:r>
              <w:rPr>
                <w:rFonts w:hint="default" w:ascii="Times New Roman" w:hAnsi="Times New Roman" w:cs="Times New Roman"/>
                <w:color w:val="auto"/>
                <w:sz w:val="24"/>
                <w:szCs w:val="24"/>
                <w:highlight w:val="none"/>
                <w:lang w:val="en-US" w:eastAsia="zh-CN"/>
              </w:rPr>
              <w:t>超过200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，对设备定期保养、严格操作规范且尽可能采取隔音、</w:t>
            </w:r>
            <w:r>
              <w:rPr>
                <w:rFonts w:hint="default" w:ascii="Times New Roman" w:hAnsi="Times New Roman" w:cs="Times New Roman"/>
                <w:color w:val="auto"/>
                <w:sz w:val="24"/>
                <w:szCs w:val="24"/>
                <w:highlight w:val="none"/>
                <w:lang w:eastAsia="zh-CN"/>
              </w:rPr>
              <w:t>减振</w:t>
            </w:r>
            <w:r>
              <w:rPr>
                <w:rFonts w:hint="default" w:ascii="Times New Roman" w:hAnsi="Times New Roman" w:cs="Times New Roman"/>
                <w:color w:val="auto"/>
                <w:sz w:val="24"/>
                <w:szCs w:val="24"/>
                <w:highlight w:val="none"/>
              </w:rPr>
              <w:t>、消声等措施后，可使噪声下降</w:t>
            </w:r>
            <w:r>
              <w:rPr>
                <w:rFonts w:hint="default"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左右，</w:t>
            </w:r>
            <w:r>
              <w:rPr>
                <w:rFonts w:hint="default" w:ascii="Times New Roman" w:hAnsi="Times New Roman" w:cs="Times New Roman"/>
                <w:color w:val="auto"/>
                <w:sz w:val="24"/>
                <w:szCs w:val="24"/>
                <w:highlight w:val="none"/>
                <w:lang w:val="en-US" w:eastAsia="zh-CN"/>
              </w:rPr>
              <w:t>机械噪声对</w:t>
            </w:r>
            <w:r>
              <w:rPr>
                <w:rFonts w:hint="default" w:ascii="Times New Roman" w:hAnsi="Times New Roman" w:cs="Times New Roman"/>
                <w:color w:val="auto"/>
                <w:sz w:val="24"/>
                <w:szCs w:val="24"/>
                <w:highlight w:val="none"/>
              </w:rPr>
              <w:t>最近居民处（</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）的</w:t>
            </w:r>
            <w:r>
              <w:rPr>
                <w:rFonts w:hint="default" w:ascii="Times New Roman" w:hAnsi="Times New Roman" w:cs="Times New Roman"/>
                <w:color w:val="auto"/>
                <w:sz w:val="24"/>
                <w:szCs w:val="24"/>
                <w:highlight w:val="none"/>
                <w:lang w:val="en-US" w:eastAsia="zh-CN"/>
              </w:rPr>
              <w:t>贡献值为50dB（A），</w:t>
            </w:r>
            <w:r>
              <w:rPr>
                <w:rFonts w:hint="default" w:ascii="Times New Roman" w:hAnsi="Times New Roman" w:cs="Times New Roman"/>
                <w:color w:val="auto"/>
                <w:sz w:val="24"/>
                <w:szCs w:val="24"/>
                <w:highlight w:val="none"/>
              </w:rPr>
              <w:t>可满足《声环境质量标准》（GB3096</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2008）1类标准</w:t>
            </w:r>
            <w:r>
              <w:rPr>
                <w:rFonts w:hint="default" w:ascii="Times New Roman" w:hAnsi="Times New Roman" w:eastAsia="宋体" w:cs="Times New Roman"/>
                <w:color w:val="auto"/>
                <w:sz w:val="24"/>
                <w:szCs w:val="24"/>
                <w:highlight w:val="none"/>
              </w:rPr>
              <w:t>。</w:t>
            </w:r>
          </w:p>
          <w:p w14:paraId="2EAE26BC">
            <w:pPr>
              <w:keepNext w:val="0"/>
              <w:keepLines w:val="0"/>
              <w:pageBreakBefore w:val="0"/>
              <w:widowControl w:val="0"/>
              <w:kinsoku/>
              <w:wordWrap/>
              <w:overflowPunct/>
              <w:topLinePunct w:val="0"/>
              <w:bidi w:val="0"/>
              <w:spacing w:line="500" w:lineRule="exact"/>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施工机</w:t>
            </w:r>
            <w:r>
              <w:rPr>
                <w:rFonts w:hint="default" w:ascii="Times New Roman" w:hAnsi="Times New Roman" w:eastAsia="宋体" w:cs="Times New Roman"/>
                <w:b/>
                <w:bCs/>
                <w:color w:val="auto"/>
                <w:sz w:val="24"/>
                <w:highlight w:val="none"/>
                <w:lang w:val="en-US" w:eastAsia="zh-CN"/>
              </w:rPr>
              <w:t>新建维修道路噪声</w:t>
            </w:r>
            <w:r>
              <w:rPr>
                <w:rFonts w:hint="default" w:ascii="Times New Roman" w:hAnsi="Times New Roman" w:eastAsia="宋体" w:cs="Times New Roman"/>
                <w:b/>
                <w:bCs/>
                <w:color w:val="auto"/>
                <w:sz w:val="24"/>
                <w:highlight w:val="none"/>
              </w:rPr>
              <w:t>分析</w:t>
            </w:r>
          </w:p>
          <w:p w14:paraId="6648BD2B">
            <w:pPr>
              <w:keepNext w:val="0"/>
              <w:keepLines w:val="0"/>
              <w:pageBreakBefore w:val="0"/>
              <w:widowControl w:val="0"/>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施工车辆在临时道路行驶产生交通噪声，噪声源强较低，仅对道路沿线近距离产生短期、间歇性影响，无长期噪声影响，施工结束后影响消除</w:t>
            </w:r>
            <w:r>
              <w:rPr>
                <w:rFonts w:hint="default" w:ascii="Times New Roman" w:hAnsi="Times New Roman" w:eastAsia="宋体" w:cs="Times New Roman"/>
                <w:color w:val="auto"/>
                <w:sz w:val="24"/>
                <w:highlight w:val="none"/>
                <w:lang w:eastAsia="zh-CN"/>
              </w:rPr>
              <w:t>，合理安排运输时间，禁止夜间运输；车辆减速慢行、禁止鸣笛，降低噪声影响。</w:t>
            </w:r>
          </w:p>
          <w:p w14:paraId="4077A054">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五、固体废物对环境的影响</w:t>
            </w:r>
          </w:p>
          <w:p w14:paraId="1FA12120">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施工期固体废物主要包括建筑垃圾、生活垃圾</w:t>
            </w:r>
            <w:r>
              <w:rPr>
                <w:rFonts w:hint="default" w:ascii="Times New Roman" w:hAnsi="Times New Roman" w:cs="Times New Roman"/>
                <w:color w:val="auto"/>
                <w:highlight w:val="none"/>
                <w:lang w:eastAsia="zh-CN"/>
              </w:rPr>
              <w:t>、沉淀池少量污泥</w:t>
            </w:r>
            <w:r>
              <w:rPr>
                <w:rFonts w:hint="default" w:ascii="Times New Roman" w:hAnsi="Times New Roman" w:cs="Times New Roman"/>
                <w:color w:val="auto"/>
                <w:highlight w:val="none"/>
              </w:rPr>
              <w:t>及弃土。</w:t>
            </w:r>
          </w:p>
          <w:p w14:paraId="09749C68">
            <w:pPr>
              <w:pStyle w:val="50"/>
              <w:keepNext w:val="0"/>
              <w:keepLines w:val="0"/>
              <w:pageBreakBefore w:val="0"/>
              <w:widowControl w:val="0"/>
              <w:numPr>
                <w:ilvl w:val="0"/>
                <w:numId w:val="0"/>
              </w:numPr>
              <w:kinsoku/>
              <w:wordWrap/>
              <w:overflowPunct/>
              <w:topLinePunct w:val="0"/>
              <w:bidi w:val="0"/>
              <w:spacing w:line="500" w:lineRule="exact"/>
              <w:ind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eastAsia="宋体" w:cs="Times New Roman"/>
                <w:b/>
                <w:bCs/>
                <w:color w:val="auto"/>
                <w:kern w:val="0"/>
                <w:sz w:val="24"/>
                <w:szCs w:val="24"/>
                <w:highlight w:val="none"/>
                <w:lang w:val="en-US" w:eastAsia="zh-CN" w:bidi="ar-SA"/>
              </w:rPr>
              <w:t>1、</w:t>
            </w:r>
            <w:r>
              <w:rPr>
                <w:rFonts w:hint="default" w:ascii="Times New Roman" w:hAnsi="Times New Roman" w:cs="Times New Roman"/>
                <w:b/>
                <w:bCs/>
                <w:color w:val="auto"/>
                <w:highlight w:val="none"/>
                <w:lang w:val="en-US" w:eastAsia="zh-CN"/>
              </w:rPr>
              <w:t>弃渣</w:t>
            </w:r>
          </w:p>
          <w:p w14:paraId="09C93DD5">
            <w:pPr>
              <w:pStyle w:val="50"/>
              <w:keepNext w:val="0"/>
              <w:keepLines w:val="0"/>
              <w:pageBreakBefore w:val="0"/>
              <w:widowControl w:val="0"/>
              <w:numPr>
                <w:ilvl w:val="0"/>
                <w:numId w:val="0"/>
              </w:numPr>
              <w:kinsoku/>
              <w:wordWrap/>
              <w:overflowPunct/>
              <w:topLinePunct w:val="0"/>
              <w:bidi w:val="0"/>
              <w:spacing w:line="500" w:lineRule="exact"/>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本工程弃渣主要来源于</w:t>
            </w:r>
            <w:r>
              <w:rPr>
                <w:rFonts w:hint="default" w:ascii="Times New Roman" w:hAnsi="Times New Roman" w:cs="Times New Roman"/>
                <w:color w:val="auto"/>
                <w:highlight w:val="none"/>
                <w:lang w:val="en-US" w:eastAsia="zh-CN"/>
              </w:rPr>
              <w:t>基础</w:t>
            </w:r>
            <w:r>
              <w:rPr>
                <w:rFonts w:hint="default" w:ascii="Times New Roman" w:hAnsi="Times New Roman" w:cs="Times New Roman"/>
                <w:color w:val="auto"/>
                <w:highlight w:val="none"/>
              </w:rPr>
              <w:t>开挖产生的无法回填的土方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产生量约为</w:t>
            </w:r>
            <w:r>
              <w:rPr>
                <w:rFonts w:hint="eastAsia" w:cs="Times New Roman"/>
                <w:color w:val="auto"/>
                <w:highlight w:val="none"/>
                <w:lang w:val="en-US" w:eastAsia="zh-CN"/>
              </w:rPr>
              <w:t>38457.99</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固体废物代码为</w:t>
            </w:r>
            <w:r>
              <w:rPr>
                <w:rFonts w:hint="default" w:ascii="Times New Roman" w:hAnsi="Times New Roman" w:cs="Times New Roman"/>
                <w:color w:val="auto"/>
                <w:highlight w:val="none"/>
                <w:lang w:val="en-US" w:eastAsia="zh-CN"/>
              </w:rPr>
              <w:t>900—001—S70，</w:t>
            </w:r>
            <w:r>
              <w:rPr>
                <w:rFonts w:hint="default" w:ascii="Times New Roman" w:hAnsi="Times New Roman" w:cs="Times New Roman"/>
                <w:color w:val="auto"/>
                <w:highlight w:val="none"/>
              </w:rPr>
              <w:t>施工期间将开挖土方堆置在</w:t>
            </w:r>
            <w:r>
              <w:rPr>
                <w:rFonts w:hint="default" w:ascii="Times New Roman" w:hAnsi="Times New Roman" w:cs="Times New Roman"/>
                <w:color w:val="auto"/>
                <w:highlight w:val="none"/>
                <w:lang w:val="en-US" w:eastAsia="zh-CN"/>
              </w:rPr>
              <w:t>主体工程占地范围</w:t>
            </w:r>
            <w:r>
              <w:rPr>
                <w:rFonts w:hint="default" w:ascii="Times New Roman" w:hAnsi="Times New Roman" w:cs="Times New Roman"/>
                <w:color w:val="auto"/>
                <w:highlight w:val="none"/>
              </w:rPr>
              <w:t>内，</w:t>
            </w:r>
            <w:r>
              <w:rPr>
                <w:rFonts w:hint="default" w:ascii="Times New Roman" w:hAnsi="Times New Roman" w:cs="Times New Roman"/>
                <w:color w:val="auto"/>
                <w:highlight w:val="none"/>
                <w:lang w:val="en-US" w:eastAsia="zh-CN"/>
              </w:rPr>
              <w:t>不增加临时占地，</w:t>
            </w:r>
            <w:r>
              <w:rPr>
                <w:rFonts w:hint="default" w:ascii="Times New Roman" w:hAnsi="Times New Roman" w:cs="Times New Roman"/>
                <w:color w:val="auto"/>
                <w:highlight w:val="none"/>
              </w:rPr>
              <w:t>土方临时堆置时加强防护，坡脚用编织袋填筑土埂压盖并拦挡，表面密目网覆盖，施工结束后</w:t>
            </w:r>
            <w:r>
              <w:rPr>
                <w:rFonts w:hint="default" w:ascii="Times New Roman" w:hAnsi="Times New Roman" w:cs="Times New Roman"/>
                <w:color w:val="auto"/>
                <w:highlight w:val="none"/>
                <w:lang w:val="en-US" w:eastAsia="zh-CN"/>
              </w:rPr>
              <w:t>弃土弃方就近填塘</w:t>
            </w:r>
            <w:r>
              <w:rPr>
                <w:rFonts w:hint="default" w:ascii="Times New Roman" w:hAnsi="Times New Roman" w:cs="Times New Roman"/>
                <w:color w:val="auto"/>
                <w:highlight w:val="none"/>
              </w:rPr>
              <w:t>。</w:t>
            </w:r>
          </w:p>
          <w:p w14:paraId="462ADBDA">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2、表土</w:t>
            </w:r>
          </w:p>
          <w:p w14:paraId="34DE1E89">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表土</w:t>
            </w:r>
            <w:r>
              <w:rPr>
                <w:rFonts w:hint="eastAsia" w:cs="Times New Roman"/>
                <w:color w:val="auto"/>
                <w:highlight w:val="none"/>
                <w:lang w:val="en-US" w:eastAsia="zh-CN"/>
              </w:rPr>
              <w:t>8059.20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临时堆存在表土暂存场，全部由庆安县庆禾农业发展有限公司外运并进行综合利用，重点用于土地改良。</w:t>
            </w:r>
          </w:p>
          <w:p w14:paraId="7BAB0075">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3、生活垃圾</w:t>
            </w:r>
          </w:p>
          <w:p w14:paraId="2800378D">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施工人员按高峰阶段计算，需劳动力人数</w:t>
            </w:r>
            <w:r>
              <w:rPr>
                <w:rFonts w:hint="eastAsia" w:cs="Times New Roman"/>
                <w:color w:val="auto"/>
                <w:highlight w:val="none"/>
                <w:lang w:val="en-US" w:eastAsia="zh-CN"/>
              </w:rPr>
              <w:t>20</w:t>
            </w:r>
            <w:r>
              <w:rPr>
                <w:rFonts w:hint="default" w:ascii="Times New Roman" w:hAnsi="Times New Roman" w:cs="Times New Roman"/>
                <w:color w:val="auto"/>
                <w:highlight w:val="none"/>
              </w:rPr>
              <w:t>人，集中在</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处</w:t>
            </w:r>
            <w:r>
              <w:rPr>
                <w:rFonts w:hint="default" w:ascii="Times New Roman" w:hAnsi="Times New Roman" w:cs="Times New Roman"/>
                <w:color w:val="auto"/>
                <w:highlight w:val="none"/>
              </w:rPr>
              <w:t>生活区，施工人员生活垃圾产生量</w:t>
            </w:r>
            <w:r>
              <w:rPr>
                <w:rFonts w:hint="default" w:ascii="Times New Roman" w:hAnsi="Times New Roman" w:cs="Times New Roman"/>
                <w:color w:val="auto"/>
                <w:highlight w:val="none"/>
                <w:lang w:val="en-US" w:eastAsia="zh-CN"/>
              </w:rPr>
              <w:t>按每人每天1kg核算，生活垃圾产生量合计</w:t>
            </w:r>
            <w:r>
              <w:rPr>
                <w:rFonts w:hint="default" w:ascii="Times New Roman" w:hAnsi="Times New Roman" w:cs="Times New Roman"/>
                <w:color w:val="auto"/>
                <w:highlight w:val="none"/>
              </w:rPr>
              <w:t>为</w:t>
            </w:r>
            <w:r>
              <w:rPr>
                <w:rFonts w:hint="eastAsia" w:cs="Times New Roman"/>
                <w:color w:val="auto"/>
                <w:highlight w:val="none"/>
                <w:lang w:val="en-US" w:eastAsia="zh-CN"/>
              </w:rPr>
              <w:t>0.02</w:t>
            </w:r>
            <w:r>
              <w:rPr>
                <w:rFonts w:hint="default" w:ascii="Times New Roman" w:hAnsi="Times New Roman" w:cs="Times New Roman"/>
                <w:color w:val="auto"/>
                <w:highlight w:val="none"/>
              </w:rPr>
              <w:t>kg/d。</w:t>
            </w:r>
            <w:r>
              <w:rPr>
                <w:rFonts w:hint="default" w:ascii="Times New Roman" w:hAnsi="Times New Roman" w:cs="Times New Roman"/>
                <w:color w:val="auto"/>
                <w:highlight w:val="none"/>
                <w:lang w:eastAsia="zh-CN"/>
              </w:rPr>
              <w:t>固体废物代码为</w:t>
            </w:r>
            <w:r>
              <w:rPr>
                <w:rFonts w:hint="default" w:ascii="Times New Roman" w:hAnsi="Times New Roman" w:cs="Times New Roman"/>
                <w:color w:val="auto"/>
                <w:highlight w:val="none"/>
                <w:lang w:val="en-US" w:eastAsia="zh-CN"/>
              </w:rPr>
              <w:t>900—099—S64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生活垃圾以有机物为主，垃圾腐败变质，是传播疾病的媒介，为疾病的发生和流行提供了条件，若不及时清运，将影响环境卫生和</w:t>
            </w:r>
            <w:r>
              <w:rPr>
                <w:rFonts w:hint="default" w:ascii="Times New Roman" w:hAnsi="Times New Roman" w:cs="Times New Roman"/>
                <w:color w:val="auto"/>
                <w:highlight w:val="none"/>
                <w:lang w:eastAsia="zh-CN"/>
              </w:rPr>
              <w:t>感官</w:t>
            </w:r>
            <w:r>
              <w:rPr>
                <w:rFonts w:hint="default" w:ascii="Times New Roman" w:hAnsi="Times New Roman" w:cs="Times New Roman"/>
                <w:color w:val="auto"/>
                <w:highlight w:val="none"/>
              </w:rPr>
              <w:t>，对施工人员健康造成危害。</w:t>
            </w:r>
            <w:r>
              <w:rPr>
                <w:rFonts w:hint="default" w:ascii="Times New Roman" w:hAnsi="Times New Roman" w:cs="Times New Roman"/>
                <w:color w:val="auto"/>
                <w:highlight w:val="none"/>
                <w:lang w:val="en-US" w:eastAsia="zh-CN"/>
              </w:rPr>
              <w:t>施工生产</w:t>
            </w:r>
            <w:r>
              <w:rPr>
                <w:rFonts w:hint="default" w:ascii="Times New Roman" w:hAnsi="Times New Roman" w:cs="Times New Roman"/>
                <w:color w:val="auto"/>
                <w:highlight w:val="none"/>
              </w:rPr>
              <w:t>生活区布设2个垃圾箱，运输垃圾的设施要</w:t>
            </w:r>
            <w:r>
              <w:rPr>
                <w:rFonts w:hint="default" w:ascii="Times New Roman" w:hAnsi="Times New Roman" w:cs="Times New Roman"/>
                <w:color w:val="auto"/>
                <w:highlight w:val="none"/>
                <w:lang w:eastAsia="zh-CN"/>
              </w:rPr>
              <w:t>密闭</w:t>
            </w:r>
            <w:r>
              <w:rPr>
                <w:rFonts w:hint="default" w:ascii="Times New Roman" w:hAnsi="Times New Roman" w:cs="Times New Roman"/>
                <w:color w:val="auto"/>
                <w:highlight w:val="none"/>
              </w:rPr>
              <w:t>，以免对环境造成二次污染，定期运往指定地点统一进行集中处理。</w:t>
            </w:r>
          </w:p>
          <w:p w14:paraId="6DD74C90">
            <w:pPr>
              <w:pStyle w:val="50"/>
              <w:keepNext w:val="0"/>
              <w:keepLines w:val="0"/>
              <w:pageBreakBefore w:val="0"/>
              <w:widowControl w:val="0"/>
              <w:numPr>
                <w:ilvl w:val="0"/>
                <w:numId w:val="0"/>
              </w:numPr>
              <w:kinsoku/>
              <w:wordWrap/>
              <w:overflowPunct/>
              <w:topLinePunct w:val="0"/>
              <w:bidi w:val="0"/>
              <w:spacing w:line="500" w:lineRule="exact"/>
              <w:ind w:left="0" w:leftChars="0"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w:t>
            </w:r>
            <w:r>
              <w:rPr>
                <w:rFonts w:hint="default" w:ascii="Times New Roman" w:hAnsi="Times New Roman" w:cs="Times New Roman"/>
                <w:b/>
                <w:bCs/>
                <w:color w:val="auto"/>
                <w:highlight w:val="none"/>
                <w:lang w:val="en-US" w:eastAsia="zh-CN"/>
              </w:rPr>
              <w:t>沉淀池污泥</w:t>
            </w:r>
          </w:p>
          <w:p w14:paraId="764FFE5C">
            <w:pPr>
              <w:pStyle w:val="50"/>
              <w:keepNext w:val="0"/>
              <w:keepLines w:val="0"/>
              <w:pageBreakBefore w:val="0"/>
              <w:widowControl w:val="0"/>
              <w:numPr>
                <w:ilvl w:val="0"/>
                <w:numId w:val="0"/>
              </w:numPr>
              <w:kinsoku/>
              <w:wordWrap/>
              <w:overflowPunct/>
              <w:topLinePunct w:val="0"/>
              <w:bidi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沉淀池将产生少量沉淀污泥，产生量为</w:t>
            </w:r>
            <w:r>
              <w:rPr>
                <w:rFonts w:hint="default" w:ascii="Times New Roman" w:hAnsi="Times New Roman" w:cs="Times New Roman"/>
                <w:color w:val="auto"/>
                <w:highlight w:val="none"/>
                <w:lang w:val="en-US" w:eastAsia="zh-CN"/>
              </w:rPr>
              <w:t>0.00</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t/a，固体废物代码为900—099—S07，施工结束后统一清出与弃土一同处置。</w:t>
            </w:r>
          </w:p>
          <w:p w14:paraId="0443D141">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综上，本工程固体废物处置率为100%，对周围环境产生的不利影响较小。</w:t>
            </w:r>
          </w:p>
          <w:p w14:paraId="684037C7">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w:t>
            </w:r>
            <w:r>
              <w:rPr>
                <w:rFonts w:hint="default" w:ascii="Times New Roman" w:hAnsi="Times New Roman" w:cs="Times New Roman"/>
                <w:b/>
                <w:bCs/>
                <w:color w:val="auto"/>
                <w:highlight w:val="none"/>
                <w:lang w:val="en-US" w:eastAsia="zh-CN"/>
              </w:rPr>
              <w:t>环境</w:t>
            </w:r>
            <w:r>
              <w:rPr>
                <w:rFonts w:hint="default" w:ascii="Times New Roman" w:hAnsi="Times New Roman" w:cs="Times New Roman"/>
                <w:b/>
                <w:bCs/>
                <w:color w:val="auto"/>
                <w:highlight w:val="none"/>
              </w:rPr>
              <w:t>风险影响评价</w:t>
            </w:r>
          </w:p>
          <w:p w14:paraId="0522F7A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工程在施工期间的</w:t>
            </w:r>
            <w:r>
              <w:rPr>
                <w:rFonts w:hint="default" w:ascii="Times New Roman" w:hAnsi="Times New Roman" w:cs="Times New Roman"/>
                <w:color w:val="auto"/>
                <w:kern w:val="0"/>
                <w:sz w:val="24"/>
                <w:highlight w:val="none"/>
              </w:rPr>
              <w:t>柴油</w:t>
            </w:r>
            <w:r>
              <w:rPr>
                <w:rFonts w:hint="default" w:ascii="Times New Roman" w:hAnsi="Times New Roman" w:cs="Times New Roman"/>
                <w:color w:val="auto"/>
                <w:kern w:val="0"/>
                <w:sz w:val="24"/>
                <w:highlight w:val="none"/>
                <w:lang w:val="en-US" w:eastAsia="zh-CN"/>
              </w:rPr>
              <w:t>消耗量</w:t>
            </w:r>
            <w:r>
              <w:rPr>
                <w:rFonts w:hint="eastAsia" w:cs="Times New Roman"/>
                <w:color w:val="auto"/>
                <w:kern w:val="0"/>
                <w:sz w:val="24"/>
                <w:highlight w:val="none"/>
                <w:lang w:val="en-US" w:eastAsia="zh-CN"/>
              </w:rPr>
              <w:t>48.69</w:t>
            </w:r>
            <w:r>
              <w:rPr>
                <w:rFonts w:hint="default" w:ascii="Times New Roman" w:hAnsi="Times New Roman" w:cs="Times New Roman"/>
                <w:color w:val="auto"/>
                <w:kern w:val="0"/>
                <w:sz w:val="24"/>
                <w:highlight w:val="none"/>
              </w:rPr>
              <w:t>t，</w:t>
            </w:r>
            <w:r>
              <w:rPr>
                <w:rFonts w:hint="default" w:ascii="Times New Roman" w:hAnsi="Times New Roman" w:cs="Times New Roman"/>
                <w:color w:val="auto"/>
                <w:szCs w:val="21"/>
                <w:highlight w:val="none"/>
              </w:rPr>
              <w:t>不设储油库</w:t>
            </w:r>
            <w:r>
              <w:rPr>
                <w:rFonts w:hint="default" w:ascii="Times New Roman" w:hAnsi="Times New Roman" w:cs="Times New Roman"/>
                <w:color w:val="auto"/>
                <w:szCs w:val="21"/>
                <w:highlight w:val="none"/>
                <w:lang w:eastAsia="zh-CN"/>
              </w:rPr>
              <w:t>和油桶</w:t>
            </w:r>
            <w:r>
              <w:rPr>
                <w:rFonts w:hint="default" w:ascii="Times New Roman" w:hAnsi="Times New Roman" w:cs="Times New Roman"/>
                <w:color w:val="auto"/>
                <w:szCs w:val="21"/>
                <w:highlight w:val="none"/>
              </w:rPr>
              <w:t>，柴油随用随</w:t>
            </w:r>
            <w:r>
              <w:rPr>
                <w:rFonts w:hint="default" w:ascii="Times New Roman" w:hAnsi="Times New Roman" w:cs="Times New Roman"/>
                <w:color w:val="auto"/>
                <w:szCs w:val="21"/>
                <w:highlight w:val="none"/>
                <w:lang w:eastAsia="zh-CN"/>
              </w:rPr>
              <w:t>加</w:t>
            </w:r>
            <w:r>
              <w:rPr>
                <w:rFonts w:hint="default" w:ascii="Times New Roman" w:hAnsi="Times New Roman" w:cs="Times New Roman"/>
                <w:color w:val="auto"/>
                <w:szCs w:val="21"/>
                <w:highlight w:val="none"/>
              </w:rPr>
              <w:t>，所有机械设备的燃油补充在附近加油站</w:t>
            </w:r>
            <w:r>
              <w:rPr>
                <w:rFonts w:hint="default" w:ascii="Times New Roman" w:hAnsi="Times New Roman" w:cs="Times New Roman"/>
                <w:color w:val="auto"/>
                <w:szCs w:val="21"/>
                <w:highlight w:val="none"/>
                <w:lang w:eastAsia="zh-CN"/>
              </w:rPr>
              <w:t>进行</w:t>
            </w:r>
            <w:r>
              <w:rPr>
                <w:rFonts w:hint="default" w:ascii="Times New Roman" w:hAnsi="Times New Roman" w:cs="Times New Roman"/>
                <w:color w:val="auto"/>
                <w:highlight w:val="none"/>
              </w:rPr>
              <w:t>。施工区的环境风险主要为机械和柴油发电机油箱的柴油泄漏的风险和操作不当起火风险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柴油火灾事故对环境产生的风险主要包括以下几个方面</w:t>
            </w:r>
            <w:r>
              <w:rPr>
                <w:rFonts w:hint="default" w:ascii="Times New Roman" w:hAnsi="Times New Roman" w:cs="Times New Roman"/>
                <w:color w:val="auto"/>
                <w:highlight w:val="none"/>
                <w:lang w:eastAsia="zh-CN"/>
              </w:rPr>
              <w:t>:</w:t>
            </w:r>
          </w:p>
          <w:p w14:paraId="161E07AB">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1、大气环境污染</w:t>
            </w:r>
          </w:p>
          <w:p w14:paraId="482C7F26">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燃烧产生的有害气体和颗粒物会对大气环境造成污染。例如，柴油燃烧会释放二氧化碳、一氧化碳、挥发性有机化合物等温室气体，加剧全球气候变化；同时还会释放氮氧化物、硫氧化物和颗粒物等有害物质，对大气环境造成污染。</w:t>
            </w:r>
          </w:p>
          <w:p w14:paraId="57033179">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2、水体污染</w:t>
            </w:r>
          </w:p>
          <w:p w14:paraId="65556778">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柴油泄漏会污染土壤和地下水，直接影响生态系统中土壤和水体的健康。柴油是一种疏水性物质，一旦泄漏，会迅速渗透至土壤深层和地下水中，严重影响土壤和地下水的质量。</w:t>
            </w:r>
          </w:p>
          <w:p w14:paraId="7F9375B0">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3、生物多样性丧失</w:t>
            </w:r>
          </w:p>
          <w:p w14:paraId="4CC210DB">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柴油火灾事故会直接危害生物多样性。受污染的土壤和水体会破坏生物栖息地，使得土壤中的微生物和水体的水生生物受到不同程度的伤害。</w:t>
            </w:r>
          </w:p>
          <w:p w14:paraId="6C1E31DD">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4、生态系统破坏</w:t>
            </w:r>
          </w:p>
          <w:p w14:paraId="086133F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柴油火灾事故对生态系统的破坏也是一个重要的环境风险。受污染的土壤和水体会破坏植被覆盖和生物多样性，影响生态系统的稳定性和恢复能力。</w:t>
            </w:r>
          </w:p>
          <w:p w14:paraId="51B7AFF2">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5、人类健康风险</w:t>
            </w:r>
          </w:p>
          <w:p w14:paraId="224BE25F">
            <w:pPr>
              <w:pStyle w:val="50"/>
              <w:keepNext w:val="0"/>
              <w:keepLines w:val="0"/>
              <w:pageBreakBefore w:val="0"/>
              <w:widowControl w:val="0"/>
              <w:kinsoku/>
              <w:wordWrap/>
              <w:overflowPunct/>
              <w:topLinePunct w:val="0"/>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柴油火灾事故对人类健康造成的风险也是不可忽视的。柴油燃烧释放的有害气体和颗粒物会对人类健康造成危害，引发呼吸道疾病和心血管疾病等健康问题。</w:t>
            </w:r>
          </w:p>
          <w:p w14:paraId="1CE40646">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七、对地下水的影响</w:t>
            </w:r>
          </w:p>
          <w:p w14:paraId="2B2D70BF">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根据《环境影响评价技术导则地下水环境》（HJ610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2016）附录A，本项目属于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A水利4、防洪治涝工程其他</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项目，地下水环境影响评价项目类别为报告表</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4 \* ROMAN \* MERGEFORMAT </w:instrText>
            </w:r>
            <w:r>
              <w:rPr>
                <w:rFonts w:hint="default" w:ascii="Times New Roman" w:hAnsi="Times New Roman" w:cs="Times New Roman"/>
                <w:color w:val="auto"/>
                <w:sz w:val="24"/>
                <w:highlight w:val="none"/>
              </w:rPr>
              <w:fldChar w:fldCharType="separate"/>
            </w:r>
            <w:r>
              <w:rPr>
                <w:rFonts w:hint="default" w:ascii="Times New Roman" w:hAnsi="Times New Roman" w:eastAsia="微软雅黑" w:cs="Times New Roman"/>
                <w:color w:val="auto"/>
                <w:sz w:val="24"/>
                <w:highlight w:val="none"/>
              </w:rPr>
              <w:t>Ⅳ</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类，根据导则4.1条款规定，不开展地下水环境影响评价。</w:t>
            </w:r>
          </w:p>
          <w:p w14:paraId="141F8469">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八、对土壤环境的影响</w:t>
            </w:r>
          </w:p>
          <w:p w14:paraId="0900E101">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根据《环境影响评价技术导则 土壤环境》（HJ964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2018），本项目所属行业类别为水利工程，本项目属于附录A中的水利</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其他，为</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3 \* ROMAN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III</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类。根据6.2.1章节，生态影响型建</w:t>
            </w:r>
            <w:r>
              <w:rPr>
                <w:rFonts w:hint="default" w:ascii="Times New Roman" w:hAnsi="Times New Roman" w:eastAsia="宋体" w:cs="Times New Roman"/>
                <w:color w:val="auto"/>
                <w:sz w:val="24"/>
                <w:highlight w:val="none"/>
              </w:rPr>
              <w:t>设项目评价工作等级划分依据，本项目所在区域多年平均年降水量为</w:t>
            </w:r>
            <w:r>
              <w:rPr>
                <w:rFonts w:hint="default" w:ascii="Times New Roman" w:hAnsi="Times New Roman" w:eastAsia="宋体" w:cs="Times New Roman"/>
                <w:color w:val="auto"/>
                <w:sz w:val="24"/>
                <w:highlight w:val="none"/>
                <w:lang w:val="en-US" w:eastAsia="zh-CN"/>
              </w:rPr>
              <w:t>668</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rPr>
              <w:t>，多年平均蒸发量为</w:t>
            </w:r>
            <w:r>
              <w:rPr>
                <w:rFonts w:hint="default" w:ascii="Times New Roman" w:hAnsi="Times New Roman" w:eastAsia="宋体" w:cs="Times New Roman"/>
                <w:color w:val="auto"/>
                <w:sz w:val="24"/>
                <w:highlight w:val="none"/>
                <w:lang w:val="en-US" w:eastAsia="zh-CN"/>
              </w:rPr>
              <w:t>1130</w:t>
            </w:r>
            <w:r>
              <w:rPr>
                <w:rFonts w:hint="default" w:ascii="Times New Roman" w:hAnsi="Times New Roman" w:cs="Times New Roman"/>
                <w:color w:val="auto"/>
                <w:sz w:val="24"/>
                <w:highlight w:val="none"/>
                <w:lang w:eastAsia="zh-CN"/>
              </w:rPr>
              <w:t>mm</w:t>
            </w:r>
            <w:r>
              <w:rPr>
                <w:rFonts w:hint="default" w:ascii="Times New Roman" w:hAnsi="Times New Roman" w:eastAsia="宋体" w:cs="Times New Roman"/>
                <w:color w:val="auto"/>
                <w:sz w:val="24"/>
                <w:highlight w:val="none"/>
                <w:lang w:eastAsia="zh-CN"/>
              </w:rPr>
              <w:t>。该区的水文地质结构受控于其</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漫岗平原与低山丘陵相间</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的地貌格局和</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松散孔隙水与基岩裂隙水并存</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的地层特点。地下水主要接受大气降水的入渗补给，由东北向西南方向径流，最终排泄于呼兰河等河流。</w:t>
            </w:r>
            <w:r>
              <w:rPr>
                <w:rFonts w:hint="default" w:ascii="Times New Roman" w:hAnsi="Times New Roman" w:eastAsia="宋体" w:cs="Times New Roman"/>
                <w:color w:val="auto"/>
                <w:sz w:val="24"/>
                <w:highlight w:val="none"/>
                <w:lang w:val="en-US" w:eastAsia="zh-CN"/>
              </w:rPr>
              <w:t>地下水埋深在0.30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～3.50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，水位在185.21</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～187.68</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，年最大变幅2.00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lang w:val="en-US" w:eastAsia="zh-CN"/>
              </w:rPr>
              <w:t>左右。</w:t>
            </w:r>
          </w:p>
          <w:p w14:paraId="31984348">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区域土壤含盐量一般低于2g/kg；根据中国土壤数据库，工程区土类主要为暗棕壤，pH</w:t>
            </w:r>
            <w:r>
              <w:rPr>
                <w:rFonts w:hint="default" w:ascii="Times New Roman" w:hAnsi="Times New Roman" w:eastAsia="宋体" w:cs="Times New Roman"/>
                <w:color w:val="auto"/>
                <w:sz w:val="24"/>
                <w:highlight w:val="none"/>
                <w:lang w:val="en-US" w:eastAsia="zh-CN"/>
              </w:rPr>
              <w:t>为6.5</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7.5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，则判断土壤盐化、酸化、碱化程度属于不敏感。因此根据生态影响型评价工作等对照生态影响型评价工作等级划分表，本</w:t>
            </w:r>
            <w:r>
              <w:rPr>
                <w:rFonts w:hint="default" w:ascii="Times New Roman" w:hAnsi="Times New Roman" w:eastAsia="宋体" w:cs="Times New Roman"/>
                <w:color w:val="auto"/>
                <w:sz w:val="24"/>
                <w:highlight w:val="none"/>
                <w:lang w:val="en-US" w:eastAsia="zh-CN"/>
              </w:rPr>
              <w:t>工程</w:t>
            </w:r>
            <w:r>
              <w:rPr>
                <w:rFonts w:hint="default" w:ascii="Times New Roman" w:hAnsi="Times New Roman" w:eastAsia="宋体" w:cs="Times New Roman"/>
                <w:color w:val="auto"/>
                <w:sz w:val="24"/>
                <w:highlight w:val="none"/>
              </w:rPr>
              <w:t>敏感程度为</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不敏感</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判定本工程土壤环境影响评价等级为</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无需开展土壤环境影响评价工作</w:t>
            </w:r>
            <w:r>
              <w:rPr>
                <w:rFonts w:hint="default" w:ascii="Times New Roman" w:hAnsi="Times New Roman" w:cs="Times New Roman"/>
                <w:color w:val="auto"/>
                <w:sz w:val="24"/>
                <w:highlight w:val="none"/>
              </w:rPr>
              <w:t>。</w:t>
            </w:r>
          </w:p>
          <w:p w14:paraId="44EAD4C1">
            <w:pPr>
              <w:keepNext w:val="0"/>
              <w:keepLines w:val="0"/>
              <w:pageBreakBefore w:val="0"/>
              <w:widowControl w:val="0"/>
              <w:kinsoku/>
              <w:wordWrap/>
              <w:overflowPunct/>
              <w:topLinePunct w:val="0"/>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lang w:val="en-US" w:eastAsia="zh-CN"/>
              </w:rPr>
              <w:t>十、</w:t>
            </w:r>
            <w:r>
              <w:rPr>
                <w:rFonts w:hint="default" w:ascii="Times New Roman" w:hAnsi="Times New Roman" w:eastAsia="宋体" w:cs="Times New Roman"/>
                <w:b/>
                <w:bCs w:val="0"/>
                <w:color w:val="auto"/>
                <w:sz w:val="24"/>
                <w:highlight w:val="none"/>
              </w:rPr>
              <w:t>人群健康影响分析</w:t>
            </w:r>
          </w:p>
          <w:p w14:paraId="38AE9FD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工程建设期间，施工人员相对集中，人口密度大，流动性强，卫生条件和居住条件差，加之工期紧，劳动强度大，将使施工人员体质下降，对疾病的抵抗力减弱，感染疾病的可能性会增加，容易在施工人员中发生流行病及传染病，如不注意饮食卫生及保健，施工人员的身体健康将受到一定影响。</w:t>
            </w:r>
          </w:p>
          <w:p w14:paraId="12990A08">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施工期间将增加施工人员之间的接触机会，易传染疾病；施工人员在野外作业，与鼠类接触机会增多，也容易诱发疫源性疾病。为减少各种疾病的发生，使工程得以顺利进行，需要实施以下措施</w:t>
            </w:r>
            <w:r>
              <w:rPr>
                <w:rFonts w:hint="default" w:ascii="Times New Roman" w:hAnsi="Times New Roman" w:cs="Times New Roman"/>
                <w:bCs/>
                <w:color w:val="auto"/>
                <w:sz w:val="24"/>
                <w:highlight w:val="none"/>
                <w:lang w:eastAsia="zh-CN"/>
              </w:rPr>
              <w:t>:</w:t>
            </w:r>
          </w:p>
          <w:p w14:paraId="00D4D11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1）为减少各种疾病的发病率，施工期间要做好环境卫生防疫工作，对施工人员进行必要的卫生防疫宣传教育。加强施工人员居住的民房的卫生清理和消毒，定期进行灭蚊蝇和灭鼠工作；加强卫生防疫监测工作，做到早发现，早治疗。对现场施工人员定期进行体检，及时接种疫苗，发现传染病患者，及时隔离治疗，并及时报告当地卫生防疫部门。</w:t>
            </w:r>
          </w:p>
          <w:p w14:paraId="61B7A6AD">
            <w:pPr>
              <w:keepNext w:val="0"/>
              <w:keepLines w:val="0"/>
              <w:pageBreakBefore w:val="0"/>
              <w:widowControl w:val="0"/>
              <w:kinsoku/>
              <w:wordWrap/>
              <w:overflowPunct/>
              <w:topLinePunct w:val="0"/>
              <w:bidi w:val="0"/>
              <w:spacing w:line="500" w:lineRule="exact"/>
              <w:ind w:firstLine="470" w:firstLineChars="196"/>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bCs/>
                <w:color w:val="auto"/>
                <w:sz w:val="24"/>
                <w:highlight w:val="none"/>
              </w:rPr>
              <w:t>（2）施工人员的饮用水源管理和食品卫生管理，饮用水源要经过卫生防疫部门检验，合格后方可使用；食品原料要新鲜卫生，各种食品要烧熟煮透；采购食品用的车辆、容器要清洁卫生，做到生熟分开、防尘、防蝇、防雨、防晒；公用</w:t>
            </w:r>
            <w:r>
              <w:rPr>
                <w:rFonts w:hint="default" w:ascii="Times New Roman" w:hAnsi="Times New Roman" w:eastAsia="宋体" w:cs="Times New Roman"/>
                <w:bCs/>
                <w:color w:val="auto"/>
                <w:sz w:val="24"/>
                <w:highlight w:val="none"/>
                <w:lang w:eastAsia="zh-CN"/>
              </w:rPr>
              <w:t>餐具</w:t>
            </w:r>
            <w:r>
              <w:rPr>
                <w:rFonts w:hint="default" w:ascii="Times New Roman" w:hAnsi="Times New Roman" w:eastAsia="宋体" w:cs="Times New Roman"/>
                <w:bCs/>
                <w:color w:val="auto"/>
                <w:sz w:val="24"/>
                <w:highlight w:val="none"/>
              </w:rPr>
              <w:t>要洗净消毒。</w:t>
            </w:r>
          </w:p>
        </w:tc>
      </w:tr>
      <w:tr w14:paraId="1EBD68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76" w:type="pct"/>
            <w:tcBorders>
              <w:top w:val="single" w:color="auto" w:sz="4"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138A7777">
            <w:pPr>
              <w:widowControl/>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pacing w:val="10"/>
                <w:sz w:val="24"/>
                <w:highlight w:val="none"/>
                <w:lang w:eastAsia="zh-CN"/>
              </w:rPr>
              <w:t>运行期</w:t>
            </w:r>
            <w:r>
              <w:rPr>
                <w:rFonts w:hint="default" w:ascii="Times New Roman" w:hAnsi="Times New Roman" w:cs="Times New Roman"/>
                <w:bCs/>
                <w:color w:val="auto"/>
                <w:spacing w:val="10"/>
                <w:sz w:val="24"/>
                <w:highlight w:val="none"/>
              </w:rPr>
              <w:t>生态环境影响分析</w:t>
            </w:r>
          </w:p>
        </w:tc>
        <w:tc>
          <w:tcPr>
            <w:tcW w:w="4524" w:type="pct"/>
            <w:tcBorders>
              <w:top w:val="single" w:color="auto" w:sz="4" w:space="0"/>
              <w:left w:val="single" w:color="auto" w:sz="4" w:space="0"/>
              <w:bottom w:val="single" w:color="auto" w:sz="4" w:space="0"/>
              <w:right w:val="single" w:color="auto" w:sz="8" w:space="0"/>
            </w:tcBorders>
            <w:noWrap w:val="0"/>
            <w:vAlign w:val="top"/>
          </w:tcPr>
          <w:p w14:paraId="50631CC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szCs w:val="24"/>
                <w:highlight w:val="none"/>
              </w:rPr>
            </w:pPr>
            <w:r>
              <w:rPr>
                <w:rFonts w:hint="eastAsia" w:cs="Times New Roman"/>
                <w:color w:val="auto"/>
                <w:sz w:val="24"/>
                <w:szCs w:val="24"/>
                <w:highlight w:val="none"/>
                <w:lang w:val="en-US" w:eastAsia="zh-CN"/>
              </w:rPr>
              <w:t>本项目的建设可增大过流断面面积，增大河道行洪能力，</w:t>
            </w:r>
            <w:r>
              <w:rPr>
                <w:rFonts w:hint="default" w:ascii="Times New Roman" w:hAnsi="Times New Roman" w:eastAsia="宋体" w:cs="Times New Roman"/>
                <w:color w:val="auto"/>
                <w:sz w:val="24"/>
                <w:szCs w:val="24"/>
                <w:highlight w:val="none"/>
              </w:rPr>
              <w:t>稳固的格宾石笼结构有效防止河岸坍塌，保障行洪通道畅通无阻，显著提升河道行洪能力，降低城市内涝风险</w:t>
            </w:r>
            <w:r>
              <w:rPr>
                <w:rFonts w:hint="default" w:ascii="Times New Roman" w:hAnsi="Times New Roman" w:cs="Times New Roman"/>
                <w:bCs/>
                <w:color w:val="auto"/>
                <w:sz w:val="24"/>
                <w:szCs w:val="24"/>
                <w:highlight w:val="none"/>
              </w:rPr>
              <w:t>。</w:t>
            </w:r>
          </w:p>
          <w:p w14:paraId="41C95B56">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工程完成后，由于岸边基质改变，有效提高河道防洪标准，减少洪水漫堤淹没农田、村庄及沿岸区域，避免洪水裹挟垃圾、污水、化肥农药等污染物进入河道，减轻水体污染风险，改善水环境质量，同时有效约束河道摆动、防止岸坡坍塌与泥沙下泄，减少河道悬浮物增加，降低水体浑浊度，同时保护沿岸土地资源，减轻水土流失对流域生态的破坏，使水质变清，有些喜清水的浮游生物可能增加，对水中鱼类的繁殖和捕食更有利，种群数逐渐恢复。</w:t>
            </w:r>
          </w:p>
          <w:p w14:paraId="6762C07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工程实施后，防洪能力提高，能有效防止水体对河岸的冲刷，可防止河流对护岸的侵蚀，避免因洪水灾害而污染水质、强掏蚀破坏植被，有利于保护和恢复河岸带植被，提升河岸固土、滞污、涵养水源功能，构建连续的河岸生态廊道，对保护丰水期水环境起到一定作用。</w:t>
            </w:r>
          </w:p>
          <w:p w14:paraId="5107AB2A">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szCs w:val="24"/>
                <w:highlight w:val="yellow"/>
              </w:rPr>
              <w:t>极端天气下</w:t>
            </w:r>
            <w:r>
              <w:rPr>
                <w:rFonts w:hint="eastAsia" w:cs="Times New Roman"/>
                <w:bCs/>
                <w:color w:val="auto"/>
                <w:sz w:val="24"/>
                <w:szCs w:val="24"/>
                <w:highlight w:val="yellow"/>
                <w:lang w:val="en-US" w:eastAsia="zh-CN"/>
              </w:rPr>
              <w:t>改道后</w:t>
            </w:r>
            <w:r>
              <w:rPr>
                <w:rFonts w:hint="default" w:ascii="Times New Roman" w:hAnsi="Times New Roman" w:cs="Times New Roman"/>
                <w:bCs/>
                <w:color w:val="auto"/>
                <w:sz w:val="24"/>
                <w:szCs w:val="24"/>
                <w:highlight w:val="yellow"/>
              </w:rPr>
              <w:t>河道的行洪安全性</w:t>
            </w:r>
            <w:r>
              <w:rPr>
                <w:rFonts w:hint="eastAsia" w:cs="Times New Roman"/>
                <w:bCs/>
                <w:color w:val="auto"/>
                <w:sz w:val="24"/>
                <w:szCs w:val="24"/>
                <w:highlight w:val="yellow"/>
                <w:lang w:val="en-US" w:eastAsia="zh-CN"/>
              </w:rPr>
              <w:t>得到大幅度改善</w:t>
            </w:r>
            <w:r>
              <w:rPr>
                <w:rFonts w:hint="default" w:ascii="Times New Roman" w:hAnsi="Times New Roman" w:cs="Times New Roman"/>
                <w:bCs/>
                <w:color w:val="auto"/>
                <w:sz w:val="24"/>
                <w:szCs w:val="24"/>
                <w:highlight w:val="yellow"/>
              </w:rPr>
              <w:t>，具备足够的调蓄能力和抗冲刷能力</w:t>
            </w:r>
            <w:r>
              <w:rPr>
                <w:rFonts w:hint="eastAsia" w:cs="Times New Roman"/>
                <w:bCs/>
                <w:color w:val="auto"/>
                <w:sz w:val="24"/>
                <w:szCs w:val="24"/>
                <w:highlight w:val="yellow"/>
                <w:lang w:eastAsia="zh-CN"/>
              </w:rPr>
              <w:t>。</w:t>
            </w:r>
            <w:r>
              <w:rPr>
                <w:rFonts w:hint="default" w:ascii="Times New Roman" w:hAnsi="Times New Roman" w:cs="Times New Roman"/>
                <w:color w:val="auto"/>
                <w:sz w:val="24"/>
                <w:szCs w:val="24"/>
                <w:highlight w:val="yellow"/>
                <w:lang w:val="en-US" w:eastAsia="zh-CN"/>
              </w:rPr>
              <w:t>通过格木克河改道工程，</w:t>
            </w:r>
            <w:r>
              <w:rPr>
                <w:rFonts w:hint="eastAsia" w:cs="Times New Roman"/>
                <w:color w:val="auto"/>
                <w:sz w:val="24"/>
                <w:szCs w:val="24"/>
                <w:highlight w:val="yellow"/>
                <w:lang w:val="en-US" w:eastAsia="zh-CN"/>
              </w:rPr>
              <w:t>设计</w:t>
            </w:r>
            <w:r>
              <w:rPr>
                <w:rFonts w:hint="default" w:ascii="Times New Roman" w:hAnsi="Times New Roman" w:eastAsia="宋体" w:cs="Times New Roman"/>
                <w:color w:val="auto"/>
                <w:sz w:val="24"/>
                <w:szCs w:val="24"/>
                <w:highlight w:val="yellow"/>
              </w:rPr>
              <w:t>防洪标准为10年一遇，</w:t>
            </w:r>
            <w:r>
              <w:rPr>
                <w:rFonts w:hint="default" w:ascii="Times New Roman" w:hAnsi="Times New Roman" w:cs="Times New Roman"/>
                <w:color w:val="auto"/>
                <w:sz w:val="24"/>
                <w:szCs w:val="24"/>
                <w:highlight w:val="yellow"/>
                <w:lang w:val="en-US" w:eastAsia="zh-CN"/>
              </w:rPr>
              <w:t>增大过流断面面积，增大河道行洪能力，稳固的格宾石笼结构有效防止河岸坍塌，保障行洪通道畅通无阻，显著提升河道行洪能力</w:t>
            </w:r>
            <w:r>
              <w:rPr>
                <w:rFonts w:hint="eastAsia" w:cs="Times New Roman"/>
                <w:color w:val="auto"/>
                <w:sz w:val="24"/>
                <w:szCs w:val="24"/>
                <w:highlight w:val="yellow"/>
                <w:lang w:val="en-US" w:eastAsia="zh-CN"/>
              </w:rPr>
              <w:t>。</w:t>
            </w:r>
          </w:p>
          <w:p w14:paraId="4E0BFD8D">
            <w:pPr>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eastAsia="宋体" w:cs="Times New Roman"/>
                <w:bCs/>
                <w:color w:val="auto"/>
                <w:kern w:val="2"/>
                <w:sz w:val="24"/>
                <w:szCs w:val="24"/>
                <w:lang w:val="en-US" w:eastAsia="zh-CN" w:bidi="ar-SA"/>
              </w:rPr>
              <w:t>1、</w:t>
            </w:r>
            <w:r>
              <w:rPr>
                <w:rFonts w:hint="default" w:ascii="Times New Roman" w:hAnsi="Times New Roman" w:cs="Times New Roman"/>
                <w:bCs/>
                <w:color w:val="auto"/>
                <w:sz w:val="24"/>
                <w:highlight w:val="none"/>
              </w:rPr>
              <w:t>水文情势</w:t>
            </w:r>
          </w:p>
          <w:p w14:paraId="4B9C0580">
            <w:pPr>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本工程通过</w:t>
            </w:r>
            <w:r>
              <w:rPr>
                <w:rFonts w:hint="eastAsia" w:cs="Times New Roman"/>
                <w:bCs/>
                <w:color w:val="auto"/>
                <w:sz w:val="24"/>
                <w:highlight w:val="none"/>
                <w:lang w:val="en-US" w:eastAsia="zh-CN"/>
              </w:rPr>
              <w:t>河流改道</w:t>
            </w:r>
            <w:r>
              <w:rPr>
                <w:rFonts w:hint="default" w:ascii="Times New Roman" w:hAnsi="Times New Roman" w:cs="Times New Roman"/>
                <w:bCs/>
                <w:color w:val="auto"/>
                <w:sz w:val="24"/>
                <w:highlight w:val="none"/>
              </w:rPr>
              <w:t>，使防洪标准达到10年一遇。工程建成后，工程削弱了弯道处水流对原河道凹岸的冲刷，水流</w:t>
            </w:r>
            <w:r>
              <w:rPr>
                <w:rFonts w:hint="default" w:ascii="Times New Roman" w:hAnsi="Times New Roman" w:cs="Times New Roman"/>
                <w:bCs/>
                <w:color w:val="auto"/>
                <w:sz w:val="24"/>
                <w:highlight w:val="none"/>
                <w:lang w:eastAsia="zh-CN"/>
              </w:rPr>
              <w:t>日趋</w:t>
            </w:r>
            <w:r>
              <w:rPr>
                <w:rFonts w:hint="default" w:ascii="Times New Roman" w:hAnsi="Times New Roman" w:cs="Times New Roman"/>
                <w:bCs/>
                <w:color w:val="auto"/>
                <w:sz w:val="24"/>
                <w:highlight w:val="none"/>
              </w:rPr>
              <w:t>平顺，不会对河道原来的稳定产生大的影响。</w:t>
            </w:r>
          </w:p>
          <w:p w14:paraId="52EFCCAF">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 w:val="0"/>
                <w:bCs w:val="0"/>
                <w:color w:val="auto"/>
                <w:sz w:val="24"/>
                <w:szCs w:val="24"/>
                <w:highlight w:val="yellow"/>
              </w:rPr>
            </w:pPr>
            <w:r>
              <w:rPr>
                <w:rFonts w:hint="eastAsia" w:cs="Times New Roman"/>
                <w:bCs/>
                <w:color w:val="auto"/>
                <w:sz w:val="24"/>
                <w:szCs w:val="24"/>
                <w:highlight w:val="yellow"/>
                <w:lang w:val="en-US" w:eastAsia="zh-CN"/>
              </w:rPr>
              <w:t>改道后河道流量由0.219</w:t>
            </w:r>
            <w:r>
              <w:rPr>
                <w:rFonts w:hint="default" w:ascii="Arial" w:hAnsi="Arial" w:cs="Arial"/>
                <w:bCs/>
                <w:color w:val="auto"/>
                <w:sz w:val="24"/>
                <w:szCs w:val="24"/>
                <w:highlight w:val="yellow"/>
                <w:lang w:val="en-US" w:eastAsia="zh-CN"/>
              </w:rPr>
              <w:t>×</w:t>
            </w:r>
            <w:r>
              <w:rPr>
                <w:rFonts w:hint="eastAsia" w:ascii="Times New Roman" w:hAnsi="Times New Roman" w:cs="Times New Roman"/>
                <w:color w:val="000000"/>
                <w:kern w:val="0"/>
                <w:sz w:val="24"/>
                <w:szCs w:val="24"/>
                <w:highlight w:val="yellow"/>
                <w:lang w:val="en-US" w:eastAsia="zh-CN" w:bidi="ar-SA"/>
              </w:rPr>
              <w:t>10</w:t>
            </w:r>
            <w:r>
              <w:rPr>
                <w:rFonts w:hint="eastAsia" w:ascii="Times New Roman" w:hAnsi="Times New Roman" w:cs="Times New Roman"/>
                <w:color w:val="000000"/>
                <w:kern w:val="0"/>
                <w:sz w:val="24"/>
                <w:szCs w:val="24"/>
                <w:highlight w:val="yellow"/>
                <w:vertAlign w:val="superscript"/>
                <w:lang w:val="en-US" w:eastAsia="zh-CN" w:bidi="ar-SA"/>
              </w:rPr>
              <w:t>8</w:t>
            </w:r>
            <w:r>
              <w:rPr>
                <w:rFonts w:hint="eastAsia" w:ascii="Times New Roman" w:hAnsi="Times New Roman" w:cs="Times New Roman"/>
                <w:color w:val="000000"/>
                <w:kern w:val="0"/>
                <w:sz w:val="24"/>
                <w:szCs w:val="24"/>
                <w:highlight w:val="yellow"/>
                <w:lang w:val="en-US" w:eastAsia="zh-CN" w:bidi="ar-SA"/>
              </w:rPr>
              <w:t>m</w:t>
            </w:r>
            <w:r>
              <w:rPr>
                <w:rFonts w:hint="eastAsia" w:ascii="Times New Roman" w:hAnsi="Times New Roman" w:cs="Times New Roman"/>
                <w:color w:val="000000"/>
                <w:kern w:val="0"/>
                <w:sz w:val="24"/>
                <w:szCs w:val="24"/>
                <w:highlight w:val="yellow"/>
                <w:vertAlign w:val="superscript"/>
                <w:lang w:val="en-US" w:eastAsia="zh-CN" w:bidi="ar-SA"/>
              </w:rPr>
              <w:t>3</w:t>
            </w:r>
            <w:r>
              <w:rPr>
                <w:rFonts w:hint="eastAsia" w:cs="Times New Roman"/>
                <w:bCs/>
                <w:color w:val="auto"/>
                <w:sz w:val="24"/>
                <w:szCs w:val="24"/>
                <w:highlight w:val="yellow"/>
                <w:lang w:val="en-US" w:eastAsia="zh-CN"/>
              </w:rPr>
              <w:t>增加至5.31</w:t>
            </w:r>
            <w:r>
              <w:rPr>
                <w:rFonts w:hint="default" w:ascii="Arial" w:hAnsi="Arial" w:cs="Arial"/>
                <w:bCs/>
                <w:color w:val="auto"/>
                <w:sz w:val="24"/>
                <w:szCs w:val="24"/>
                <w:highlight w:val="yellow"/>
                <w:lang w:val="en-US" w:eastAsia="zh-CN"/>
              </w:rPr>
              <w:t>×</w:t>
            </w:r>
            <w:r>
              <w:rPr>
                <w:rFonts w:hint="eastAsia" w:ascii="Times New Roman" w:hAnsi="Times New Roman" w:cs="Times New Roman"/>
                <w:color w:val="000000"/>
                <w:kern w:val="0"/>
                <w:sz w:val="24"/>
                <w:szCs w:val="24"/>
                <w:highlight w:val="yellow"/>
                <w:lang w:val="en-US" w:eastAsia="zh-CN" w:bidi="ar-SA"/>
              </w:rPr>
              <w:t>10</w:t>
            </w:r>
            <w:r>
              <w:rPr>
                <w:rFonts w:hint="eastAsia" w:ascii="Times New Roman" w:hAnsi="Times New Roman" w:cs="Times New Roman"/>
                <w:color w:val="000000"/>
                <w:kern w:val="0"/>
                <w:sz w:val="24"/>
                <w:szCs w:val="24"/>
                <w:highlight w:val="yellow"/>
                <w:vertAlign w:val="superscript"/>
                <w:lang w:val="en-US" w:eastAsia="zh-CN" w:bidi="ar-SA"/>
              </w:rPr>
              <w:t>8</w:t>
            </w:r>
            <w:r>
              <w:rPr>
                <w:rFonts w:hint="eastAsia" w:ascii="Times New Roman" w:hAnsi="Times New Roman" w:cs="Times New Roman"/>
                <w:color w:val="000000"/>
                <w:kern w:val="0"/>
                <w:sz w:val="24"/>
                <w:szCs w:val="24"/>
                <w:highlight w:val="yellow"/>
                <w:lang w:val="en-US" w:eastAsia="zh-CN" w:bidi="ar-SA"/>
              </w:rPr>
              <w:t>m</w:t>
            </w:r>
            <w:r>
              <w:rPr>
                <w:rFonts w:hint="eastAsia" w:ascii="Times New Roman" w:hAnsi="Times New Roman" w:cs="Times New Roman"/>
                <w:color w:val="000000"/>
                <w:kern w:val="0"/>
                <w:sz w:val="24"/>
                <w:szCs w:val="24"/>
                <w:highlight w:val="yellow"/>
                <w:vertAlign w:val="superscript"/>
                <w:lang w:val="en-US" w:eastAsia="zh-CN" w:bidi="ar-SA"/>
              </w:rPr>
              <w:t>3</w:t>
            </w:r>
            <w:r>
              <w:rPr>
                <w:rFonts w:hint="eastAsia" w:cs="Times New Roman"/>
                <w:color w:val="000000"/>
                <w:kern w:val="0"/>
                <w:sz w:val="24"/>
                <w:szCs w:val="24"/>
                <w:highlight w:val="yellow"/>
                <w:vertAlign w:val="baseline"/>
                <w:lang w:val="en-US" w:eastAsia="zh-CN" w:bidi="ar-SA"/>
              </w:rPr>
              <w:t>，增大了河流生态流量</w:t>
            </w:r>
            <w:r>
              <w:rPr>
                <w:rFonts w:hint="default" w:ascii="Times New Roman" w:hAnsi="Times New Roman" w:cs="Times New Roman"/>
                <w:b w:val="0"/>
                <w:bCs w:val="0"/>
                <w:color w:val="auto"/>
                <w:sz w:val="24"/>
                <w:szCs w:val="24"/>
                <w:highlight w:val="yellow"/>
              </w:rPr>
              <w:t>。</w:t>
            </w:r>
          </w:p>
          <w:p w14:paraId="6F3AA49C">
            <w:pPr>
              <w:keepNext w:val="0"/>
              <w:keepLines w:val="0"/>
              <w:pageBreakBefore w:val="0"/>
              <w:widowControl w:val="0"/>
              <w:numPr>
                <w:ilvl w:val="0"/>
                <w:numId w:val="0"/>
              </w:numPr>
              <w:kinsoku/>
              <w:wordWrap/>
              <w:overflowPunct/>
              <w:topLinePunct w:val="0"/>
              <w:autoSpaceDE/>
              <w:autoSpaceDN/>
              <w:bidi w:val="0"/>
              <w:spacing w:line="500" w:lineRule="exact"/>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cs="Times New Roman"/>
                <w:color w:val="auto"/>
                <w:sz w:val="24"/>
                <w:highlight w:val="none"/>
              </w:rPr>
              <w:t>地表水环境</w:t>
            </w:r>
          </w:p>
          <w:p w14:paraId="05E38654">
            <w:pPr>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运行期</w:t>
            </w:r>
            <w:r>
              <w:rPr>
                <w:rFonts w:hint="default" w:ascii="Times New Roman" w:hAnsi="Times New Roman" w:cs="Times New Roman"/>
                <w:color w:val="auto"/>
                <w:sz w:val="24"/>
                <w:highlight w:val="none"/>
              </w:rPr>
              <w:t>不会产生废水，对水环境无负面影响。</w:t>
            </w:r>
          </w:p>
          <w:p w14:paraId="7F2184BC">
            <w:pPr>
              <w:keepNext w:val="0"/>
              <w:keepLines w:val="0"/>
              <w:pageBreakBefore w:val="0"/>
              <w:widowControl w:val="0"/>
              <w:numPr>
                <w:ilvl w:val="0"/>
                <w:numId w:val="0"/>
              </w:numPr>
              <w:kinsoku/>
              <w:wordWrap/>
              <w:overflowPunct/>
              <w:topLinePunct w:val="0"/>
              <w:autoSpaceDE/>
              <w:autoSpaceDN/>
              <w:bidi w:val="0"/>
              <w:spacing w:line="500" w:lineRule="exact"/>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cs="Times New Roman"/>
                <w:color w:val="auto"/>
                <w:sz w:val="24"/>
                <w:highlight w:val="none"/>
              </w:rPr>
              <w:t>大气环境</w:t>
            </w:r>
          </w:p>
          <w:p w14:paraId="068284C5">
            <w:pPr>
              <w:keepNext w:val="0"/>
              <w:keepLines w:val="0"/>
              <w:pageBreakBefore w:val="0"/>
              <w:widowControl w:val="0"/>
              <w:numPr>
                <w:ilvl w:val="0"/>
                <w:numId w:val="0"/>
              </w:numPr>
              <w:kinsoku/>
              <w:wordWrap/>
              <w:overflowPunct/>
              <w:topLinePunct w:val="0"/>
              <w:autoSpaceDE/>
              <w:autoSpaceDN/>
              <w:bidi w:val="0"/>
              <w:spacing w:line="500" w:lineRule="exact"/>
              <w:ind w:left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运行期</w:t>
            </w:r>
            <w:r>
              <w:rPr>
                <w:rFonts w:hint="default" w:ascii="Times New Roman" w:hAnsi="Times New Roman" w:cs="Times New Roman"/>
                <w:color w:val="auto"/>
                <w:sz w:val="24"/>
                <w:highlight w:val="none"/>
              </w:rPr>
              <w:t>不会产生废气，对大气环境无负面影响。</w:t>
            </w:r>
          </w:p>
          <w:p w14:paraId="346BB748">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lang w:val="en-US" w:eastAsia="zh-CN"/>
              </w:rPr>
            </w:pPr>
            <w:r>
              <w:rPr>
                <w:rFonts w:hint="eastAsia" w:cs="Times New Roman"/>
                <w:color w:val="auto"/>
                <w:sz w:val="24"/>
                <w:highlight w:val="none"/>
                <w:lang w:val="en-US" w:eastAsia="zh-CN"/>
              </w:rPr>
              <w:t>4、生态环境</w:t>
            </w:r>
          </w:p>
          <w:p w14:paraId="15CFCB0C">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陆生</w:t>
            </w:r>
            <w:r>
              <w:rPr>
                <w:rFonts w:hint="default" w:ascii="Times New Roman" w:hAnsi="Times New Roman" w:cs="Times New Roman"/>
                <w:color w:val="auto"/>
                <w:sz w:val="24"/>
                <w:highlight w:val="none"/>
              </w:rPr>
              <w:t>生态环境</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工程通过恢复植被，还可以调节局部小气候、改善周边民众的人居环境，营造环境优美的良好氛围。</w:t>
            </w:r>
          </w:p>
          <w:p w14:paraId="559A7BCF">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lang w:val="en-US" w:eastAsia="zh-CN"/>
              </w:rPr>
            </w:pPr>
            <w:r>
              <w:rPr>
                <w:rFonts w:hint="eastAsia" w:cs="Times New Roman"/>
                <w:color w:val="auto"/>
                <w:highlight w:val="yellow"/>
                <w:lang w:val="en-US" w:eastAsia="zh-CN"/>
              </w:rPr>
              <w:t>5、</w:t>
            </w:r>
            <w:r>
              <w:rPr>
                <w:rFonts w:hint="default" w:ascii="Times New Roman" w:hAnsi="Times New Roman" w:cs="Times New Roman"/>
                <w:color w:val="auto"/>
                <w:highlight w:val="yellow"/>
                <w:lang w:val="en-US" w:eastAsia="zh-CN"/>
              </w:rPr>
              <w:t>水生生态环境</w:t>
            </w:r>
          </w:p>
          <w:p w14:paraId="57F3FEE3">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yellow"/>
              </w:rPr>
            </w:pPr>
            <w:r>
              <w:rPr>
                <w:rFonts w:hint="default" w:ascii="Times New Roman" w:hAnsi="Times New Roman" w:cs="Times New Roman"/>
                <w:color w:val="auto"/>
                <w:highlight w:val="yellow"/>
              </w:rPr>
              <w:t>项目实施后可改变河道内原有的水力冲刷影响，降低河水流速，使得河道内泥沙量在一定时期内有所下降，增加地表水对地下水入渗的补给，使</w:t>
            </w:r>
            <w:r>
              <w:rPr>
                <w:rFonts w:hint="eastAsia" w:cs="Times New Roman"/>
                <w:color w:val="auto"/>
                <w:highlight w:val="yellow"/>
                <w:lang w:eastAsia="zh-CN"/>
              </w:rPr>
              <w:t>格木克河</w:t>
            </w:r>
            <w:r>
              <w:rPr>
                <w:rFonts w:hint="default" w:ascii="Times New Roman" w:hAnsi="Times New Roman" w:cs="Times New Roman"/>
                <w:color w:val="auto"/>
                <w:highlight w:val="yellow"/>
              </w:rPr>
              <w:t>的生态环境大为改观。</w:t>
            </w:r>
            <w:r>
              <w:rPr>
                <w:rFonts w:hint="default" w:ascii="Times New Roman" w:hAnsi="Times New Roman" w:cs="Times New Roman"/>
                <w:color w:val="auto"/>
                <w:highlight w:val="yellow"/>
                <w:lang w:eastAsia="zh-CN"/>
              </w:rPr>
              <w:t>工程</w:t>
            </w:r>
            <w:r>
              <w:rPr>
                <w:rFonts w:hint="default" w:ascii="Times New Roman" w:hAnsi="Times New Roman" w:cs="Times New Roman"/>
                <w:color w:val="auto"/>
                <w:highlight w:val="yellow"/>
              </w:rPr>
              <w:t>避免坍塌导致的泥沙淤积，维持河道水深、流速稳定，为鱼类、浮游生物提供稳定的生存环境。稳定的岸线减少水土流失，降低水体悬浮物含量，改善浮游植物光合作用条件，间接提升浮游生物群落多样性；同时避免泥沙覆盖底栖生物生存环境，保障底栖生态系统完整性。水生植物在周边形成稳定的植被带，既为水生生物提供食物来源，又能吸附污染物，提升水体自净能力。</w:t>
            </w:r>
          </w:p>
          <w:p w14:paraId="2533D0DD">
            <w:pPr>
              <w:pStyle w:val="84"/>
              <w:keepNext w:val="0"/>
              <w:keepLines w:val="0"/>
              <w:pageBreakBefore w:val="0"/>
              <w:widowControl w:val="0"/>
              <w:numPr>
                <w:ilvl w:val="0"/>
                <w:numId w:val="0"/>
              </w:numPr>
              <w:kinsoku/>
              <w:wordWrap/>
              <w:overflowPunct/>
              <w:topLinePunct w:val="0"/>
              <w:autoSpaceDE/>
              <w:autoSpaceDN/>
              <w:bidi w:val="0"/>
              <w:spacing w:line="500" w:lineRule="exact"/>
              <w:ind w:left="0" w:leftChars="0" w:firstLine="480" w:firstLineChars="200"/>
              <w:textAlignment w:val="auto"/>
              <w:rPr>
                <w:rFonts w:hint="eastAsia" w:cs="Times New Roman"/>
                <w:color w:val="auto"/>
                <w:highlight w:val="yellow"/>
                <w:lang w:val="en-US" w:eastAsia="zh-CN"/>
              </w:rPr>
            </w:pPr>
            <w:r>
              <w:rPr>
                <w:rFonts w:hint="eastAsia" w:cs="Times New Roman"/>
                <w:color w:val="auto"/>
                <w:kern w:val="2"/>
                <w:sz w:val="24"/>
                <w:szCs w:val="24"/>
                <w:highlight w:val="yellow"/>
                <w:lang w:val="en-US" w:eastAsia="zh-CN" w:bidi="ar-SA"/>
              </w:rPr>
              <w:t>6</w:t>
            </w:r>
            <w:r>
              <w:rPr>
                <w:rFonts w:hint="eastAsia" w:ascii="Times New Roman" w:hAnsi="Times New Roman" w:eastAsia="宋体" w:cs="Times New Roman"/>
                <w:color w:val="auto"/>
                <w:kern w:val="2"/>
                <w:sz w:val="24"/>
                <w:szCs w:val="24"/>
                <w:highlight w:val="yellow"/>
                <w:lang w:val="en-US" w:eastAsia="zh-CN" w:bidi="ar-SA"/>
              </w:rPr>
              <w:t>、</w:t>
            </w:r>
            <w:r>
              <w:rPr>
                <w:rFonts w:hint="eastAsia" w:cs="Times New Roman"/>
                <w:color w:val="auto"/>
                <w:highlight w:val="yellow"/>
                <w:lang w:val="en-US" w:eastAsia="zh-CN"/>
              </w:rPr>
              <w:t>地下水环境</w:t>
            </w:r>
          </w:p>
          <w:p w14:paraId="28BC6B7C">
            <w:pPr>
              <w:pStyle w:val="84"/>
              <w:keepNext w:val="0"/>
              <w:keepLines w:val="0"/>
              <w:pageBreakBefore w:val="0"/>
              <w:widowControl w:val="0"/>
              <w:numPr>
                <w:ilvl w:val="0"/>
                <w:numId w:val="0"/>
              </w:numPr>
              <w:kinsoku/>
              <w:wordWrap/>
              <w:overflowPunct/>
              <w:topLinePunct w:val="0"/>
              <w:autoSpaceDE/>
              <w:autoSpaceDN/>
              <w:bidi w:val="0"/>
              <w:spacing w:line="500" w:lineRule="exact"/>
              <w:textAlignment w:val="auto"/>
              <w:rPr>
                <w:rFonts w:hint="default" w:cs="Times New Roman"/>
                <w:color w:val="auto"/>
                <w:highlight w:val="none"/>
                <w:lang w:val="en-US" w:eastAsia="zh-CN"/>
              </w:rPr>
            </w:pPr>
            <w:r>
              <w:rPr>
                <w:rFonts w:hint="eastAsia" w:cs="Times New Roman"/>
                <w:color w:val="auto"/>
                <w:highlight w:val="yellow"/>
                <w:lang w:val="en-US" w:eastAsia="zh-CN"/>
              </w:rPr>
              <w:t xml:space="preserve">    本项目采用优化工程设计、导排、防护等针对性防治措施，对水环境的不利影响能够得到缓解和控制，区域不会出现显著的土壤潜育化、沼泽化、盐碱化等次生环境问题。</w:t>
            </w:r>
          </w:p>
        </w:tc>
      </w:tr>
      <w:tr w14:paraId="6FC6F2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76" w:type="pct"/>
            <w:tcBorders>
              <w:top w:val="single" w:color="auto" w:sz="4" w:space="0"/>
              <w:left w:val="single" w:color="auto" w:sz="8" w:space="0"/>
              <w:bottom w:val="single" w:color="auto" w:sz="8" w:space="0"/>
              <w:right w:val="single" w:color="auto" w:sz="4" w:space="0"/>
            </w:tcBorders>
            <w:noWrap w:val="0"/>
            <w:vAlign w:val="center"/>
          </w:tcPr>
          <w:p w14:paraId="5757E659">
            <w:pPr>
              <w:widowControl/>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选址选线环境合理性分析</w:t>
            </w:r>
          </w:p>
        </w:tc>
        <w:tc>
          <w:tcPr>
            <w:tcW w:w="4524" w:type="pct"/>
            <w:tcBorders>
              <w:top w:val="single" w:color="auto" w:sz="4" w:space="0"/>
              <w:left w:val="single" w:color="auto" w:sz="4" w:space="0"/>
              <w:bottom w:val="single" w:color="auto" w:sz="8" w:space="0"/>
              <w:right w:val="single" w:color="auto" w:sz="8" w:space="0"/>
            </w:tcBorders>
            <w:noWrap w:val="0"/>
            <w:vAlign w:val="top"/>
          </w:tcPr>
          <w:p w14:paraId="481B79CB">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 xml:space="preserve">1、选址选线环境合理性分析 </w:t>
            </w:r>
          </w:p>
          <w:p w14:paraId="362F9E14">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本项目为防洪除涝工程，临时占用</w:t>
            </w:r>
            <w:r>
              <w:rPr>
                <w:rFonts w:hint="default" w:ascii="Times New Roman" w:hAnsi="Times New Roman" w:cs="Times New Roman"/>
                <w:color w:val="auto"/>
                <w:sz w:val="24"/>
                <w:szCs w:val="24"/>
                <w:highlight w:val="none"/>
                <w:lang w:eastAsia="zh-CN"/>
              </w:rPr>
              <w:t>河岸边耕地、</w:t>
            </w:r>
            <w:r>
              <w:rPr>
                <w:rFonts w:hint="default" w:ascii="Times New Roman" w:hAnsi="Times New Roman" w:cs="Times New Roman"/>
                <w:color w:val="auto"/>
                <w:sz w:val="24"/>
                <w:szCs w:val="24"/>
                <w:highlight w:val="none"/>
                <w:lang w:val="en-US" w:eastAsia="zh-CN"/>
              </w:rPr>
              <w:t>其他草地</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本项目的建设</w:t>
            </w:r>
            <w:r>
              <w:rPr>
                <w:rFonts w:hint="default" w:ascii="Times New Roman" w:hAnsi="Times New Roman" w:cs="Times New Roman"/>
                <w:color w:val="auto"/>
                <w:sz w:val="24"/>
                <w:szCs w:val="24"/>
                <w:highlight w:val="none"/>
              </w:rPr>
              <w:t>是为了保护黑土地不再为河道冲蚀而变成水毁面积；</w:t>
            </w:r>
            <w:r>
              <w:rPr>
                <w:rFonts w:hint="default" w:ascii="Times New Roman" w:hAnsi="Times New Roman" w:cs="Times New Roman"/>
                <w:color w:val="auto"/>
                <w:sz w:val="24"/>
                <w:szCs w:val="24"/>
                <w:highlight w:val="none"/>
                <w:lang w:val="en-US" w:eastAsia="zh-CN"/>
              </w:rPr>
              <w:t>且</w:t>
            </w: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eastAsia="zh-CN"/>
              </w:rPr>
              <w:t>完工后</w:t>
            </w:r>
            <w:r>
              <w:rPr>
                <w:rFonts w:hint="default" w:ascii="Times New Roman" w:hAnsi="Times New Roman" w:cs="Times New Roman"/>
                <w:color w:val="auto"/>
                <w:sz w:val="24"/>
                <w:szCs w:val="24"/>
                <w:highlight w:val="none"/>
              </w:rPr>
              <w:t>进行植被恢复，与法律</w:t>
            </w:r>
            <w:r>
              <w:rPr>
                <w:rFonts w:hint="default" w:ascii="Times New Roman" w:hAnsi="Times New Roman" w:cs="Times New Roman"/>
                <w:color w:val="auto"/>
                <w:sz w:val="24"/>
                <w:szCs w:val="24"/>
                <w:highlight w:val="none"/>
                <w:lang w:val="en-US" w:eastAsia="zh-CN"/>
              </w:rPr>
              <w:t>法规</w:t>
            </w:r>
            <w:r>
              <w:rPr>
                <w:rFonts w:hint="default" w:ascii="Times New Roman" w:hAnsi="Times New Roman" w:cs="Times New Roman"/>
                <w:color w:val="auto"/>
                <w:sz w:val="24"/>
                <w:szCs w:val="24"/>
                <w:highlight w:val="none"/>
              </w:rPr>
              <w:t>要求相符。</w:t>
            </w:r>
            <w:r>
              <w:rPr>
                <w:rFonts w:hint="default" w:ascii="Times New Roman" w:hAnsi="Times New Roman" w:cs="Times New Roman"/>
                <w:color w:val="auto"/>
                <w:sz w:val="24"/>
                <w:szCs w:val="24"/>
                <w:highlight w:val="none"/>
                <w:lang w:val="en-US" w:eastAsia="zh-CN"/>
              </w:rPr>
              <w:t>本项目不占用自然保护区、风景名胜区、自然保护地等生态敏感区，</w:t>
            </w:r>
            <w:r>
              <w:rPr>
                <w:rFonts w:hint="eastAsia" w:cs="Times New Roman"/>
                <w:color w:val="auto"/>
                <w:sz w:val="24"/>
                <w:szCs w:val="24"/>
                <w:highlight w:val="none"/>
                <w:lang w:val="en-US" w:eastAsia="zh-CN"/>
              </w:rPr>
              <w:t>不</w:t>
            </w:r>
            <w:r>
              <w:rPr>
                <w:rFonts w:hint="default" w:ascii="Times New Roman" w:hAnsi="Times New Roman" w:cs="Times New Roman"/>
                <w:color w:val="auto"/>
                <w:sz w:val="24"/>
                <w:szCs w:val="24"/>
                <w:highlight w:val="none"/>
                <w:lang w:val="en-US" w:eastAsia="zh-CN"/>
              </w:rPr>
              <w:t>占用生态保护红线。</w:t>
            </w:r>
            <w:r>
              <w:rPr>
                <w:rFonts w:hint="default" w:ascii="Times New Roman" w:hAnsi="Times New Roman" w:cs="Times New Roman"/>
                <w:color w:val="auto"/>
                <w:sz w:val="24"/>
                <w:szCs w:val="24"/>
                <w:highlight w:val="none"/>
              </w:rPr>
              <w:t>本项目污染主要集中在施工期，主要包括施工期间产生的施工和运输车辆扬尘、机械设备及运输车辆噪声对周边环境的影响。建设期间</w:t>
            </w:r>
            <w:r>
              <w:rPr>
                <w:rFonts w:hint="default" w:ascii="Times New Roman" w:hAnsi="Times New Roman" w:cs="Times New Roman"/>
                <w:color w:val="auto"/>
                <w:sz w:val="24"/>
                <w:szCs w:val="24"/>
                <w:highlight w:val="none"/>
                <w:lang w:eastAsia="zh-CN"/>
              </w:rPr>
              <w:t>将</w:t>
            </w:r>
            <w:r>
              <w:rPr>
                <w:rFonts w:hint="default" w:ascii="Times New Roman" w:hAnsi="Times New Roman" w:cs="Times New Roman"/>
                <w:color w:val="auto"/>
                <w:sz w:val="24"/>
                <w:szCs w:val="24"/>
                <w:highlight w:val="none"/>
              </w:rPr>
              <w:t>区域的现有环境、居民生活及社会产生一定的影响，但项目涉及面较窄，为线性工程，且比较分散。施工期结束后，本项目的影响随即消失。在施工期间，只要</w:t>
            </w:r>
            <w:r>
              <w:rPr>
                <w:rFonts w:hint="default" w:ascii="Times New Roman" w:hAnsi="Times New Roman" w:cs="Times New Roman"/>
                <w:color w:val="auto"/>
                <w:sz w:val="24"/>
                <w:szCs w:val="24"/>
                <w:highlight w:val="none"/>
                <w:lang w:eastAsia="zh-CN"/>
              </w:rPr>
              <w:t>制定</w:t>
            </w:r>
            <w:r>
              <w:rPr>
                <w:rFonts w:hint="default" w:ascii="Times New Roman" w:hAnsi="Times New Roman" w:cs="Times New Roman"/>
                <w:color w:val="auto"/>
                <w:sz w:val="24"/>
                <w:szCs w:val="24"/>
                <w:highlight w:val="none"/>
              </w:rPr>
              <w:t>详细保护计划，精心施工，采取有效的防护和隔离措施，项目对周边空气环境、水环境、声环境、土壤环境的影响较小。</w:t>
            </w:r>
          </w:p>
          <w:p w14:paraId="3966E5E7">
            <w:pPr>
              <w:pStyle w:val="13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本项目属于《自然资源部生态环境部 国家林业和草原局关于加强生态保护红线管理的通知（试行）》（自然资发〔2022〕142号）</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zh-CN" w:eastAsia="zh-CN"/>
              </w:rPr>
              <w:t>6.必须且无法避让、符合县级以上国土空间规划的线性基础设施、通讯和防洪、供水设施建设和船舶航行、航道疏浚清淤等活动；已有的合法水利、交通运输等设施运行维护改造</w:t>
            </w:r>
            <w:r>
              <w:rPr>
                <w:rFonts w:hint="default" w:ascii="Times New Roman" w:hAnsi="Times New Roman"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。中的防洪设施运行维护改造工程，符合</w:t>
            </w:r>
            <w:r>
              <w:rPr>
                <w:rFonts w:hint="default" w:ascii="Times New Roman" w:hAnsi="Times New Roman" w:eastAsia="宋体" w:cs="Times New Roman"/>
                <w:color w:val="auto"/>
                <w:sz w:val="24"/>
                <w:szCs w:val="24"/>
                <w:highlight w:val="none"/>
                <w:lang w:val="en-US" w:eastAsia="zh-CN"/>
              </w:rPr>
              <w:t>《自然资源部生态环境部 国家林业和草原局关于加强生态保护红线管理的通知（试行）》（自然资发〔2022〕142号）。</w:t>
            </w:r>
          </w:p>
          <w:p w14:paraId="6699190E">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本项目严格控制用地范围，不进行无序采矿、毁林开荒、湿地和草地开垦、过度放牧、道路建设等，不属于导致水体污染的活动。不属于水源涵养功能极重要区、水源涵养功能极重要区禁止开发建设的活动。</w:t>
            </w:r>
          </w:p>
          <w:p w14:paraId="1633C9C1">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color w:val="auto"/>
                <w:sz w:val="24"/>
                <w:szCs w:val="24"/>
                <w:highlight w:val="none"/>
              </w:rPr>
              <w:t>加强施工期</w:t>
            </w:r>
            <w:r>
              <w:rPr>
                <w:rFonts w:hint="default" w:ascii="Times New Roman" w:hAnsi="Times New Roman" w:cs="Times New Roman"/>
                <w:color w:val="auto"/>
                <w:sz w:val="24"/>
                <w:szCs w:val="24"/>
                <w:highlight w:val="none"/>
                <w:lang w:val="en-US" w:eastAsia="zh-CN"/>
              </w:rPr>
              <w:t>间</w:t>
            </w:r>
            <w:r>
              <w:rPr>
                <w:rFonts w:hint="default" w:ascii="Times New Roman" w:hAnsi="Times New Roman" w:cs="Times New Roman"/>
                <w:color w:val="auto"/>
                <w:sz w:val="24"/>
                <w:szCs w:val="24"/>
                <w:highlight w:val="none"/>
              </w:rPr>
              <w:t>的环境管理，严格按征地进行施工，临时占地尽量少占，减少植被破坏；在施工期间，要禁止捕鱼、破坏占地外的植被；施工结束后，临时占地全部恢复为原地类。建设单位在认真落实环评报告中提出的各项生态保护措施的前提下，项目对生态环境的影响是暂时的，不会改变项目区的生态环境。因此，从生态环境影响角度分析，本项目选址合理可行</w:t>
            </w:r>
            <w:r>
              <w:rPr>
                <w:rFonts w:hint="default" w:ascii="Times New Roman" w:hAnsi="Times New Roman" w:cs="Times New Roman"/>
                <w:b w:val="0"/>
                <w:bCs w:val="0"/>
                <w:color w:val="auto"/>
                <w:sz w:val="24"/>
                <w:szCs w:val="24"/>
                <w:highlight w:val="none"/>
              </w:rPr>
              <w:t xml:space="preserve">。 </w:t>
            </w:r>
          </w:p>
          <w:p w14:paraId="4827F85C">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2、护岸型式选择的环境合理性分析</w:t>
            </w:r>
          </w:p>
          <w:p w14:paraId="2A7CA07D">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val="en-US" w:eastAsia="zh-CN"/>
              </w:rPr>
              <w:t>方案一:</w:t>
            </w:r>
            <w:r>
              <w:rPr>
                <w:rFonts w:hint="default" w:ascii="Times New Roman" w:hAnsi="Times New Roman" w:cs="Times New Roman"/>
                <w:b w:val="0"/>
                <w:bCs w:val="0"/>
                <w:color w:val="auto"/>
                <w:sz w:val="24"/>
                <w:szCs w:val="24"/>
                <w:highlight w:val="none"/>
                <w:lang w:eastAsia="zh-CN"/>
              </w:rPr>
              <w:t>钢筋混凝土防洪墙形式，为悬臂式挡土墙，防洪墙顶宽40cm，墙高4.3m，墙前设置50cm厚格宾石笼护脚3.0m。墙后设置4.0m宽防汛道路。</w:t>
            </w:r>
          </w:p>
          <w:p w14:paraId="5C45373E">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方案二</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土堤，设计堤顶宽度为4.0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，迎、背水侧坡比均为1</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2.0，堤顶设置4.0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宽防汛道路。堤防迎水侧采用23c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厚雷诺护垫防护，下设10c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碎石垫层及一层无纺布。护坡顶部设23c</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厚宽0.5</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雷诺护垫封顶，下部采用宽1.0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、高1.0</w:t>
            </w:r>
            <w:r>
              <w:rPr>
                <w:rFonts w:hint="default" w:ascii="Times New Roman" w:hAnsi="Times New Roman" w:cs="Times New Roman"/>
                <w:b w:val="0"/>
                <w:bCs w:val="0"/>
                <w:color w:val="auto"/>
                <w:sz w:val="24"/>
                <w:szCs w:val="24"/>
                <w:highlight w:val="none"/>
                <w:lang w:eastAsia="zh-CN"/>
              </w:rPr>
              <w:t>m</w:t>
            </w:r>
            <w:r>
              <w:rPr>
                <w:rFonts w:hint="default" w:ascii="Times New Roman" w:hAnsi="Times New Roman" w:cs="Times New Roman"/>
                <w:b w:val="0"/>
                <w:bCs w:val="0"/>
                <w:color w:val="auto"/>
                <w:sz w:val="24"/>
                <w:szCs w:val="24"/>
                <w:highlight w:val="none"/>
              </w:rPr>
              <w:t>格宾石笼固脚。</w:t>
            </w:r>
          </w:p>
          <w:p w14:paraId="5B635DC0">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方案三</w:t>
            </w:r>
            <w:r>
              <w:rPr>
                <w:rFonts w:hint="default" w:ascii="Times New Roman" w:hAnsi="Times New Roman"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格宾石笼</w:t>
            </w:r>
            <w:r>
              <w:rPr>
                <w:rFonts w:hint="default" w:ascii="Times New Roman" w:hAnsi="Times New Roman" w:cs="Times New Roman"/>
                <w:b w:val="0"/>
                <w:bCs w:val="0"/>
                <w:color w:val="auto"/>
                <w:sz w:val="24"/>
                <w:szCs w:val="24"/>
                <w:highlight w:val="none"/>
              </w:rPr>
              <w:t>形式，格宾石笼护砌具备良好的柔韧性和透水性，洪水冲击时，石笼可随水流冲击适度变形，吸收能量，避免结构整体破坏；透水性使水流能迅速通过石笼间隙，减少壅水现象。</w:t>
            </w:r>
          </w:p>
          <w:p w14:paraId="5A3E1E8F">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方案一防洪墙断面形式，可有效减少堤防占地面积，减少工程占地投资，减轻工程实施难度。但方案一防洪墙断面形式工程总投资最大，且施工砌筑受气候因素影响较大，施工程序复杂，施工进度难以控制，且后期维修养护费用较高。方案三</w:t>
            </w:r>
            <w:r>
              <w:rPr>
                <w:rFonts w:hint="eastAsia" w:cs="Times New Roman"/>
                <w:b w:val="0"/>
                <w:bCs w:val="0"/>
                <w:color w:val="auto"/>
                <w:sz w:val="24"/>
                <w:szCs w:val="24"/>
                <w:highlight w:val="none"/>
                <w:lang w:val="en-US" w:eastAsia="zh-CN"/>
              </w:rPr>
              <w:t>格宾石笼</w:t>
            </w:r>
            <w:r>
              <w:rPr>
                <w:rFonts w:hint="default" w:ascii="Times New Roman" w:hAnsi="Times New Roman" w:cs="Times New Roman"/>
                <w:b w:val="0"/>
                <w:bCs w:val="0"/>
                <w:color w:val="auto"/>
                <w:sz w:val="24"/>
                <w:szCs w:val="24"/>
                <w:highlight w:val="none"/>
              </w:rPr>
              <w:t>形式，工程总投资较少，稳固的格宾石笼结构有效防止河岸坍塌，保障行洪通道畅通无阻，显著提升河道行洪能力，降低城市内涝风险，守护居民生命财产安全。方案二土堤形式，投资和方案三相差不大，虽然占地投资较大，但施工简单，施工质量容易控制，在庆安县当地施工经验比较成熟。因此从投资、安全、施工工艺、施工进度及当地已完成工程角度出发，本次综合各方面因素，</w:t>
            </w:r>
            <w:r>
              <w:rPr>
                <w:rFonts w:hint="eastAsia" w:cs="Times New Roman"/>
                <w:b w:val="0"/>
                <w:bCs w:val="0"/>
                <w:color w:val="auto"/>
                <w:sz w:val="24"/>
                <w:szCs w:val="24"/>
                <w:highlight w:val="none"/>
                <w:lang w:val="en-US" w:eastAsia="zh-CN"/>
              </w:rPr>
              <w:t>护岸</w:t>
            </w:r>
            <w:r>
              <w:rPr>
                <w:rFonts w:hint="default" w:ascii="Times New Roman" w:hAnsi="Times New Roman" w:cs="Times New Roman"/>
                <w:b w:val="0"/>
                <w:bCs w:val="0"/>
                <w:color w:val="auto"/>
                <w:sz w:val="24"/>
                <w:szCs w:val="24"/>
                <w:highlight w:val="none"/>
              </w:rPr>
              <w:t>主体结构形式设计选择方案</w:t>
            </w:r>
            <w:r>
              <w:rPr>
                <w:rFonts w:hint="eastAsia" w:cs="Times New Roman"/>
                <w:b w:val="0"/>
                <w:bCs w:val="0"/>
                <w:color w:val="auto"/>
                <w:sz w:val="24"/>
                <w:szCs w:val="24"/>
                <w:highlight w:val="none"/>
                <w:lang w:val="en-US" w:eastAsia="zh-CN"/>
              </w:rPr>
              <w:t>三格宾石笼</w:t>
            </w:r>
            <w:r>
              <w:rPr>
                <w:rFonts w:hint="default" w:ascii="Times New Roman" w:hAnsi="Times New Roman" w:cs="Times New Roman"/>
                <w:b w:val="0"/>
                <w:bCs w:val="0"/>
                <w:color w:val="auto"/>
                <w:sz w:val="24"/>
                <w:szCs w:val="24"/>
                <w:highlight w:val="none"/>
              </w:rPr>
              <w:t>形式。</w:t>
            </w:r>
          </w:p>
          <w:p w14:paraId="594F8DE3">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、施工生产生活区布置环境合理性分析 </w:t>
            </w:r>
          </w:p>
          <w:p w14:paraId="569AA3F5">
            <w:pPr>
              <w:keepNext w:val="0"/>
              <w:keepLines w:val="0"/>
              <w:pageBreakBefore w:val="0"/>
              <w:widowControl w:val="0"/>
              <w:kinsoku/>
              <w:wordWrap/>
              <w:overflowPunct/>
              <w:topLinePunct w:val="0"/>
              <w:autoSpaceDE/>
              <w:autoSpaceDN/>
              <w:bidi w:val="0"/>
              <w:spacing w:line="500" w:lineRule="exact"/>
              <w:ind w:right="0" w:firstLine="480" w:firstLineChars="200"/>
              <w:jc w:val="both"/>
              <w:textAlignment w:val="auto"/>
              <w:rPr>
                <w:rFonts w:hint="default" w:ascii="Times New Roman" w:hAnsi="Times New Roman" w:cs="Times New Roman"/>
                <w:bCs/>
                <w:color w:val="auto"/>
                <w:sz w:val="24"/>
                <w:szCs w:val="24"/>
                <w:highlight w:val="yellow"/>
              </w:rPr>
            </w:pPr>
            <w:r>
              <w:rPr>
                <w:rFonts w:hint="default" w:ascii="Times New Roman" w:hAnsi="Times New Roman" w:cs="Times New Roman"/>
                <w:bCs/>
                <w:color w:val="auto"/>
                <w:sz w:val="24"/>
                <w:szCs w:val="24"/>
                <w:highlight w:val="none"/>
              </w:rPr>
              <w:t>根据工程总体布置及施工组织设计，主体工程采用集中布置、共用场地、重复利用场地等方式，在一定程度上节约了占地面积，减少了对地表植被的破坏，有利于水土流失治理；施工生产生活区选择在相对平坦的地块，场地平整工程量小，远离河道和居民区布置，减少了对敏感目标的影响。</w:t>
            </w:r>
            <w:r>
              <w:rPr>
                <w:rFonts w:hint="default" w:ascii="Times New Roman" w:hAnsi="Times New Roman" w:cs="Times New Roman"/>
                <w:bCs/>
                <w:color w:val="auto"/>
                <w:sz w:val="24"/>
                <w:szCs w:val="24"/>
                <w:highlight w:val="none"/>
                <w:lang w:eastAsia="zh-CN"/>
              </w:rPr>
              <w:t>耕地是项目区的主要土地利用类型，无法避让，因此，</w:t>
            </w:r>
            <w:r>
              <w:rPr>
                <w:rFonts w:hint="default" w:ascii="Times New Roman" w:hAnsi="Times New Roman" w:cs="Times New Roman"/>
                <w:bCs/>
                <w:color w:val="auto"/>
                <w:sz w:val="24"/>
                <w:szCs w:val="24"/>
                <w:highlight w:val="yellow"/>
              </w:rPr>
              <w:t>工程实施时，严格控制施工占地，集中布置临建设施，搭建临时性施工住房，修建各种仓库和工厂</w:t>
            </w:r>
            <w:r>
              <w:rPr>
                <w:rFonts w:hint="default" w:ascii="Times New Roman" w:hAnsi="Times New Roman" w:cs="Times New Roman"/>
                <w:bCs/>
                <w:color w:val="auto"/>
                <w:sz w:val="24"/>
                <w:szCs w:val="24"/>
                <w:highlight w:val="yellow"/>
                <w:lang w:eastAsia="zh-CN"/>
              </w:rPr>
              <w:t>，尽量减少耕地的占用</w:t>
            </w:r>
            <w:r>
              <w:rPr>
                <w:rFonts w:hint="default" w:ascii="Times New Roman" w:hAnsi="Times New Roman" w:cs="Times New Roman"/>
                <w:bCs/>
                <w:color w:val="auto"/>
                <w:sz w:val="24"/>
                <w:szCs w:val="24"/>
                <w:highlight w:val="yellow"/>
              </w:rPr>
              <w:t>。</w:t>
            </w:r>
            <w:r>
              <w:rPr>
                <w:rFonts w:hint="default" w:ascii="Times New Roman" w:hAnsi="Times New Roman" w:cs="Times New Roman"/>
                <w:bCs/>
                <w:color w:val="auto"/>
                <w:sz w:val="24"/>
                <w:szCs w:val="24"/>
                <w:highlight w:val="yellow"/>
                <w:lang w:val="en-US" w:eastAsia="zh-CN"/>
              </w:rPr>
              <w:t>本项目拌和站远离村屯和生活区布置，并位于村屯和生活区下风向，水泥筒仓和拌和站设置布袋除尘器，并设置遮蔽棚，对周边大气环境影响可接受。</w:t>
            </w:r>
            <w:r>
              <w:rPr>
                <w:rFonts w:hint="default" w:ascii="Times New Roman" w:hAnsi="Times New Roman" w:cs="Times New Roman"/>
                <w:bCs/>
                <w:color w:val="auto"/>
                <w:sz w:val="24"/>
                <w:szCs w:val="24"/>
                <w:highlight w:val="yellow"/>
              </w:rPr>
              <w:t>具体布置时以尽量靠近公路，方便施工、少占地、少破坏植被为原则。对于施工场地扰动地表和破坏植被面积以及所造成的水土流失，可采取工程和植物相结合的水土保持措施予以治理。</w:t>
            </w:r>
          </w:p>
          <w:p w14:paraId="4D73E7D3">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yellow"/>
              </w:rPr>
            </w:pPr>
            <w:r>
              <w:rPr>
                <w:rFonts w:hint="default" w:ascii="Times New Roman" w:hAnsi="Times New Roman" w:cs="Times New Roman"/>
                <w:bCs/>
                <w:color w:val="auto"/>
                <w:sz w:val="24"/>
                <w:szCs w:val="24"/>
                <w:highlight w:val="yellow"/>
              </w:rPr>
              <w:t>本次环评已尽可能优化施工布置，</w:t>
            </w:r>
            <w:r>
              <w:rPr>
                <w:rFonts w:hint="default" w:ascii="Times New Roman" w:hAnsi="Times New Roman" w:cs="Times New Roman"/>
                <w:bCs/>
                <w:color w:val="auto"/>
                <w:sz w:val="24"/>
                <w:szCs w:val="24"/>
                <w:highlight w:val="yellow"/>
                <w:lang w:val="en-US" w:eastAsia="zh-CN"/>
              </w:rPr>
              <w:t>尽量</w:t>
            </w:r>
            <w:r>
              <w:rPr>
                <w:rFonts w:hint="default" w:ascii="Times New Roman" w:hAnsi="Times New Roman" w:cs="Times New Roman"/>
                <w:bCs/>
                <w:color w:val="auto"/>
                <w:sz w:val="24"/>
                <w:szCs w:val="24"/>
                <w:highlight w:val="yellow"/>
                <w:lang w:eastAsia="zh-CN"/>
              </w:rPr>
              <w:t>利用现有道路，不设置弃渣场，</w:t>
            </w:r>
            <w:r>
              <w:rPr>
                <w:rFonts w:hint="default" w:ascii="Times New Roman" w:hAnsi="Times New Roman" w:cs="Times New Roman"/>
                <w:bCs/>
                <w:color w:val="auto"/>
                <w:sz w:val="24"/>
                <w:szCs w:val="24"/>
                <w:highlight w:val="yellow"/>
              </w:rPr>
              <w:t>施工生产生活区</w:t>
            </w:r>
            <w:r>
              <w:rPr>
                <w:rFonts w:hint="default" w:ascii="Times New Roman" w:hAnsi="Times New Roman" w:cs="Times New Roman"/>
                <w:bCs/>
                <w:color w:val="auto"/>
                <w:sz w:val="24"/>
                <w:szCs w:val="24"/>
                <w:highlight w:val="yellow"/>
                <w:lang w:val="en-US" w:eastAsia="zh-CN"/>
              </w:rPr>
              <w:t>不</w:t>
            </w:r>
            <w:r>
              <w:rPr>
                <w:rFonts w:hint="default" w:ascii="Times New Roman" w:hAnsi="Times New Roman" w:cs="Times New Roman"/>
                <w:bCs/>
                <w:color w:val="auto"/>
                <w:sz w:val="24"/>
                <w:szCs w:val="24"/>
                <w:highlight w:val="yellow"/>
              </w:rPr>
              <w:t>设置</w:t>
            </w:r>
            <w:r>
              <w:rPr>
                <w:rFonts w:hint="default" w:ascii="Times New Roman" w:hAnsi="Times New Roman" w:cs="Times New Roman"/>
                <w:bCs/>
                <w:color w:val="auto"/>
                <w:sz w:val="24"/>
                <w:szCs w:val="24"/>
                <w:highlight w:val="yellow"/>
                <w:lang w:val="en-US" w:eastAsia="zh-CN"/>
              </w:rPr>
              <w:t>在生态保护红线</w:t>
            </w:r>
            <w:r>
              <w:rPr>
                <w:rFonts w:hint="default" w:ascii="Times New Roman" w:hAnsi="Times New Roman" w:cs="Times New Roman"/>
                <w:bCs/>
                <w:color w:val="auto"/>
                <w:sz w:val="24"/>
                <w:szCs w:val="24"/>
                <w:highlight w:val="yellow"/>
              </w:rPr>
              <w:t>内。土料堆置时加强防护，坡脚用编织袋填筑土埂压盖并拦挡，表面密目网覆盖，以减少水土流失，施工结束后进行土地复垦</w:t>
            </w:r>
            <w:r>
              <w:rPr>
                <w:rFonts w:hint="default" w:ascii="Times New Roman" w:hAnsi="Times New Roman" w:cs="Times New Roman"/>
                <w:bCs/>
                <w:color w:val="auto"/>
                <w:sz w:val="24"/>
                <w:szCs w:val="24"/>
                <w:highlight w:val="yellow"/>
                <w:lang w:eastAsia="zh-CN"/>
              </w:rPr>
              <w:t>和植被恢复</w:t>
            </w:r>
            <w:r>
              <w:rPr>
                <w:rFonts w:hint="default" w:ascii="Times New Roman" w:hAnsi="Times New Roman" w:cs="Times New Roman"/>
                <w:bCs/>
                <w:color w:val="auto"/>
                <w:sz w:val="24"/>
                <w:szCs w:val="24"/>
                <w:highlight w:val="yellow"/>
              </w:rPr>
              <w:t>，综上所述，本项目的施工布置合理。</w:t>
            </w:r>
          </w:p>
          <w:p w14:paraId="366949C5">
            <w:pPr>
              <w:keepNext w:val="0"/>
              <w:keepLines w:val="0"/>
              <w:pageBreakBefore w:val="0"/>
              <w:widowControl w:val="0"/>
              <w:kinsoku/>
              <w:wordWrap/>
              <w:overflowPunct/>
              <w:topLinePunct w:val="0"/>
              <w:autoSpaceDE/>
              <w:autoSpaceDN/>
              <w:bidi w:val="0"/>
              <w:adjustRightInd w:val="0"/>
              <w:snapToGrid w:val="0"/>
              <w:spacing w:line="500" w:lineRule="exact"/>
              <w:ind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、弃渣场、</w:t>
            </w:r>
            <w:r>
              <w:rPr>
                <w:rFonts w:hint="eastAsia" w:cs="Times New Roman"/>
                <w:b/>
                <w:bCs/>
                <w:color w:val="auto"/>
                <w:sz w:val="24"/>
                <w:szCs w:val="24"/>
                <w:highlight w:val="none"/>
                <w:lang w:val="en-US" w:eastAsia="zh-CN"/>
              </w:rPr>
              <w:t>取土场</w:t>
            </w:r>
            <w:r>
              <w:rPr>
                <w:rFonts w:hint="default" w:ascii="Times New Roman" w:hAnsi="Times New Roman" w:cs="Times New Roman"/>
                <w:b/>
                <w:bCs/>
                <w:color w:val="auto"/>
                <w:sz w:val="24"/>
                <w:szCs w:val="24"/>
                <w:highlight w:val="none"/>
              </w:rPr>
              <w:t xml:space="preserve">选址合理性分析 </w:t>
            </w:r>
          </w:p>
          <w:p w14:paraId="12C38B5D">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yellow"/>
              </w:rPr>
            </w:pPr>
            <w:r>
              <w:rPr>
                <w:rFonts w:hint="default" w:ascii="Times New Roman" w:hAnsi="Times New Roman" w:cs="Times New Roman"/>
                <w:b w:val="0"/>
                <w:bCs w:val="0"/>
                <w:color w:val="auto"/>
                <w:sz w:val="24"/>
                <w:szCs w:val="24"/>
                <w:highlight w:val="yellow"/>
              </w:rPr>
              <w:t xml:space="preserve">（1）弃渣场环境合理性分析 </w:t>
            </w:r>
          </w:p>
          <w:p w14:paraId="4472E8CF">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yellow"/>
              </w:rPr>
            </w:pPr>
            <w:r>
              <w:rPr>
                <w:rFonts w:hint="default" w:ascii="Times New Roman" w:hAnsi="Times New Roman" w:cs="Times New Roman"/>
                <w:b w:val="0"/>
                <w:bCs w:val="0"/>
                <w:color w:val="auto"/>
                <w:sz w:val="24"/>
                <w:szCs w:val="24"/>
                <w:highlight w:val="yellow"/>
              </w:rPr>
              <w:t>本项目弃渣场</w:t>
            </w:r>
            <w:r>
              <w:rPr>
                <w:rFonts w:hint="eastAsia" w:cs="Times New Roman"/>
                <w:b w:val="0"/>
                <w:bCs w:val="0"/>
                <w:color w:val="auto"/>
                <w:sz w:val="24"/>
                <w:szCs w:val="24"/>
                <w:highlight w:val="yellow"/>
                <w:lang w:val="en-US" w:eastAsia="zh-CN"/>
              </w:rPr>
              <w:t>位于</w:t>
            </w:r>
            <w:r>
              <w:rPr>
                <w:rFonts w:hint="eastAsia" w:cs="Times New Roman"/>
                <w:color w:val="auto"/>
                <w:sz w:val="24"/>
                <w:szCs w:val="24"/>
                <w:highlight w:val="yellow"/>
                <w:lang w:val="en-US" w:eastAsia="zh-CN"/>
              </w:rPr>
              <w:t>原河道东侧150m处</w:t>
            </w:r>
            <w:r>
              <w:rPr>
                <w:rFonts w:hint="eastAsia" w:cs="Times New Roman"/>
                <w:b w:val="0"/>
                <w:bCs w:val="0"/>
                <w:color w:val="auto"/>
                <w:sz w:val="24"/>
                <w:szCs w:val="24"/>
                <w:highlight w:val="yellow"/>
                <w:lang w:val="en-US" w:eastAsia="zh-CN"/>
              </w:rPr>
              <w:t>，占地面积4.80亩，用地类型为水域及水利设施用地，现状为沟道型弃土场，周边均为荒草地，可堆渣量4.44万m</w:t>
            </w:r>
            <w:r>
              <w:rPr>
                <w:rFonts w:hint="eastAsia" w:cs="Times New Roman"/>
                <w:b w:val="0"/>
                <w:bCs w:val="0"/>
                <w:color w:val="auto"/>
                <w:sz w:val="24"/>
                <w:szCs w:val="24"/>
                <w:highlight w:val="yellow"/>
                <w:vertAlign w:val="superscript"/>
                <w:lang w:val="en-US" w:eastAsia="zh-CN"/>
              </w:rPr>
              <w:t>3</w:t>
            </w:r>
            <w:r>
              <w:rPr>
                <w:rFonts w:hint="eastAsia" w:cs="Times New Roman"/>
                <w:b w:val="0"/>
                <w:bCs w:val="0"/>
                <w:color w:val="auto"/>
                <w:sz w:val="24"/>
                <w:szCs w:val="24"/>
                <w:highlight w:val="yellow"/>
                <w:lang w:val="en-US" w:eastAsia="zh-CN"/>
              </w:rPr>
              <w:t>，平均回填高度3m，该弃渣场可容纳本项目的弃土3.8457.99m</w:t>
            </w:r>
            <w:r>
              <w:rPr>
                <w:rFonts w:hint="eastAsia" w:cs="Times New Roman"/>
                <w:b w:val="0"/>
                <w:bCs w:val="0"/>
                <w:color w:val="auto"/>
                <w:sz w:val="24"/>
                <w:szCs w:val="24"/>
                <w:highlight w:val="yellow"/>
                <w:vertAlign w:val="superscript"/>
                <w:lang w:val="en-US" w:eastAsia="zh-CN"/>
              </w:rPr>
              <w:t>3</w:t>
            </w:r>
            <w:r>
              <w:rPr>
                <w:rFonts w:hint="eastAsia" w:cs="Times New Roman"/>
                <w:b w:val="0"/>
                <w:bCs w:val="0"/>
                <w:color w:val="auto"/>
                <w:sz w:val="24"/>
                <w:szCs w:val="24"/>
                <w:highlight w:val="yellow"/>
                <w:vertAlign w:val="baseline"/>
                <w:lang w:val="en-US" w:eastAsia="zh-CN"/>
              </w:rPr>
              <w:t>，堆渣方式均为填平坑塘，堆渣后渣顶与周边地面持平，施工结束后恢复为草地</w:t>
            </w:r>
            <w:r>
              <w:rPr>
                <w:rFonts w:hint="default" w:ascii="Times New Roman" w:hAnsi="Times New Roman" w:cs="Times New Roman"/>
                <w:b w:val="0"/>
                <w:bCs w:val="0"/>
                <w:color w:val="auto"/>
                <w:sz w:val="24"/>
                <w:szCs w:val="24"/>
                <w:highlight w:val="yellow"/>
              </w:rPr>
              <w:t xml:space="preserve">。 </w:t>
            </w:r>
          </w:p>
          <w:p w14:paraId="4217D7F3">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（2）</w:t>
            </w:r>
            <w:r>
              <w:rPr>
                <w:rFonts w:hint="eastAsia" w:cs="Times New Roman"/>
                <w:b w:val="0"/>
                <w:bCs w:val="0"/>
                <w:color w:val="auto"/>
                <w:sz w:val="24"/>
                <w:szCs w:val="24"/>
                <w:highlight w:val="none"/>
                <w:lang w:val="en-US" w:eastAsia="zh-CN"/>
              </w:rPr>
              <w:t>取土场</w:t>
            </w:r>
            <w:r>
              <w:rPr>
                <w:rFonts w:hint="default" w:ascii="Times New Roman" w:hAnsi="Times New Roman" w:cs="Times New Roman"/>
                <w:b w:val="0"/>
                <w:bCs w:val="0"/>
                <w:color w:val="auto"/>
                <w:sz w:val="24"/>
                <w:szCs w:val="24"/>
                <w:highlight w:val="none"/>
              </w:rPr>
              <w:t xml:space="preserve">环境合理性分析 </w:t>
            </w:r>
          </w:p>
          <w:p w14:paraId="24643850">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val="en-US" w:eastAsia="zh-CN"/>
              </w:rPr>
              <w:t>本项目不设置取土场</w:t>
            </w:r>
            <w:r>
              <w:rPr>
                <w:rFonts w:hint="default" w:ascii="Times New Roman" w:hAnsi="Times New Roman" w:cs="Times New Roman"/>
                <w:b w:val="0"/>
                <w:bCs w:val="0"/>
                <w:color w:val="auto"/>
                <w:sz w:val="24"/>
                <w:szCs w:val="24"/>
                <w:highlight w:val="none"/>
              </w:rPr>
              <w:t>。</w:t>
            </w:r>
          </w:p>
          <w:p w14:paraId="10DA87A4">
            <w:pPr>
              <w:keepNext w:val="0"/>
              <w:keepLines w:val="0"/>
              <w:pageBreakBefore w:val="0"/>
              <w:widowControl w:val="0"/>
              <w:kinsoku/>
              <w:wordWrap/>
              <w:overflowPunct/>
              <w:topLinePunct w:val="0"/>
              <w:autoSpaceDE/>
              <w:autoSpaceDN/>
              <w:bidi w:val="0"/>
              <w:adjustRightInd w:val="0"/>
              <w:snapToGrid w:val="0"/>
              <w:spacing w:line="500" w:lineRule="exact"/>
              <w:ind w:right="0" w:firstLine="480" w:firstLineChars="200"/>
              <w:jc w:val="both"/>
              <w:textAlignment w:val="auto"/>
              <w:rPr>
                <w:rFonts w:hint="default" w:ascii="Times New Roman" w:hAnsi="Times New Roman" w:cs="Times New Roman"/>
                <w:b w:val="0"/>
                <w:bCs w:val="0"/>
                <w:color w:val="auto"/>
                <w:sz w:val="24"/>
                <w:szCs w:val="24"/>
                <w:highlight w:val="none"/>
              </w:rPr>
            </w:pPr>
          </w:p>
          <w:p w14:paraId="72A984B3">
            <w:pPr>
              <w:ind w:firstLine="480"/>
              <w:rPr>
                <w:rFonts w:hint="default" w:ascii="Times New Roman" w:hAnsi="Times New Roman" w:cs="Times New Roman"/>
                <w:color w:val="auto"/>
                <w:highlight w:val="none"/>
              </w:rPr>
            </w:pPr>
          </w:p>
          <w:p w14:paraId="137C730B">
            <w:pPr>
              <w:pStyle w:val="2"/>
              <w:rPr>
                <w:rFonts w:hint="default" w:ascii="Times New Roman" w:hAnsi="Times New Roman" w:cs="Times New Roman"/>
                <w:color w:val="auto"/>
                <w:highlight w:val="none"/>
              </w:rPr>
            </w:pPr>
          </w:p>
          <w:p w14:paraId="3A48D051">
            <w:pPr>
              <w:pStyle w:val="2"/>
              <w:rPr>
                <w:rFonts w:hint="default" w:ascii="Times New Roman" w:hAnsi="Times New Roman" w:cs="Times New Roman"/>
                <w:color w:val="auto"/>
                <w:highlight w:val="none"/>
              </w:rPr>
            </w:pPr>
          </w:p>
          <w:p w14:paraId="0EF870BA">
            <w:pPr>
              <w:pStyle w:val="2"/>
              <w:rPr>
                <w:rFonts w:hint="default" w:ascii="Times New Roman" w:hAnsi="Times New Roman" w:cs="Times New Roman"/>
                <w:color w:val="auto"/>
                <w:highlight w:val="none"/>
              </w:rPr>
            </w:pPr>
          </w:p>
          <w:p w14:paraId="424B1766">
            <w:pPr>
              <w:pStyle w:val="2"/>
              <w:rPr>
                <w:rFonts w:hint="default" w:ascii="Times New Roman" w:hAnsi="Times New Roman" w:cs="Times New Roman"/>
                <w:color w:val="auto"/>
                <w:highlight w:val="none"/>
              </w:rPr>
            </w:pPr>
          </w:p>
          <w:p w14:paraId="7BDD27E1">
            <w:pPr>
              <w:pStyle w:val="2"/>
              <w:rPr>
                <w:rFonts w:hint="default" w:ascii="Times New Roman" w:hAnsi="Times New Roman" w:cs="Times New Roman"/>
                <w:color w:val="auto"/>
                <w:highlight w:val="none"/>
              </w:rPr>
            </w:pPr>
          </w:p>
          <w:p w14:paraId="25FA6D4A">
            <w:pPr>
              <w:pStyle w:val="2"/>
              <w:rPr>
                <w:rFonts w:hint="default" w:ascii="Times New Roman" w:hAnsi="Times New Roman" w:cs="Times New Roman"/>
                <w:color w:val="auto"/>
                <w:highlight w:val="none"/>
              </w:rPr>
            </w:pPr>
          </w:p>
          <w:p w14:paraId="44C75A1B">
            <w:pPr>
              <w:pStyle w:val="2"/>
              <w:rPr>
                <w:rFonts w:hint="default" w:ascii="Times New Roman" w:hAnsi="Times New Roman" w:cs="Times New Roman"/>
                <w:color w:val="auto"/>
                <w:highlight w:val="none"/>
              </w:rPr>
            </w:pPr>
          </w:p>
          <w:p w14:paraId="46F86742">
            <w:pPr>
              <w:pStyle w:val="2"/>
              <w:rPr>
                <w:rFonts w:hint="default" w:ascii="Times New Roman" w:hAnsi="Times New Roman" w:cs="Times New Roman"/>
                <w:color w:val="auto"/>
                <w:highlight w:val="none"/>
              </w:rPr>
            </w:pPr>
          </w:p>
          <w:p w14:paraId="159ED242">
            <w:pPr>
              <w:pStyle w:val="2"/>
              <w:rPr>
                <w:rFonts w:hint="default" w:ascii="Times New Roman" w:hAnsi="Times New Roman" w:cs="Times New Roman"/>
                <w:color w:val="auto"/>
                <w:highlight w:val="none"/>
              </w:rPr>
            </w:pPr>
          </w:p>
          <w:p w14:paraId="0E9A74F6">
            <w:pPr>
              <w:pStyle w:val="2"/>
              <w:rPr>
                <w:rFonts w:hint="default" w:ascii="Times New Roman" w:hAnsi="Times New Roman" w:cs="Times New Roman"/>
                <w:color w:val="auto"/>
                <w:highlight w:val="none"/>
              </w:rPr>
            </w:pPr>
          </w:p>
          <w:p w14:paraId="75A2672A">
            <w:pPr>
              <w:pStyle w:val="2"/>
              <w:rPr>
                <w:rFonts w:hint="default" w:ascii="Times New Roman" w:hAnsi="Times New Roman" w:cs="Times New Roman"/>
                <w:color w:val="auto"/>
                <w:highlight w:val="none"/>
              </w:rPr>
            </w:pPr>
          </w:p>
          <w:p w14:paraId="4959FBA5">
            <w:pPr>
              <w:pStyle w:val="2"/>
              <w:rPr>
                <w:rFonts w:hint="default" w:ascii="Times New Roman" w:hAnsi="Times New Roman" w:cs="Times New Roman"/>
                <w:color w:val="auto"/>
                <w:highlight w:val="none"/>
              </w:rPr>
            </w:pPr>
          </w:p>
          <w:p w14:paraId="03069ECA">
            <w:pPr>
              <w:pStyle w:val="2"/>
              <w:rPr>
                <w:rFonts w:hint="default" w:ascii="Times New Roman" w:hAnsi="Times New Roman" w:cs="Times New Roman"/>
                <w:color w:val="auto"/>
                <w:highlight w:val="none"/>
              </w:rPr>
            </w:pPr>
          </w:p>
          <w:p w14:paraId="0D55B323">
            <w:pPr>
              <w:pStyle w:val="2"/>
              <w:rPr>
                <w:rFonts w:hint="default" w:ascii="Times New Roman" w:hAnsi="Times New Roman" w:cs="Times New Roman"/>
                <w:color w:val="auto"/>
                <w:highlight w:val="none"/>
              </w:rPr>
            </w:pPr>
          </w:p>
          <w:p w14:paraId="7388E266">
            <w:pPr>
              <w:pStyle w:val="2"/>
              <w:rPr>
                <w:rFonts w:hint="default" w:ascii="Times New Roman" w:hAnsi="Times New Roman" w:cs="Times New Roman"/>
                <w:color w:val="auto"/>
                <w:highlight w:val="none"/>
              </w:rPr>
            </w:pPr>
          </w:p>
          <w:p w14:paraId="3493C27F">
            <w:pPr>
              <w:pStyle w:val="2"/>
              <w:rPr>
                <w:rFonts w:hint="default" w:ascii="Times New Roman" w:hAnsi="Times New Roman" w:cs="Times New Roman"/>
                <w:color w:val="auto"/>
                <w:highlight w:val="none"/>
              </w:rPr>
            </w:pPr>
          </w:p>
          <w:p w14:paraId="374292BE">
            <w:pPr>
              <w:pStyle w:val="2"/>
              <w:rPr>
                <w:rFonts w:hint="default" w:ascii="Times New Roman" w:hAnsi="Times New Roman" w:cs="Times New Roman"/>
                <w:color w:val="auto"/>
                <w:highlight w:val="none"/>
              </w:rPr>
            </w:pPr>
          </w:p>
          <w:p w14:paraId="7ED4B1CD">
            <w:pPr>
              <w:pStyle w:val="2"/>
              <w:rPr>
                <w:rFonts w:hint="default" w:ascii="Times New Roman" w:hAnsi="Times New Roman" w:cs="Times New Roman"/>
                <w:color w:val="auto"/>
                <w:highlight w:val="none"/>
              </w:rPr>
            </w:pPr>
          </w:p>
          <w:p w14:paraId="14E4E475">
            <w:pPr>
              <w:pStyle w:val="2"/>
              <w:rPr>
                <w:rFonts w:hint="default" w:ascii="Times New Roman" w:hAnsi="Times New Roman" w:cs="Times New Roman"/>
                <w:color w:val="auto"/>
                <w:highlight w:val="none"/>
              </w:rPr>
            </w:pPr>
          </w:p>
          <w:p w14:paraId="17C04EDC">
            <w:pPr>
              <w:pStyle w:val="2"/>
              <w:rPr>
                <w:rFonts w:hint="default" w:ascii="Times New Roman" w:hAnsi="Times New Roman" w:cs="Times New Roman"/>
                <w:color w:val="auto"/>
                <w:highlight w:val="none"/>
              </w:rPr>
            </w:pPr>
          </w:p>
        </w:tc>
      </w:tr>
    </w:tbl>
    <w:p w14:paraId="6BF5F0CB">
      <w:pPr>
        <w:widowControl/>
        <w:ind w:firstLine="720"/>
        <w:jc w:val="left"/>
        <w:rPr>
          <w:rFonts w:hint="default" w:ascii="Times New Roman" w:hAnsi="Times New Roman" w:cs="Times New Roman"/>
          <w:snapToGrid w:val="0"/>
          <w:color w:val="auto"/>
          <w:kern w:val="0"/>
          <w:sz w:val="36"/>
          <w:szCs w:val="36"/>
          <w:highlight w:val="none"/>
        </w:rPr>
        <w:sectPr>
          <w:pgSz w:w="11906" w:h="16838"/>
          <w:pgMar w:top="1440" w:right="1800" w:bottom="1440" w:left="1800" w:header="851" w:footer="1077" w:gutter="0"/>
          <w:cols w:space="720" w:num="1"/>
        </w:sectPr>
      </w:pPr>
    </w:p>
    <w:p w14:paraId="530B75CB">
      <w:pPr>
        <w:pStyle w:val="4"/>
        <w:bidi w:val="0"/>
        <w:jc w:val="center"/>
        <w:rPr>
          <w:rFonts w:hint="default" w:ascii="Times New Roman" w:hAnsi="Times New Roman" w:eastAsia="宋体" w:cs="Times New Roman"/>
          <w:highlight w:val="none"/>
        </w:rPr>
      </w:pPr>
      <w:bookmarkStart w:id="50" w:name="_Toc5607"/>
      <w:bookmarkStart w:id="51" w:name="_Toc27005"/>
      <w:r>
        <w:rPr>
          <w:rFonts w:hint="default" w:ascii="Times New Roman" w:hAnsi="Times New Roman" w:eastAsia="宋体" w:cs="Times New Roman"/>
          <w:highlight w:val="none"/>
        </w:rPr>
        <w:t>五、主要生态环境保护措施</w:t>
      </w:r>
      <w:bookmarkEnd w:id="50"/>
      <w:bookmarkEnd w:id="51"/>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7758"/>
      </w:tblGrid>
      <w:tr w14:paraId="7F148E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8"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6B187187">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pacing w:val="10"/>
                <w:sz w:val="24"/>
                <w:highlight w:val="none"/>
              </w:rPr>
              <w:t>施工期生态环境保护措施</w:t>
            </w:r>
          </w:p>
        </w:tc>
        <w:tc>
          <w:tcPr>
            <w:tcW w:w="4591" w:type="pct"/>
            <w:tcBorders>
              <w:top w:val="single" w:color="auto" w:sz="8" w:space="0"/>
              <w:left w:val="single" w:color="auto" w:sz="4" w:space="0"/>
              <w:bottom w:val="single" w:color="auto" w:sz="4" w:space="0"/>
              <w:right w:val="single" w:color="auto" w:sz="8" w:space="0"/>
            </w:tcBorders>
            <w:noWrap w:val="0"/>
            <w:vAlign w:val="top"/>
          </w:tcPr>
          <w:p w14:paraId="752C093A">
            <w:pPr>
              <w:keepNext w:val="0"/>
              <w:keepLines w:val="0"/>
              <w:pageBreakBefore w:val="0"/>
              <w:kinsoku/>
              <w:wordWrap/>
              <w:overflowPunct/>
              <w:topLinePunct/>
              <w:autoSpaceDE/>
              <w:autoSpaceDN/>
              <w:bidi w:val="0"/>
              <w:spacing w:line="500" w:lineRule="exact"/>
              <w:ind w:firstLine="522" w:firstLineChars="200"/>
              <w:textAlignment w:val="auto"/>
              <w:rPr>
                <w:rFonts w:hint="default" w:ascii="Times New Roman" w:hAnsi="Times New Roman" w:cs="Times New Roman"/>
                <w:b/>
                <w:bCs/>
                <w:color w:val="auto"/>
                <w:spacing w:val="10"/>
                <w:sz w:val="24"/>
                <w:highlight w:val="none"/>
              </w:rPr>
            </w:pPr>
            <w:r>
              <w:rPr>
                <w:rFonts w:hint="default" w:ascii="Times New Roman" w:hAnsi="Times New Roman" w:cs="Times New Roman"/>
                <w:b/>
                <w:bCs/>
                <w:color w:val="auto"/>
                <w:spacing w:val="10"/>
                <w:sz w:val="24"/>
                <w:highlight w:val="none"/>
              </w:rPr>
              <w:t>一、生态环境保护措施</w:t>
            </w:r>
          </w:p>
          <w:p w14:paraId="6AC7592D">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val="0"/>
                <w:color w:val="auto"/>
                <w:spacing w:val="0"/>
                <w:sz w:val="24"/>
                <w:highlight w:val="none"/>
                <w:lang w:eastAsia="zh-CN"/>
              </w:rPr>
            </w:pPr>
            <w:r>
              <w:rPr>
                <w:rFonts w:hint="default" w:ascii="Times New Roman" w:hAnsi="Times New Roman" w:eastAsia="宋体" w:cs="Times New Roman"/>
                <w:b/>
                <w:bCs w:val="0"/>
                <w:color w:val="auto"/>
                <w:spacing w:val="0"/>
                <w:sz w:val="24"/>
                <w:highlight w:val="none"/>
                <w:lang w:val="en-US" w:eastAsia="zh-CN"/>
              </w:rPr>
              <w:t>1、</w:t>
            </w:r>
            <w:r>
              <w:rPr>
                <w:rFonts w:hint="default" w:ascii="Times New Roman" w:hAnsi="Times New Roman" w:eastAsia="宋体" w:cs="Times New Roman"/>
                <w:b/>
                <w:bCs w:val="0"/>
                <w:color w:val="auto"/>
                <w:sz w:val="24"/>
                <w:highlight w:val="none"/>
              </w:rPr>
              <w:t>陆域生态保护措施</w:t>
            </w:r>
          </w:p>
          <w:p w14:paraId="7203EB9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（1）施工占地和植物保护措施</w:t>
            </w:r>
          </w:p>
          <w:p w14:paraId="7364CD6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占地对生态环境的影响范围为施工范围内，施工占地破坏了占地范围内的植被，使占地范围内的动物离开该区域，一些小型的昆虫无法及时躲避造成死亡，生态影响的对象主要是动植物，使生物量和生物多样性迅速减少。</w:t>
            </w:r>
          </w:p>
          <w:p w14:paraId="0D5F83F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临时占地在施工结束后，通过土地翻耕、平整，恢复为原地类。因此临时占地的影响时段主要在施工期。影响时间短，影响程度低。临时占地生态恢复后，在附近生活的动物会慢慢占领该区域，生物多样性也会慢慢得到改善。</w:t>
            </w:r>
          </w:p>
          <w:p w14:paraId="32DE6AC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严格执行《中华人民共和国黑土地保护法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黑龙江省黑土地保护利用条例》，任何组织和个人应当节约使用黑土。</w:t>
            </w:r>
            <w:r>
              <w:rPr>
                <w:rFonts w:hint="default" w:ascii="Times New Roman" w:hAnsi="Times New Roman" w:eastAsia="宋体" w:cs="Times New Roman"/>
                <w:color w:val="auto"/>
                <w:spacing w:val="0"/>
                <w:kern w:val="0"/>
                <w:sz w:val="24"/>
                <w:highlight w:val="none"/>
              </w:rPr>
              <w:t>表土剥离活动中收集的黑土，经县级以上人民政府指定的部门备案并取得备案凭证后，可以用于土地复垦等。</w:t>
            </w:r>
            <w:r>
              <w:rPr>
                <w:rFonts w:hint="default" w:ascii="Times New Roman" w:hAnsi="Times New Roman" w:eastAsia="宋体" w:cs="Times New Roman"/>
                <w:bCs/>
                <w:color w:val="auto"/>
                <w:spacing w:val="0"/>
                <w:sz w:val="24"/>
                <w:highlight w:val="none"/>
              </w:rPr>
              <w:t>建设单位应当制定剥离黑土的再利用方案，报自然资源主管部门备案。</w:t>
            </w:r>
          </w:p>
          <w:p w14:paraId="0BF0E1F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2）野生动物保护措施</w:t>
            </w:r>
          </w:p>
          <w:p w14:paraId="7784558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施工期对陆生生物的保护对象主要为一些可食用的野生动物，鸟类等。保护时段为施工期。</w:t>
            </w:r>
          </w:p>
          <w:p w14:paraId="290DA38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施工期间，应做好施工人员的管理教育工作，对施工人员进行生态保护宣传教育，深入宣传贯彻国家颁布的《中华人民共和国土地管理法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中华人民共和国野生动物保护法</w:t>
            </w:r>
            <w:r>
              <w:rPr>
                <w:rFonts w:hint="default" w:ascii="Times New Roman" w:hAnsi="Times New Roman" w:eastAsia="宋体"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中华人民共和国渔业法》，并认真执行《中华人民共和国水产资源繁殖保护条例》有关规定，提高施工人员的生态环境保护意识，保护工程施工区域的动植物资源和水生生物资源严禁捕鱼，严禁猎杀野生动物，严禁随意破坏植被。建立生态破坏惩罚制度，严禁施工人员非法猎捕野生动物，禁止施工人员食用鸟类等；限制施工人员在施工以外区域活动，禁止施工人员野外用火，把对野生动物的干扰降至最低程度。</w:t>
            </w:r>
          </w:p>
          <w:p w14:paraId="0DF46C8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严格执行环境保护各项方针、政策法规，认真落实项目区周围植被和野生动物保护等各项措施，促进周围生态环境保护和建设，促进本区域的社会、经济、环境协调持续发展。</w:t>
            </w:r>
          </w:p>
          <w:p w14:paraId="12764F6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val="en-US" w:eastAsia="zh-CN"/>
              </w:rPr>
              <w:t>（3</w:t>
            </w:r>
            <w:r>
              <w:rPr>
                <w:rFonts w:hint="default" w:ascii="Times New Roman" w:hAnsi="Times New Roman" w:eastAsia="宋体" w:cs="Times New Roman"/>
                <w:bCs/>
                <w:color w:val="auto"/>
                <w:spacing w:val="0"/>
                <w:sz w:val="24"/>
                <w:highlight w:val="none"/>
              </w:rPr>
              <w:t>）水土保持措施</w:t>
            </w:r>
          </w:p>
          <w:p w14:paraId="399BF8FE">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为保护表土，</w:t>
            </w:r>
            <w:r>
              <w:rPr>
                <w:rFonts w:hint="default" w:ascii="Times New Roman" w:hAnsi="Times New Roman" w:eastAsia="宋体" w:cs="Times New Roman"/>
                <w:color w:val="auto"/>
                <w:sz w:val="24"/>
                <w:highlight w:val="none"/>
              </w:rPr>
              <w:t>本次环评提出在施工前对占用耕地、林地和草地进行表土剥离，</w:t>
            </w:r>
            <w:r>
              <w:rPr>
                <w:rFonts w:hint="default" w:ascii="Times New Roman" w:hAnsi="Times New Roman" w:eastAsia="宋体" w:cs="Times New Roman"/>
                <w:color w:val="auto"/>
                <w:sz w:val="24"/>
                <w:highlight w:val="yellow"/>
              </w:rPr>
              <w:t>剥离厚度耕地为30c</w:t>
            </w:r>
            <w:r>
              <w:rPr>
                <w:rFonts w:hint="default" w:ascii="Times New Roman" w:hAnsi="Times New Roman" w:cs="Times New Roman"/>
                <w:color w:val="auto"/>
                <w:sz w:val="24"/>
                <w:highlight w:val="yellow"/>
                <w:lang w:eastAsia="zh-CN"/>
              </w:rPr>
              <w:t>m</w:t>
            </w:r>
            <w:r>
              <w:rPr>
                <w:rFonts w:hint="default" w:ascii="Times New Roman" w:hAnsi="Times New Roman" w:eastAsia="宋体" w:cs="Times New Roman"/>
                <w:color w:val="auto"/>
                <w:sz w:val="24"/>
                <w:highlight w:val="yellow"/>
              </w:rPr>
              <w:t>，林地和草地为20c</w:t>
            </w:r>
            <w:r>
              <w:rPr>
                <w:rFonts w:hint="default" w:ascii="Times New Roman" w:hAnsi="Times New Roman" w:cs="Times New Roman"/>
                <w:color w:val="auto"/>
                <w:sz w:val="24"/>
                <w:highlight w:val="yellow"/>
                <w:lang w:eastAsia="zh-CN"/>
              </w:rPr>
              <w:t>m</w:t>
            </w:r>
            <w:r>
              <w:rPr>
                <w:rFonts w:hint="default" w:ascii="Times New Roman" w:hAnsi="Times New Roman" w:eastAsia="宋体" w:cs="Times New Roman"/>
                <w:color w:val="auto"/>
                <w:spacing w:val="0"/>
                <w:sz w:val="24"/>
                <w:highlight w:val="yellow"/>
              </w:rPr>
              <w:t>，剥离的表土集中堆放。施工结束后回覆表土。</w:t>
            </w:r>
          </w:p>
          <w:p w14:paraId="6D4A5F50">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表层土临时堆置，堆高控制在3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以内，坡顶及坡面采用密目网压盖，坡脚采用编织袋土埂临时拦挡，坡脚用编织袋填筑土埂压盖，选用2层编织袋土埂，土埂断面尺寸为顶宽0.4</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，高0.3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，边坡1</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1等腰梯形断面，土埂用土可利用表土充填。施工结束后，拆除临时防护措施。施工期间，占地区大部分区域被临时建筑物遮蔽，可以控制水土流失现象的发生。为拦截地表径流，在施工场地周边布置临时排水沟，将径流</w:t>
            </w:r>
            <w:r>
              <w:rPr>
                <w:rFonts w:hint="default" w:ascii="Times New Roman" w:hAnsi="Times New Roman" w:cs="Times New Roman"/>
                <w:bCs/>
                <w:color w:val="auto"/>
                <w:spacing w:val="0"/>
                <w:sz w:val="24"/>
                <w:highlight w:val="none"/>
                <w:lang w:eastAsia="zh-CN"/>
              </w:rPr>
              <w:t>导至附近</w:t>
            </w:r>
            <w:r>
              <w:rPr>
                <w:rFonts w:hint="default" w:ascii="Times New Roman" w:hAnsi="Times New Roman" w:eastAsia="宋体" w:cs="Times New Roman"/>
                <w:bCs/>
                <w:color w:val="auto"/>
                <w:spacing w:val="0"/>
                <w:sz w:val="24"/>
                <w:highlight w:val="none"/>
              </w:rPr>
              <w:t>道路排水沟，临时排水沟断面采用底宽0.4</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，边坡1</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1，排水沟深0.3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p>
          <w:p w14:paraId="4FCF5552">
            <w:pPr>
              <w:pStyle w:val="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（4）土壤环境保护措施</w:t>
            </w:r>
          </w:p>
          <w:p w14:paraId="3B8E68E4">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①表土剥离措施</w:t>
            </w:r>
          </w:p>
          <w:p w14:paraId="55306A34">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为保护表土，施工前将表土剥离，进行分层剥离，有层次</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堆放保存，对剥离的表土进行苫盖密目网。施工结束后用于回填，用于</w:t>
            </w:r>
            <w:r>
              <w:rPr>
                <w:rFonts w:hint="default" w:ascii="Times New Roman" w:hAnsi="Times New Roman" w:eastAsia="宋体" w:cs="Times New Roman"/>
                <w:color w:val="auto"/>
                <w:sz w:val="24"/>
                <w:highlight w:val="none"/>
                <w:lang w:val="en-US" w:eastAsia="zh-CN"/>
              </w:rPr>
              <w:t>临时占地的</w:t>
            </w:r>
            <w:r>
              <w:rPr>
                <w:rFonts w:hint="default" w:ascii="Times New Roman" w:hAnsi="Times New Roman" w:eastAsia="宋体" w:cs="Times New Roman"/>
                <w:color w:val="auto"/>
                <w:sz w:val="24"/>
                <w:highlight w:val="none"/>
              </w:rPr>
              <w:t>生态恢复。</w:t>
            </w:r>
          </w:p>
          <w:p w14:paraId="79D6B228">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②黑土地保护措施</w:t>
            </w:r>
          </w:p>
          <w:p w14:paraId="46FFE851">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根据《中华人民共和国黑土地保护法》，</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建设项目不得占用黑土地；确需占用的，应当依法严格审批，并补充数量和质量相当的耕地。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w:t>
            </w:r>
            <w:r>
              <w:rPr>
                <w:rFonts w:hint="default" w:ascii="Times New Roman" w:hAnsi="Times New Roman" w:cs="Times New Roman"/>
                <w:color w:val="auto"/>
                <w:sz w:val="24"/>
                <w:highlight w:val="none"/>
                <w:lang w:eastAsia="zh-CN"/>
              </w:rPr>
              <w:t>"</w:t>
            </w:r>
          </w:p>
          <w:p w14:paraId="7A7930D9">
            <w:pPr>
              <w:keepNext w:val="0"/>
              <w:keepLines w:val="0"/>
              <w:pageBreakBefore w:val="0"/>
              <w:kinsoku/>
              <w:wordWrap/>
              <w:overflowPunct/>
              <w:autoSpaceDE/>
              <w:autoSpaceDN/>
              <w:bidi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本工程占地表土耕作层单独收集暂存至</w:t>
            </w:r>
            <w:r>
              <w:rPr>
                <w:rFonts w:hint="default" w:ascii="Times New Roman" w:hAnsi="Times New Roman" w:eastAsia="宋体" w:cs="Times New Roman"/>
                <w:color w:val="auto"/>
                <w:sz w:val="24"/>
                <w:highlight w:val="none"/>
                <w:lang w:val="en-US" w:eastAsia="zh-CN"/>
              </w:rPr>
              <w:t>临时堆土场</w:t>
            </w:r>
            <w:r>
              <w:rPr>
                <w:rFonts w:hint="default" w:ascii="Times New Roman" w:hAnsi="Times New Roman" w:eastAsia="宋体" w:cs="Times New Roman"/>
                <w:color w:val="auto"/>
                <w:sz w:val="24"/>
                <w:highlight w:val="none"/>
              </w:rPr>
              <w:t>内，严格落实黑土地保护利用的相关法律法规、规章制度，做好黑土地保护利用工作。应当节约、集约使用黑土地，按照有关标准、规范和管理规定剥离表土，做好表土保护，避免导致水淹耕地或者破坏黑土地生态环境。表土剥离、运输、存储过程中，应采取水土保持和扬尘防治措施、必要的工程防护和保育措施，防止土壤和环境污染，防止出现水土流失、土壤质量退化和安全隐患。</w:t>
            </w:r>
          </w:p>
          <w:p w14:paraId="53AA5B64">
            <w:pPr>
              <w:pStyle w:val="3"/>
              <w:keepNext w:val="0"/>
              <w:keepLines w:val="0"/>
              <w:pageBreakBefore w:val="0"/>
              <w:kinsoku/>
              <w:wordWrap/>
              <w:overflowPunct/>
              <w:autoSpaceDE/>
              <w:autoSpaceDN/>
              <w:bidi w:val="0"/>
              <w:spacing w:after="0"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根据《中华人民共和国黑土地保护法黑土地保护法</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黑龙江省人民政府办公厅关于建设占用耕地耕作层土壤剥离利用改造的指导意见（试行）》及相关法规，在施工期环境监理过程中及竣工环保验收时，将本项目土壤层剥离、堆存保护与利用作为重点工作。</w:t>
            </w:r>
          </w:p>
          <w:p w14:paraId="68FE84E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lang w:val="en-US" w:eastAsia="zh-CN"/>
              </w:rPr>
              <w:t>（5</w:t>
            </w:r>
            <w:r>
              <w:rPr>
                <w:rFonts w:hint="default" w:ascii="Times New Roman" w:hAnsi="Times New Roman" w:eastAsia="宋体" w:cs="Times New Roman"/>
                <w:bCs/>
                <w:color w:val="auto"/>
                <w:spacing w:val="0"/>
                <w:sz w:val="24"/>
                <w:highlight w:val="none"/>
              </w:rPr>
              <w:t>）生态恢复措施</w:t>
            </w:r>
          </w:p>
          <w:p w14:paraId="288EE3D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本工程严格落实黑土地保护利用的相关法律法规、规章制度，做好黑土地保护利用工作。应当节约、集约使用黑土地，按照有关标准、规范和管理规定剥离表土，做好表土保护，避免破坏黑土地生态环境。表土剥离、运输、存储过程中，应采取水土保持和扬尘防治措施、必要的工程防护和保育措施，防止土壤和环境污染，防止出现水土流失、土壤质量退化和安全隐患。</w:t>
            </w:r>
          </w:p>
          <w:p w14:paraId="33A810FD">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eastAsia="宋体" w:cs="Times New Roman"/>
                <w:bCs/>
                <w:color w:val="auto"/>
                <w:spacing w:val="0"/>
                <w:sz w:val="24"/>
                <w:highlight w:val="none"/>
              </w:rPr>
              <w:t>施工结束后临时工程全部废止，拆除设施设备后，进行地面平整，恢复为耕地。</w:t>
            </w:r>
            <w:r>
              <w:rPr>
                <w:rFonts w:hint="default" w:ascii="Times New Roman" w:hAnsi="Times New Roman" w:eastAsia="宋体" w:cs="Times New Roman"/>
                <w:bCs/>
                <w:color w:val="auto"/>
                <w:spacing w:val="0"/>
                <w:sz w:val="24"/>
                <w:highlight w:val="none"/>
                <w:lang w:eastAsia="zh-CN"/>
              </w:rPr>
              <w:t>本工程生态恢复主体为</w:t>
            </w:r>
            <w:r>
              <w:rPr>
                <w:rFonts w:hint="eastAsia" w:cs="Times New Roman"/>
                <w:bCs/>
                <w:color w:val="auto"/>
                <w:spacing w:val="0"/>
                <w:sz w:val="24"/>
                <w:highlight w:val="none"/>
                <w:lang w:eastAsia="zh-CN"/>
              </w:rPr>
              <w:t>庆安县中小型水利工程建设管理中心</w:t>
            </w:r>
            <w:r>
              <w:rPr>
                <w:rFonts w:hint="default" w:ascii="Times New Roman" w:hAnsi="Times New Roman" w:eastAsia="宋体" w:cs="Times New Roman"/>
                <w:bCs/>
                <w:color w:val="auto"/>
                <w:spacing w:val="0"/>
                <w:sz w:val="24"/>
                <w:highlight w:val="none"/>
                <w:lang w:eastAsia="zh-CN"/>
              </w:rPr>
              <w:t>。</w:t>
            </w:r>
          </w:p>
          <w:p w14:paraId="7566003B">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①施工生产生活区恢复措施</w:t>
            </w:r>
          </w:p>
          <w:p w14:paraId="0BF3EEAB">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根据施工临时生产生活区建筑物后期裸露地表植被建设的需要，在开工前剥离占地范围内的表土，剥离厚度为30c</w:t>
            </w:r>
            <w:r>
              <w:rPr>
                <w:rFonts w:hint="default" w:ascii="Times New Roman" w:hAnsi="Times New Roman" w:cs="Times New Roman"/>
                <w:color w:val="auto"/>
                <w:kern w:val="0"/>
                <w:sz w:val="24"/>
                <w:szCs w:val="20"/>
                <w:highlight w:val="none"/>
                <w:lang w:val="en-US" w:eastAsia="zh-CN" w:bidi="ar-SA"/>
              </w:rPr>
              <w:t>m</w:t>
            </w:r>
            <w:r>
              <w:rPr>
                <w:rFonts w:hint="default" w:ascii="Times New Roman" w:hAnsi="Times New Roman" w:eastAsia="宋体" w:cs="Times New Roman"/>
                <w:color w:val="auto"/>
                <w:kern w:val="0"/>
                <w:sz w:val="24"/>
                <w:szCs w:val="20"/>
                <w:highlight w:val="none"/>
                <w:lang w:val="en-US" w:eastAsia="zh-CN" w:bidi="ar-SA"/>
              </w:rPr>
              <w:t>，临时堆放在生产生活区附近，并采取密目网苫盖。施工结束后对施工生产生活区事先收集的表土进行覆土，并采取撒播草籽的措施进行植被恢复。</w:t>
            </w:r>
          </w:p>
          <w:p w14:paraId="2446E35C">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②施工临时道路恢复措施</w:t>
            </w:r>
          </w:p>
          <w:p w14:paraId="1C7F1245">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0"/>
                <w:highlight w:val="none"/>
                <w:lang w:val="zh-CN" w:eastAsia="zh-CN" w:bidi="ar-SA"/>
              </w:rPr>
              <w:t>本工程施工大部分利用原堤顶道路和附近村屯现有道路，仅部分路段布置临时道路，为土质路面。施工临时道路长度3km、路面宽度为5.0 m，占地面积4.50亩，耕地3.6亩，林地0.9亩。</w:t>
            </w:r>
            <w:r>
              <w:rPr>
                <w:rFonts w:hint="default" w:ascii="Times New Roman" w:hAnsi="Times New Roman" w:cs="Times New Roman"/>
                <w:color w:val="auto"/>
                <w:highlight w:val="none"/>
              </w:rPr>
              <w:t>施工期间为了保护表土，在施工前对施工道路进行表土剥离，其中占用耕地的区域存在表土，占用其他土地的区域不存在表土，占用耕地区域剥离厚度为30c</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，施工期间表土剥离量为</w:t>
            </w:r>
            <w:r>
              <w:rPr>
                <w:rFonts w:hint="eastAsia" w:cs="Times New Roman"/>
                <w:color w:val="auto"/>
                <w:highlight w:val="none"/>
                <w:lang w:val="en-US" w:eastAsia="zh-CN"/>
              </w:rPr>
              <w:t>800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，剥离的</w:t>
            </w:r>
            <w:r>
              <w:rPr>
                <w:rFonts w:hint="default" w:ascii="Times New Roman" w:hAnsi="Times New Roman" w:eastAsia="宋体" w:cs="Times New Roman"/>
                <w:color w:val="auto"/>
                <w:highlight w:val="none"/>
              </w:rPr>
              <w:t>表土</w:t>
            </w:r>
            <w:r>
              <w:rPr>
                <w:rFonts w:hint="default" w:ascii="Times New Roman" w:hAnsi="Times New Roman" w:eastAsia="宋体" w:cs="Times New Roman"/>
                <w:color w:val="auto"/>
                <w:highlight w:val="none"/>
                <w:lang w:val="en-US" w:eastAsia="zh-CN"/>
              </w:rPr>
              <w:t>临时堆存在表土暂存场，</w:t>
            </w:r>
            <w:r>
              <w:rPr>
                <w:rFonts w:hint="default" w:ascii="Times New Roman" w:hAnsi="Times New Roman" w:eastAsia="宋体" w:cs="Times New Roman"/>
                <w:color w:val="auto"/>
                <w:highlight w:val="none"/>
              </w:rPr>
              <w:t>全部由</w:t>
            </w:r>
            <w:r>
              <w:rPr>
                <w:rFonts w:hint="default" w:ascii="Times New Roman" w:hAnsi="Times New Roman" w:eastAsia="宋体" w:cs="Times New Roman"/>
                <w:color w:val="auto"/>
                <w:highlight w:val="none"/>
                <w:lang w:val="en-US" w:eastAsia="zh-CN"/>
              </w:rPr>
              <w:t>庆安县庆禾农业发展有限公司</w:t>
            </w:r>
            <w:r>
              <w:rPr>
                <w:rFonts w:hint="default" w:ascii="Times New Roman" w:hAnsi="Times New Roman" w:eastAsia="宋体" w:cs="Times New Roman"/>
                <w:color w:val="auto"/>
                <w:highlight w:val="none"/>
              </w:rPr>
              <w:t>外运并进行综合利用，重</w:t>
            </w:r>
            <w:r>
              <w:rPr>
                <w:rFonts w:hint="default" w:ascii="Times New Roman" w:hAnsi="Times New Roman" w:cs="Times New Roman"/>
                <w:color w:val="auto"/>
                <w:sz w:val="21"/>
                <w:szCs w:val="21"/>
                <w:highlight w:val="none"/>
              </w:rPr>
              <w:t>点用于</w:t>
            </w:r>
            <w:r>
              <w:rPr>
                <w:rFonts w:hint="default" w:ascii="Times New Roman" w:hAnsi="Times New Roman" w:cs="Times New Roman"/>
                <w:color w:val="auto"/>
                <w:sz w:val="21"/>
                <w:szCs w:val="21"/>
                <w:highlight w:val="none"/>
                <w:lang w:val="en-US" w:eastAsia="zh-CN"/>
              </w:rPr>
              <w:t>土地改良。</w:t>
            </w:r>
            <w:r>
              <w:rPr>
                <w:rFonts w:hint="default" w:ascii="Times New Roman" w:hAnsi="Times New Roman" w:cs="Times New Roman"/>
                <w:color w:val="auto"/>
                <w:highlight w:val="none"/>
              </w:rPr>
              <w:t>施工期间，临时道路单侧修建临时排水沟，排水沟长度为</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k</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。排水沟断面设计为梯形，上口宽0.9</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、深0.3</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、坡比1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1，施工结束后结合全面整地和土地复垦拆除。</w:t>
            </w:r>
          </w:p>
          <w:p w14:paraId="4BBB6055">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施工期间对临时堆置表土外表面采取密目网覆盖措施，施工结束后拆除。</w:t>
            </w:r>
          </w:p>
          <w:p w14:paraId="233631B1">
            <w:pPr>
              <w:keepNext w:val="0"/>
              <w:keepLines w:val="0"/>
              <w:pageBreakBefore w:val="0"/>
              <w:numPr>
                <w:ilvl w:val="0"/>
                <w:numId w:val="0"/>
              </w:numPr>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③</w:t>
            </w:r>
            <w:r>
              <w:rPr>
                <w:rFonts w:hint="default" w:ascii="Times New Roman" w:hAnsi="Times New Roman" w:eastAsia="宋体" w:cs="Times New Roman"/>
                <w:color w:val="auto"/>
                <w:sz w:val="24"/>
                <w:szCs w:val="24"/>
                <w:highlight w:val="none"/>
                <w:lang w:val="en-US" w:eastAsia="zh-CN"/>
              </w:rPr>
              <w:t>临时堆土场</w:t>
            </w:r>
            <w:r>
              <w:rPr>
                <w:rFonts w:hint="default" w:ascii="Times New Roman" w:hAnsi="Times New Roman" w:eastAsia="宋体" w:cs="Times New Roman"/>
                <w:color w:val="auto"/>
                <w:kern w:val="0"/>
                <w:sz w:val="24"/>
                <w:szCs w:val="24"/>
                <w:highlight w:val="none"/>
                <w:lang w:val="en-US" w:eastAsia="zh-CN" w:bidi="ar-SA"/>
              </w:rPr>
              <w:t>占地恢复</w:t>
            </w:r>
            <w:r>
              <w:rPr>
                <w:rFonts w:hint="default" w:ascii="Times New Roman" w:hAnsi="Times New Roman" w:eastAsia="宋体" w:cs="Times New Roman"/>
                <w:color w:val="auto"/>
                <w:kern w:val="0"/>
                <w:sz w:val="24"/>
                <w:szCs w:val="20"/>
                <w:highlight w:val="none"/>
                <w:lang w:val="en-US" w:eastAsia="zh-CN" w:bidi="ar-SA"/>
              </w:rPr>
              <w:t>措施</w:t>
            </w:r>
          </w:p>
          <w:p w14:paraId="17A1EE83">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为防止</w:t>
            </w:r>
            <w:r>
              <w:rPr>
                <w:rFonts w:hint="default" w:ascii="Times New Roman" w:hAnsi="Times New Roman" w:cs="Times New Roman"/>
                <w:color w:val="auto"/>
                <w:highlight w:val="none"/>
                <w:lang w:val="en-US" w:eastAsia="zh-CN"/>
              </w:rPr>
              <w:t>表土</w:t>
            </w:r>
            <w:r>
              <w:rPr>
                <w:rFonts w:hint="default" w:ascii="Times New Roman" w:hAnsi="Times New Roman" w:cs="Times New Roman"/>
                <w:color w:val="auto"/>
                <w:highlight w:val="none"/>
              </w:rPr>
              <w:t>堆放期间造成水土流失，在</w:t>
            </w:r>
            <w:r>
              <w:rPr>
                <w:rFonts w:hint="default" w:ascii="Times New Roman" w:hAnsi="Times New Roman" w:cs="Times New Roman"/>
                <w:color w:val="auto"/>
                <w:highlight w:val="none"/>
                <w:lang w:val="en-US" w:eastAsia="zh-CN"/>
              </w:rPr>
              <w:t>表土</w:t>
            </w:r>
            <w:r>
              <w:rPr>
                <w:rFonts w:hint="default" w:ascii="Times New Roman" w:hAnsi="Times New Roman" w:cs="Times New Roman"/>
                <w:color w:val="auto"/>
                <w:highlight w:val="none"/>
              </w:rPr>
              <w:t>的四周采取编织袋装土进行拦挡，编织袋土埂规格设计为梯形，编织袋土埂长度为</w:t>
            </w:r>
            <w:r>
              <w:rPr>
                <w:rFonts w:hint="eastAsia" w:cs="Times New Roman"/>
                <w:color w:val="auto"/>
                <w:highlight w:val="none"/>
                <w:lang w:val="en-US" w:eastAsia="zh-CN"/>
              </w:rPr>
              <w:t>18</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，顶宽0.4</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、高0.3</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、底宽1.0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rPr>
              <w:t>、坡比1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1，施工结束后编织袋土埂拆除。</w:t>
            </w:r>
          </w:p>
          <w:p w14:paraId="41FB18EC">
            <w:pPr>
              <w:pStyle w:val="111"/>
              <w:keepNext w:val="0"/>
              <w:keepLines w:val="0"/>
              <w:pageBreakBefore w:val="0"/>
              <w:widowControl w:val="0"/>
              <w:kinsoku/>
              <w:wordWrap/>
              <w:overflowPunct/>
              <w:autoSpaceDE/>
              <w:autoSpaceDN/>
              <w:bidi w:val="0"/>
              <w:spacing w:line="500" w:lineRule="exact"/>
              <w:ind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考虑到本工程</w:t>
            </w:r>
            <w:r>
              <w:rPr>
                <w:rFonts w:hint="default" w:ascii="Times New Roman" w:hAnsi="Times New Roman" w:cs="Times New Roman"/>
                <w:color w:val="auto"/>
                <w:highlight w:val="none"/>
                <w:lang w:val="en-US" w:eastAsia="zh-CN"/>
              </w:rPr>
              <w:t>弃方</w:t>
            </w:r>
            <w:r>
              <w:rPr>
                <w:rFonts w:hint="default" w:ascii="Times New Roman" w:hAnsi="Times New Roman" w:cs="Times New Roman"/>
                <w:color w:val="auto"/>
                <w:highlight w:val="none"/>
              </w:rPr>
              <w:t>布置在工程沿线的凹地内，水土保持设计在</w:t>
            </w:r>
            <w:r>
              <w:rPr>
                <w:rFonts w:hint="default" w:ascii="Times New Roman" w:hAnsi="Times New Roman" w:cs="Times New Roman"/>
                <w:color w:val="auto"/>
                <w:highlight w:val="none"/>
                <w:lang w:eastAsia="zh-CN"/>
              </w:rPr>
              <w:t>弃渣</w:t>
            </w:r>
            <w:r>
              <w:rPr>
                <w:rFonts w:hint="default" w:ascii="Times New Roman" w:hAnsi="Times New Roman" w:cs="Times New Roman"/>
                <w:color w:val="auto"/>
                <w:highlight w:val="none"/>
              </w:rPr>
              <w:t>结束后，占地区域经全面整地后，采取撒播种草恢复植被，对弃渣外表面进行撒播种草，草种选用早熟禾、紫花苜蓿等，撒播密度80kg/h</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4360C4EE">
            <w:pPr>
              <w:keepNext w:val="0"/>
              <w:keepLines w:val="0"/>
              <w:pageBreakBefore w:val="0"/>
              <w:widowControl w:val="0"/>
              <w:kinsoku/>
              <w:wordWrap/>
              <w:overflowPunct/>
              <w:topLinePunct w:val="0"/>
              <w:autoSpaceDE/>
              <w:autoSpaceDN/>
              <w:bidi w:val="0"/>
              <w:adjustRightInd w:val="0"/>
              <w:snapToGrid w:val="0"/>
              <w:spacing w:line="500" w:lineRule="exact"/>
              <w:ind w:firstLine="42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color w:val="auto"/>
                <w:highlight w:val="none"/>
                <w:lang w:val="en-US" w:eastAsia="zh-CN"/>
              </w:rPr>
              <w:t>④</w:t>
            </w:r>
            <w:r>
              <w:rPr>
                <w:rFonts w:hint="default" w:ascii="Times New Roman" w:hAnsi="Times New Roman" w:eastAsia="宋体" w:cs="Times New Roman"/>
                <w:bCs/>
                <w:color w:val="auto"/>
                <w:spacing w:val="0"/>
                <w:sz w:val="24"/>
                <w:highlight w:val="none"/>
                <w:lang w:val="en-US" w:eastAsia="zh-CN"/>
              </w:rPr>
              <w:t>水域</w:t>
            </w:r>
            <w:r>
              <w:rPr>
                <w:rFonts w:hint="default" w:ascii="Times New Roman" w:hAnsi="Times New Roman" w:eastAsia="宋体" w:cs="Times New Roman"/>
                <w:bCs/>
                <w:color w:val="auto"/>
                <w:spacing w:val="0"/>
                <w:sz w:val="24"/>
                <w:highlight w:val="none"/>
              </w:rPr>
              <w:t>保护措施</w:t>
            </w:r>
          </w:p>
          <w:p w14:paraId="5177F2B6">
            <w:pPr>
              <w:keepNext w:val="0"/>
              <w:keepLines w:val="0"/>
              <w:pageBreakBefore w:val="0"/>
              <w:kinsoku/>
              <w:wordWrap/>
              <w:overflowPunct/>
              <w:autoSpaceDE/>
              <w:autoSpaceDN/>
              <w:bidi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过程中应确定水域施工范围，严禁越界施工；严禁在岸边、河道内清洗车辆；禁止将生活污水、垃圾排入水体，做好施工人员的管理教育工作；认真贯彻落实《中华人民共和国渔业法》和《中华人民共和国水产资源繁殖保护条例》有关规定，禁止随意捕杀鱼类和其它水生生物。严格落实水土保持方案提出的措施，防止陆域施工散落的物料、扰动地表产生的泥沙及废水等污染物通过地表径流进入河流。施工废水、生活污水和生活垃圾不得随意排入河流。有害的施工材料尤其是散装材料的堆放要远离水体，防止随暴雨径流进入水体，影响水质，各类材料应备有防雨遮雨设施。</w:t>
            </w:r>
          </w:p>
          <w:p w14:paraId="04BC3F3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eastAsia="宋体" w:cs="Times New Roman"/>
                <w:bCs/>
                <w:color w:val="auto"/>
                <w:spacing w:val="0"/>
                <w:sz w:val="24"/>
                <w:highlight w:val="none"/>
              </w:rPr>
              <w:t>本工程治理河段内鱼类的种类和数量较少，有少量的常见鱼类，不涉及珍稀鱼类的产卵场、索饵场、越冬场以及洄游通道。施工尽量避开7、8月汛期施工。对河边生长的藻类、昆虫、寡毛类、软体动物、甲壳动物的影响很小。河中鱼的种类和数量较少，鱼类游泳的速度快，反应灵敏，施工时，设备运转，车辆运输，噪声较大，会把鱼类吓跑，因此，施工区域内鱼类数量会很少，但施工结束后声环境恢复平静，鱼类会慢慢得到恢复。</w:t>
            </w:r>
          </w:p>
          <w:p w14:paraId="2F8B6E39">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（5）防火措施</w:t>
            </w:r>
          </w:p>
          <w:p w14:paraId="6AC9481C">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施工人员野外作业必须把火的管理放在首要位置，常抓不懈，杜绝一切隐患。积极贯彻《森林防火条例》，加强防火宣传教育，时时敲响防火警钟，禁止在区域内附近吸烟和生火，做好生活和生产用火的火源管理，建立施工区域内防火及火警警报系统管理制度，明确责任制，最大程度避免发生火灾。</w:t>
            </w:r>
          </w:p>
          <w:p w14:paraId="723A44A1">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eastAsia="宋体" w:cs="Times New Roman"/>
                <w:bCs/>
                <w:color w:val="auto"/>
                <w:spacing w:val="0"/>
                <w:sz w:val="24"/>
                <w:highlight w:val="none"/>
                <w:lang w:val="en-US" w:eastAsia="zh-CN"/>
              </w:rPr>
              <w:t>（6）管理措施</w:t>
            </w:r>
          </w:p>
          <w:p w14:paraId="05358E75">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加强施工期环境保护监理工作，严格落实有关动、植物保护的法律、法规、条例，并加强对施工人员的培训和教育，保护动植物资源，将环境保护条款纳入环保监理合同中。</w:t>
            </w:r>
          </w:p>
          <w:p w14:paraId="7FE9379A">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对于占地的恢复以及水土保持措施中的植物措施都要有专人负责看护，发现死苗、伤苗及时补种、更新。</w:t>
            </w:r>
          </w:p>
          <w:p w14:paraId="5BDABB36">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要求本工程施工运输车辆按照指定运输道路路线行驶，禁止加开新路肆意碾压耕地，减少对地表植被的破坏；同时注意做好路面洒水等防尘工作，减少扬尘影响。临时用地应尽量缩短使用时间，使用后及时恢复土地原来的功能。施工结束后对破坏植被而造成裸露的土地进行植被恢复，使土壤自然疏松，遵循生态学原理采取具体的植被恢复措施。土地开挖时，应将表层土与下层土分开，分层单独收集并保存，暂时堆放于</w:t>
            </w:r>
            <w:r>
              <w:rPr>
                <w:rFonts w:hint="default" w:ascii="Times New Roman" w:hAnsi="Times New Roman" w:eastAsia="宋体" w:cs="Times New Roman"/>
                <w:color w:val="auto"/>
                <w:sz w:val="24"/>
                <w:highlight w:val="none"/>
              </w:rPr>
              <w:t>表土</w:t>
            </w:r>
            <w:r>
              <w:rPr>
                <w:rFonts w:hint="default" w:ascii="Times New Roman" w:hAnsi="Times New Roman" w:eastAsia="宋体" w:cs="Times New Roman"/>
                <w:color w:val="auto"/>
                <w:sz w:val="24"/>
                <w:highlight w:val="none"/>
                <w:lang w:val="en-US" w:eastAsia="zh-CN"/>
              </w:rPr>
              <w:t>堆置区，施工结束后分层进行植被的恢复覆土，临时表土堆场采取临时防护措施，设置</w:t>
            </w:r>
            <w:r>
              <w:rPr>
                <w:rFonts w:hint="default" w:ascii="Times New Roman" w:hAnsi="Times New Roman" w:eastAsia="宋体" w:cs="Times New Roman"/>
                <w:color w:val="auto"/>
                <w:sz w:val="24"/>
                <w:highlight w:val="none"/>
              </w:rPr>
              <w:t>密目网</w:t>
            </w:r>
            <w:r>
              <w:rPr>
                <w:rFonts w:hint="default" w:ascii="Times New Roman" w:hAnsi="Times New Roman" w:eastAsia="宋体" w:cs="Times New Roman"/>
                <w:color w:val="auto"/>
                <w:sz w:val="24"/>
                <w:highlight w:val="none"/>
                <w:lang w:val="en-US" w:eastAsia="zh-CN"/>
              </w:rPr>
              <w:t>覆盖。</w:t>
            </w:r>
          </w:p>
          <w:p w14:paraId="71F557F5">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工程严格落实黑土地保护利用的相关法律法规、规章制度，做好黑土地保护利用工作。应当节约、集约使用黑土地，按照有关标准、规范和管理规定剥离表土，做好表土保护，避免破坏黑土地生态环境。表土剥离、运输、存储过程中，应采取水土保持和扬尘防治措施、必要的工程防护和保育措施，防止土壤和环境污染，防止出现水土流失、土壤质量退化和安全隐患。</w:t>
            </w:r>
          </w:p>
          <w:p w14:paraId="42B6C4A2">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eastAsia="宋体" w:cs="Times New Roman"/>
                <w:b w:val="0"/>
                <w:bCs w:val="0"/>
                <w:color w:val="auto"/>
                <w:spacing w:val="10"/>
                <w:sz w:val="24"/>
                <w:highlight w:val="none"/>
                <w:lang w:val="en-US" w:eastAsia="zh-CN"/>
              </w:rPr>
            </w:pPr>
            <w:r>
              <w:rPr>
                <w:rFonts w:hint="eastAsia" w:cs="Times New Roman"/>
                <w:b w:val="0"/>
                <w:bCs w:val="0"/>
                <w:color w:val="auto"/>
                <w:spacing w:val="10"/>
                <w:sz w:val="24"/>
                <w:highlight w:val="none"/>
                <w:lang w:eastAsia="zh-CN"/>
              </w:rPr>
              <w:t>（</w:t>
            </w:r>
            <w:r>
              <w:rPr>
                <w:rFonts w:hint="eastAsia" w:cs="Times New Roman"/>
                <w:b w:val="0"/>
                <w:bCs w:val="0"/>
                <w:color w:val="auto"/>
                <w:spacing w:val="10"/>
                <w:sz w:val="24"/>
                <w:highlight w:val="none"/>
                <w:lang w:val="en-US" w:eastAsia="zh-CN"/>
              </w:rPr>
              <w:t>8</w:t>
            </w:r>
            <w:r>
              <w:rPr>
                <w:rFonts w:hint="eastAsia" w:cs="Times New Roman"/>
                <w:b w:val="0"/>
                <w:bCs w:val="0"/>
                <w:color w:val="auto"/>
                <w:spacing w:val="10"/>
                <w:sz w:val="24"/>
                <w:highlight w:val="none"/>
                <w:lang w:eastAsia="zh-CN"/>
              </w:rPr>
              <w:t>）</w:t>
            </w:r>
            <w:r>
              <w:rPr>
                <w:rFonts w:hint="eastAsia" w:cs="Times New Roman"/>
                <w:b w:val="0"/>
                <w:bCs w:val="0"/>
                <w:color w:val="auto"/>
                <w:spacing w:val="10"/>
                <w:sz w:val="24"/>
                <w:highlight w:val="none"/>
                <w:lang w:val="en-US" w:eastAsia="zh-CN"/>
              </w:rPr>
              <w:t>生态恢复措施</w:t>
            </w:r>
          </w:p>
          <w:p w14:paraId="06B05E03">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yellow"/>
              </w:rPr>
            </w:pPr>
            <w:r>
              <w:rPr>
                <w:rFonts w:hint="default" w:ascii="Times New Roman" w:hAnsi="Times New Roman" w:cs="Times New Roman"/>
                <w:b w:val="0"/>
                <w:bCs w:val="0"/>
                <w:color w:val="auto"/>
                <w:spacing w:val="10"/>
                <w:sz w:val="24"/>
                <w:highlight w:val="none"/>
              </w:rPr>
              <w:t>避让:</w:t>
            </w:r>
            <w:r>
              <w:rPr>
                <w:rFonts w:hint="default" w:ascii="Times New Roman" w:hAnsi="Times New Roman" w:cs="Times New Roman"/>
                <w:b w:val="0"/>
                <w:bCs w:val="0"/>
                <w:color w:val="auto"/>
                <w:spacing w:val="10"/>
                <w:sz w:val="24"/>
                <w:highlight w:val="yellow"/>
              </w:rPr>
              <w:t>加强施工期间的环境管理，严格按征地进行占地，临时占地尽量少占，减少植被破坏；在施工期间，要禁止捕鱼、破坏占地外的植被；避开鱼类产卵期进行施工，施工采用低噪声设备。</w:t>
            </w:r>
          </w:p>
          <w:p w14:paraId="7C134D0D">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none"/>
              </w:rPr>
            </w:pPr>
            <w:r>
              <w:rPr>
                <w:rFonts w:hint="default" w:ascii="Times New Roman" w:hAnsi="Times New Roman" w:cs="Times New Roman"/>
                <w:b w:val="0"/>
                <w:bCs w:val="0"/>
                <w:color w:val="auto"/>
                <w:spacing w:val="10"/>
                <w:sz w:val="24"/>
                <w:highlight w:val="none"/>
              </w:rPr>
              <w:t>减缓:优化施工工艺，缩短施工工期；施工开始前，进行表土剥离，耕地剥离厚度30cm，草地和林地剥离厚度</w:t>
            </w:r>
            <w:r>
              <w:rPr>
                <w:rFonts w:hint="eastAsia" w:cs="Times New Roman"/>
                <w:b w:val="0"/>
                <w:bCs w:val="0"/>
                <w:color w:val="auto"/>
                <w:spacing w:val="10"/>
                <w:sz w:val="24"/>
                <w:highlight w:val="none"/>
                <w:lang w:val="en-US" w:eastAsia="zh-CN"/>
              </w:rPr>
              <w:t>2</w:t>
            </w:r>
            <w:r>
              <w:rPr>
                <w:rFonts w:hint="default" w:ascii="Times New Roman" w:hAnsi="Times New Roman" w:cs="Times New Roman"/>
                <w:b w:val="0"/>
                <w:bCs w:val="0"/>
                <w:color w:val="auto"/>
                <w:spacing w:val="10"/>
                <w:sz w:val="24"/>
                <w:highlight w:val="none"/>
              </w:rPr>
              <w:t>0cm，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64CF2DD2">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none"/>
              </w:rPr>
            </w:pPr>
            <w:r>
              <w:rPr>
                <w:rFonts w:hint="default" w:ascii="Times New Roman" w:hAnsi="Times New Roman" w:cs="Times New Roman"/>
                <w:b w:val="0"/>
                <w:bCs w:val="0"/>
                <w:color w:val="auto"/>
                <w:spacing w:val="10"/>
                <w:sz w:val="24"/>
                <w:highlight w:val="none"/>
              </w:rPr>
              <w:t>补偿:对于项目临时所占的耕地缴纳土地复垦费、林地缴纳林地补偿费、植被缴纳植被恢复费。</w:t>
            </w:r>
          </w:p>
          <w:p w14:paraId="11FE180C">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none"/>
              </w:rPr>
            </w:pPr>
            <w:r>
              <w:rPr>
                <w:rFonts w:hint="default" w:ascii="Times New Roman" w:hAnsi="Times New Roman" w:cs="Times New Roman"/>
                <w:b w:val="0"/>
                <w:bCs w:val="0"/>
                <w:color w:val="auto"/>
                <w:spacing w:val="10"/>
                <w:sz w:val="24"/>
                <w:highlight w:val="none"/>
              </w:rPr>
              <w:t>恢复:施工结束后对临时占地进行植被恢复和土地复垦。</w:t>
            </w:r>
          </w:p>
          <w:p w14:paraId="661810C3">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none"/>
              </w:rPr>
            </w:pPr>
            <w:r>
              <w:rPr>
                <w:rFonts w:hint="default" w:ascii="Times New Roman" w:hAnsi="Times New Roman" w:cs="Times New Roman"/>
                <w:b w:val="0"/>
                <w:bCs w:val="0"/>
                <w:color w:val="auto"/>
                <w:spacing w:val="10"/>
                <w:sz w:val="24"/>
                <w:highlight w:val="none"/>
              </w:rPr>
              <w:t>管理:施工单位应配备专业环保人员，生态恢复主体为建设单位</w:t>
            </w:r>
            <w:r>
              <w:rPr>
                <w:rFonts w:hint="eastAsia" w:cs="Times New Roman"/>
                <w:b w:val="0"/>
                <w:bCs w:val="0"/>
                <w:color w:val="auto"/>
                <w:spacing w:val="10"/>
                <w:sz w:val="24"/>
                <w:highlight w:val="none"/>
                <w:lang w:eastAsia="zh-CN"/>
              </w:rPr>
              <w:t>庆安县中小型水利工程建设管理中心</w:t>
            </w:r>
            <w:r>
              <w:rPr>
                <w:rFonts w:hint="default" w:ascii="Times New Roman" w:hAnsi="Times New Roman" w:cs="Times New Roman"/>
                <w:b w:val="0"/>
                <w:bCs w:val="0"/>
                <w:color w:val="auto"/>
                <w:spacing w:val="10"/>
                <w:sz w:val="24"/>
                <w:highlight w:val="none"/>
              </w:rPr>
              <w:t>。</w:t>
            </w:r>
          </w:p>
          <w:p w14:paraId="0B78C259">
            <w:pPr>
              <w:keepNext w:val="0"/>
              <w:keepLines w:val="0"/>
              <w:pageBreakBefore w:val="0"/>
              <w:kinsoku/>
              <w:wordWrap/>
              <w:overflowPunct/>
              <w:autoSpaceDE/>
              <w:autoSpaceDN/>
              <w:bidi w:val="0"/>
              <w:adjustRightInd w:val="0"/>
              <w:snapToGrid w:val="0"/>
              <w:spacing w:line="500" w:lineRule="exact"/>
              <w:ind w:firstLine="520" w:firstLineChars="200"/>
              <w:textAlignment w:val="auto"/>
              <w:rPr>
                <w:rFonts w:hint="default" w:ascii="Times New Roman" w:hAnsi="Times New Roman" w:cs="Times New Roman"/>
                <w:b w:val="0"/>
                <w:bCs w:val="0"/>
                <w:color w:val="auto"/>
                <w:spacing w:val="10"/>
                <w:sz w:val="24"/>
                <w:highlight w:val="none"/>
              </w:rPr>
            </w:pPr>
            <w:r>
              <w:rPr>
                <w:rFonts w:hint="default" w:ascii="Times New Roman" w:hAnsi="Times New Roman" w:cs="Times New Roman"/>
                <w:b w:val="0"/>
                <w:bCs w:val="0"/>
                <w:color w:val="auto"/>
                <w:spacing w:val="10"/>
                <w:sz w:val="24"/>
                <w:highlight w:val="none"/>
              </w:rPr>
              <w:t>监测:施工结束后一年内进行生态监测，监测植被恢复情况。</w:t>
            </w:r>
          </w:p>
          <w:p w14:paraId="0D2CEB74">
            <w:pPr>
              <w:keepNext w:val="0"/>
              <w:keepLines w:val="0"/>
              <w:pageBreakBefore w:val="0"/>
              <w:kinsoku/>
              <w:wordWrap/>
              <w:overflowPunct/>
              <w:autoSpaceDE/>
              <w:autoSpaceDN/>
              <w:bidi w:val="0"/>
              <w:adjustRightInd w:val="0"/>
              <w:snapToGrid w:val="0"/>
              <w:spacing w:line="500" w:lineRule="exact"/>
              <w:ind w:firstLine="522" w:firstLineChars="200"/>
              <w:textAlignment w:val="auto"/>
              <w:rPr>
                <w:rFonts w:hint="default" w:ascii="Times New Roman" w:hAnsi="Times New Roman" w:cs="Times New Roman"/>
                <w:b/>
                <w:bCs/>
                <w:color w:val="auto"/>
                <w:spacing w:val="10"/>
                <w:sz w:val="24"/>
                <w:highlight w:val="none"/>
              </w:rPr>
            </w:pPr>
            <w:r>
              <w:rPr>
                <w:rFonts w:hint="default" w:ascii="Times New Roman" w:hAnsi="Times New Roman" w:cs="Times New Roman"/>
                <w:b/>
                <w:bCs/>
                <w:color w:val="auto"/>
                <w:spacing w:val="10"/>
                <w:sz w:val="24"/>
                <w:highlight w:val="none"/>
              </w:rPr>
              <w:t>二、水环境保护措施</w:t>
            </w:r>
          </w:p>
          <w:p w14:paraId="3AA0EE99">
            <w:pPr>
              <w:keepNext w:val="0"/>
              <w:keepLines w:val="0"/>
              <w:pageBreakBefore w:val="0"/>
              <w:kinsoku/>
              <w:wordWrap/>
              <w:overflowPunct/>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根据工程方案及施工工艺分析，施工废水来自施工人员临时生活区产生的生活污水</w:t>
            </w:r>
            <w:r>
              <w:rPr>
                <w:rFonts w:hint="default" w:ascii="Times New Roman" w:hAnsi="Times New Roman" w:cs="Times New Roman"/>
                <w:bCs/>
                <w:color w:val="auto"/>
                <w:sz w:val="24"/>
                <w:highlight w:val="none"/>
                <w:lang w:eastAsia="zh-CN"/>
              </w:rPr>
              <w:t>、混凝土系统拌和废水、基坑废水</w:t>
            </w:r>
            <w:r>
              <w:rPr>
                <w:rFonts w:hint="default" w:ascii="Times New Roman" w:hAnsi="Times New Roman" w:cs="Times New Roman"/>
                <w:bCs/>
                <w:color w:val="auto"/>
                <w:sz w:val="24"/>
                <w:highlight w:val="none"/>
              </w:rPr>
              <w:t>。</w:t>
            </w:r>
          </w:p>
          <w:p w14:paraId="167E04E1">
            <w:pPr>
              <w:keepNext w:val="0"/>
              <w:keepLines w:val="0"/>
              <w:pageBreakBefore w:val="0"/>
              <w:numPr>
                <w:ilvl w:val="0"/>
                <w:numId w:val="0"/>
              </w:numPr>
              <w:kinsoku/>
              <w:wordWrap/>
              <w:overflowPunct/>
              <w:autoSpaceDE/>
              <w:autoSpaceDN/>
              <w:bidi w:val="0"/>
              <w:adjustRightInd w:val="0"/>
              <w:snapToGrid w:val="0"/>
              <w:spacing w:line="500" w:lineRule="exact"/>
              <w:ind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1、</w:t>
            </w:r>
            <w:r>
              <w:rPr>
                <w:rFonts w:hint="default" w:ascii="Times New Roman" w:hAnsi="Times New Roman" w:cs="Times New Roman"/>
                <w:b/>
                <w:bCs w:val="0"/>
                <w:color w:val="auto"/>
                <w:sz w:val="24"/>
                <w:highlight w:val="none"/>
                <w:lang w:eastAsia="zh-CN"/>
              </w:rPr>
              <w:t>生活污水</w:t>
            </w:r>
          </w:p>
          <w:p w14:paraId="4B938885">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在施工生产生活区修建防渗旱厕，共设置</w:t>
            </w:r>
            <w:r>
              <w:rPr>
                <w:rFonts w:hint="eastAsia" w:cs="Times New Roman"/>
                <w:bCs/>
                <w:color w:val="auto"/>
                <w:sz w:val="24"/>
                <w:highlight w:val="none"/>
                <w:lang w:val="en-US" w:eastAsia="zh-CN"/>
              </w:rPr>
              <w:t>1</w:t>
            </w:r>
            <w:r>
              <w:rPr>
                <w:rFonts w:hint="default" w:ascii="Times New Roman" w:hAnsi="Times New Roman" w:cs="Times New Roman"/>
                <w:bCs/>
                <w:color w:val="auto"/>
                <w:sz w:val="24"/>
                <w:highlight w:val="none"/>
              </w:rPr>
              <w:t>个，旱厕的蹲位2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4个，定期清掏，外运</w:t>
            </w:r>
            <w:r>
              <w:rPr>
                <w:rFonts w:hint="default" w:ascii="Times New Roman" w:hAnsi="Times New Roman" w:cs="Times New Roman"/>
                <w:bCs/>
                <w:color w:val="auto"/>
                <w:sz w:val="24"/>
                <w:highlight w:val="none"/>
                <w:lang w:val="en-US" w:eastAsia="zh-CN"/>
              </w:rPr>
              <w:t>堆肥</w:t>
            </w:r>
            <w:r>
              <w:rPr>
                <w:rFonts w:hint="default" w:ascii="Times New Roman" w:hAnsi="Times New Roman" w:cs="Times New Roman"/>
                <w:bCs/>
                <w:color w:val="auto"/>
                <w:sz w:val="24"/>
                <w:highlight w:val="none"/>
              </w:rPr>
              <w:t>。</w:t>
            </w:r>
          </w:p>
          <w:p w14:paraId="4DE554F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drawing>
                <wp:inline distT="0" distB="0" distL="114300" distR="114300">
                  <wp:extent cx="4330700" cy="1941195"/>
                  <wp:effectExtent l="0" t="0" r="12700" b="1905"/>
                  <wp:docPr id="69" name="IM 90"/>
                  <wp:cNvGraphicFramePr/>
                  <a:graphic xmlns:a="http://schemas.openxmlformats.org/drawingml/2006/main">
                    <a:graphicData uri="http://schemas.openxmlformats.org/drawingml/2006/picture">
                      <pic:pic xmlns:pic="http://schemas.openxmlformats.org/drawingml/2006/picture">
                        <pic:nvPicPr>
                          <pic:cNvPr id="69" name="IM 90"/>
                          <pic:cNvPicPr/>
                        </pic:nvPicPr>
                        <pic:blipFill>
                          <a:blip r:embed="rId19"/>
                          <a:stretch>
                            <a:fillRect/>
                          </a:stretch>
                        </pic:blipFill>
                        <pic:spPr>
                          <a:xfrm>
                            <a:off x="0" y="0"/>
                            <a:ext cx="4330700" cy="1941195"/>
                          </a:xfrm>
                          <a:prstGeom prst="rect">
                            <a:avLst/>
                          </a:prstGeom>
                          <a:noFill/>
                          <a:ln>
                            <a:noFill/>
                          </a:ln>
                        </pic:spPr>
                      </pic:pic>
                    </a:graphicData>
                  </a:graphic>
                </wp:inline>
              </w:drawing>
            </w:r>
          </w:p>
          <w:p w14:paraId="4F1CBEC4">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图5—1  防渗旱厕样例</w:t>
            </w:r>
          </w:p>
          <w:p w14:paraId="753E42E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2、</w:t>
            </w:r>
            <w:r>
              <w:rPr>
                <w:rFonts w:hint="default" w:ascii="Times New Roman" w:hAnsi="Times New Roman" w:cs="Times New Roman"/>
                <w:b/>
                <w:bCs w:val="0"/>
                <w:color w:val="auto"/>
                <w:sz w:val="24"/>
                <w:highlight w:val="none"/>
                <w:lang w:eastAsia="zh-CN"/>
              </w:rPr>
              <w:t>混凝土拌和废水</w:t>
            </w:r>
          </w:p>
          <w:p w14:paraId="449A4697">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混凝土拌和系统废水主要来源于混凝土转筒和料罐的冲洗，废水含有较高的悬浮物和pH值。本工程在施工场地设置沉淀池。废水采用沉淀池集中收集，经过沉淀及中和后回用，不向外环境排放。</w:t>
            </w:r>
          </w:p>
          <w:p w14:paraId="6D0FFF66">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eastAsia="zh-CN"/>
              </w:rPr>
              <w:t>项目在施工区设置</w:t>
            </w:r>
            <w:r>
              <w:rPr>
                <w:rFonts w:hint="eastAsia" w:cs="Times New Roman"/>
                <w:bCs/>
                <w:color w:val="auto"/>
                <w:sz w:val="24"/>
                <w:highlight w:val="none"/>
                <w:lang w:val="en-US" w:eastAsia="zh-CN"/>
              </w:rPr>
              <w:t>1</w:t>
            </w:r>
            <w:r>
              <w:rPr>
                <w:rFonts w:hint="default" w:ascii="Times New Roman" w:hAnsi="Times New Roman" w:cs="Times New Roman"/>
                <w:bCs/>
                <w:color w:val="auto"/>
                <w:sz w:val="24"/>
                <w:highlight w:val="none"/>
                <w:lang w:eastAsia="zh-CN"/>
              </w:rPr>
              <w:t>处生产废水处理设施，本次设计拟采取沉淀池、中和池及清水池的组合工艺处理混凝土拌和冲洗废水。沉淀池、中和池及清水池规格为:2m×1.5m×1.5m（长×宽×高）。工程量土方开挖:</w:t>
            </w:r>
            <w:r>
              <w:rPr>
                <w:rFonts w:hint="default" w:ascii="Times New Roman" w:hAnsi="Times New Roman" w:cs="Times New Roman"/>
                <w:bCs/>
                <w:color w:val="auto"/>
                <w:sz w:val="24"/>
                <w:highlight w:val="none"/>
                <w:lang w:val="en-US" w:eastAsia="zh-CN"/>
              </w:rPr>
              <w:t>441.15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，回填:</w:t>
            </w:r>
            <w:r>
              <w:rPr>
                <w:rFonts w:hint="default" w:ascii="Times New Roman" w:hAnsi="Times New Roman" w:cs="Times New Roman"/>
                <w:bCs/>
                <w:color w:val="auto"/>
                <w:sz w:val="24"/>
                <w:highlight w:val="none"/>
                <w:lang w:val="en-US" w:eastAsia="zh-CN"/>
              </w:rPr>
              <w:t>372.45</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，砖砌体:</w:t>
            </w:r>
            <w:r>
              <w:rPr>
                <w:rFonts w:hint="default" w:ascii="Times New Roman" w:hAnsi="Times New Roman" w:cs="Times New Roman"/>
                <w:bCs/>
                <w:color w:val="auto"/>
                <w:sz w:val="24"/>
                <w:highlight w:val="none"/>
                <w:lang w:val="en-US" w:eastAsia="zh-CN"/>
              </w:rPr>
              <w:t>47.70</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。底部采用C30混凝土。垫层采用C20混凝土配钢筋底。</w:t>
            </w:r>
            <w:r>
              <w:rPr>
                <w:rFonts w:hint="default" w:ascii="Times New Roman" w:hAnsi="Times New Roman" w:cs="Times New Roman"/>
                <w:bCs/>
                <w:color w:val="auto"/>
                <w:sz w:val="24"/>
                <w:highlight w:val="none"/>
                <w:lang w:val="en-US" w:eastAsia="zh-CN"/>
              </w:rPr>
              <w:t>施工结束后立即拆除，并清理场地，进行生态恢复。</w:t>
            </w:r>
          </w:p>
          <w:p w14:paraId="0F5694B5">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本项目</w:t>
            </w:r>
            <w:r>
              <w:rPr>
                <w:rFonts w:hint="default" w:ascii="Times New Roman" w:hAnsi="Times New Roman" w:cs="Times New Roman"/>
                <w:bCs/>
                <w:color w:val="auto"/>
                <w:sz w:val="24"/>
                <w:highlight w:val="none"/>
                <w:lang w:val="en-US" w:eastAsia="zh-CN"/>
              </w:rPr>
              <w:t>混凝土拌和冲洗废水产生量为3.6m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/d。设置的沉淀池、中和池及清水池规格可满足水力停留时间要求。本项目工程长度约</w:t>
            </w:r>
            <w:r>
              <w:rPr>
                <w:rFonts w:hint="eastAsia" w:cs="Times New Roman"/>
                <w:bCs/>
                <w:color w:val="auto"/>
                <w:sz w:val="24"/>
                <w:highlight w:val="none"/>
                <w:lang w:val="en-US" w:eastAsia="zh-CN"/>
              </w:rPr>
              <w:t>783</w:t>
            </w:r>
            <w:r>
              <w:rPr>
                <w:rFonts w:hint="default" w:ascii="Times New Roman" w:hAnsi="Times New Roman" w:cs="Times New Roman"/>
                <w:bCs/>
                <w:color w:val="auto"/>
                <w:sz w:val="24"/>
                <w:highlight w:val="none"/>
                <w:lang w:val="en-US" w:eastAsia="zh-CN"/>
              </w:rPr>
              <w:t>m，施工区域宽度为</w:t>
            </w:r>
            <w:r>
              <w:rPr>
                <w:rFonts w:hint="eastAsia" w:cs="Times New Roman"/>
                <w:bCs/>
                <w:color w:val="auto"/>
                <w:sz w:val="24"/>
                <w:highlight w:val="none"/>
                <w:lang w:val="en-US" w:eastAsia="zh-CN"/>
              </w:rPr>
              <w:t>30</w:t>
            </w:r>
            <w:r>
              <w:rPr>
                <w:rFonts w:hint="default" w:ascii="Times New Roman" w:hAnsi="Times New Roman" w:cs="Times New Roman"/>
                <w:bCs/>
                <w:color w:val="auto"/>
                <w:sz w:val="24"/>
                <w:highlight w:val="none"/>
                <w:lang w:val="en-US" w:eastAsia="zh-CN"/>
              </w:rPr>
              <w:t>m，则施工区域面积为</w:t>
            </w:r>
            <w:r>
              <w:rPr>
                <w:rFonts w:hint="eastAsia" w:cs="Times New Roman"/>
                <w:bCs/>
                <w:color w:val="auto"/>
                <w:sz w:val="24"/>
                <w:highlight w:val="none"/>
                <w:lang w:val="en-US" w:eastAsia="zh-CN"/>
              </w:rPr>
              <w:t>23490</w:t>
            </w:r>
            <w:r>
              <w:rPr>
                <w:rFonts w:hint="default" w:ascii="Times New Roman" w:hAnsi="Times New Roman" w:cs="Times New Roman"/>
                <w:bCs/>
                <w:color w:val="auto"/>
                <w:sz w:val="24"/>
                <w:highlight w:val="none"/>
                <w:lang w:val="en-US" w:eastAsia="zh-CN"/>
              </w:rPr>
              <w:t>m</w:t>
            </w:r>
            <w:r>
              <w:rPr>
                <w:rFonts w:hint="default" w:ascii="Times New Roman" w:hAnsi="Times New Roman" w:cs="Times New Roman"/>
                <w:bCs/>
                <w:color w:val="auto"/>
                <w:sz w:val="24"/>
                <w:highlight w:val="none"/>
                <w:vertAlign w:val="superscript"/>
                <w:lang w:val="en-US" w:eastAsia="zh-CN"/>
              </w:rPr>
              <w:t>2</w:t>
            </w:r>
            <w:r>
              <w:rPr>
                <w:rFonts w:hint="default" w:ascii="Times New Roman" w:hAnsi="Times New Roman" w:cs="Times New Roman"/>
                <w:bCs/>
                <w:color w:val="auto"/>
                <w:sz w:val="24"/>
                <w:highlight w:val="none"/>
                <w:lang w:val="en-US" w:eastAsia="zh-CN"/>
              </w:rPr>
              <w:t>，按洒水定额2L/m²，每天四次计算，则洒水</w:t>
            </w:r>
            <w:r>
              <w:rPr>
                <w:rFonts w:hint="eastAsia" w:cs="Times New Roman"/>
                <w:bCs/>
                <w:color w:val="auto"/>
                <w:sz w:val="24"/>
                <w:highlight w:val="none"/>
                <w:lang w:val="en-US" w:eastAsia="zh-CN"/>
              </w:rPr>
              <w:t>日</w:t>
            </w:r>
            <w:r>
              <w:rPr>
                <w:rFonts w:hint="default" w:ascii="Times New Roman" w:hAnsi="Times New Roman" w:cs="Times New Roman"/>
                <w:bCs/>
                <w:color w:val="auto"/>
                <w:sz w:val="24"/>
                <w:highlight w:val="none"/>
                <w:lang w:val="en-US" w:eastAsia="zh-CN"/>
              </w:rPr>
              <w:t>需水量为</w:t>
            </w:r>
            <w:r>
              <w:rPr>
                <w:rFonts w:hint="eastAsia" w:cs="Times New Roman"/>
                <w:bCs/>
                <w:color w:val="auto"/>
                <w:sz w:val="24"/>
                <w:highlight w:val="none"/>
                <w:lang w:val="en-US" w:eastAsia="zh-CN"/>
              </w:rPr>
              <w:t>187.92</w:t>
            </w:r>
            <w:r>
              <w:rPr>
                <w:rFonts w:hint="default" w:ascii="Times New Roman" w:hAnsi="Times New Roman" w:cs="Times New Roman"/>
                <w:bCs/>
                <w:color w:val="auto"/>
                <w:sz w:val="24"/>
                <w:highlight w:val="none"/>
                <w:lang w:val="en-US" w:eastAsia="zh-CN"/>
              </w:rPr>
              <w:t>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。本项目混凝土拌和废水</w:t>
            </w:r>
            <w:r>
              <w:rPr>
                <w:rFonts w:hint="eastAsia" w:cs="Times New Roman"/>
                <w:bCs/>
                <w:color w:val="auto"/>
                <w:sz w:val="24"/>
                <w:highlight w:val="none"/>
                <w:lang w:val="en-US" w:eastAsia="zh-CN"/>
              </w:rPr>
              <w:t>日</w:t>
            </w:r>
            <w:r>
              <w:rPr>
                <w:rFonts w:hint="default" w:ascii="Times New Roman" w:hAnsi="Times New Roman" w:cs="Times New Roman"/>
                <w:bCs/>
                <w:color w:val="auto"/>
                <w:sz w:val="24"/>
                <w:highlight w:val="none"/>
                <w:lang w:val="en-US" w:eastAsia="zh-CN"/>
              </w:rPr>
              <w:t>产生量为</w:t>
            </w:r>
            <w:r>
              <w:rPr>
                <w:rFonts w:hint="eastAsia" w:cs="Times New Roman"/>
                <w:bCs/>
                <w:color w:val="auto"/>
                <w:sz w:val="24"/>
                <w:highlight w:val="none"/>
                <w:lang w:val="en-US" w:eastAsia="zh-CN"/>
              </w:rPr>
              <w:t>150.34</w:t>
            </w:r>
            <w:r>
              <w:rPr>
                <w:rFonts w:hint="default" w:ascii="Times New Roman" w:hAnsi="Times New Roman" w:cs="Times New Roman"/>
                <w:bCs/>
                <w:color w:val="auto"/>
                <w:sz w:val="24"/>
                <w:highlight w:val="none"/>
                <w:lang w:val="en-US" w:eastAsia="zh-CN"/>
              </w:rPr>
              <w:t>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，可全部回用不外排。</w:t>
            </w:r>
            <w:r>
              <w:rPr>
                <w:rFonts w:hint="default" w:ascii="Times New Roman" w:hAnsi="Times New Roman" w:cs="Times New Roman"/>
                <w:bCs/>
                <w:color w:val="auto"/>
                <w:sz w:val="24"/>
                <w:highlight w:val="none"/>
                <w:lang w:eastAsia="zh-CN"/>
              </w:rPr>
              <w:t>处理工艺见下图所示。</w:t>
            </w:r>
          </w:p>
          <w:p w14:paraId="180E9EC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drawing>
                <wp:inline distT="0" distB="0" distL="114300" distR="114300">
                  <wp:extent cx="4424045" cy="2225040"/>
                  <wp:effectExtent l="0" t="0" r="14605" b="3810"/>
                  <wp:docPr id="70" name="IM 88"/>
                  <wp:cNvGraphicFramePr/>
                  <a:graphic xmlns:a="http://schemas.openxmlformats.org/drawingml/2006/main">
                    <a:graphicData uri="http://schemas.openxmlformats.org/drawingml/2006/picture">
                      <pic:pic xmlns:pic="http://schemas.openxmlformats.org/drawingml/2006/picture">
                        <pic:nvPicPr>
                          <pic:cNvPr id="70" name="IM 88"/>
                          <pic:cNvPicPr/>
                        </pic:nvPicPr>
                        <pic:blipFill>
                          <a:blip r:embed="rId20"/>
                          <a:stretch>
                            <a:fillRect/>
                          </a:stretch>
                        </pic:blipFill>
                        <pic:spPr>
                          <a:xfrm>
                            <a:off x="0" y="0"/>
                            <a:ext cx="4424045" cy="2225040"/>
                          </a:xfrm>
                          <a:prstGeom prst="rect">
                            <a:avLst/>
                          </a:prstGeom>
                          <a:noFill/>
                          <a:ln>
                            <a:noFill/>
                          </a:ln>
                        </pic:spPr>
                      </pic:pic>
                    </a:graphicData>
                  </a:graphic>
                </wp:inline>
              </w:drawing>
            </w:r>
          </w:p>
          <w:p w14:paraId="67F28F83">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b/>
                <w:bCs w:val="0"/>
                <w:color w:val="auto"/>
                <w:sz w:val="21"/>
                <w:szCs w:val="21"/>
                <w:highlight w:val="none"/>
                <w:lang w:eastAsia="zh-CN"/>
              </w:rPr>
              <w:t>图</w:t>
            </w:r>
            <w:r>
              <w:rPr>
                <w:rFonts w:hint="default" w:ascii="Times New Roman" w:hAnsi="Times New Roman" w:cs="Times New Roman"/>
                <w:b/>
                <w:bCs w:val="0"/>
                <w:color w:val="auto"/>
                <w:sz w:val="21"/>
                <w:szCs w:val="21"/>
                <w:highlight w:val="none"/>
                <w:lang w:val="en-US" w:eastAsia="zh-CN"/>
              </w:rPr>
              <w:t>5—2  混凝土拌和冲洗废水池典型设计图</w:t>
            </w:r>
          </w:p>
          <w:p w14:paraId="0A17F64F">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0" w:leftChars="0" w:firstLine="482" w:firstLineChars="200"/>
              <w:textAlignment w:val="auto"/>
              <w:rPr>
                <w:rFonts w:hint="default" w:ascii="Times New Roman" w:hAnsi="Times New Roman" w:cs="Times New Roman"/>
                <w:b/>
                <w:bCs w:val="0"/>
                <w:color w:val="auto"/>
                <w:sz w:val="24"/>
                <w:highlight w:val="none"/>
                <w:lang w:eastAsia="zh-CN"/>
              </w:rPr>
            </w:pPr>
            <w:r>
              <w:rPr>
                <w:rFonts w:hint="default" w:ascii="Times New Roman" w:hAnsi="Times New Roman" w:cs="Times New Roman"/>
                <w:b/>
                <w:bCs w:val="0"/>
                <w:color w:val="auto"/>
                <w:kern w:val="2"/>
                <w:sz w:val="24"/>
                <w:szCs w:val="24"/>
                <w:highlight w:val="none"/>
                <w:lang w:val="en-US" w:eastAsia="zh-CN" w:bidi="ar-SA"/>
              </w:rPr>
              <w:t>3、</w:t>
            </w:r>
            <w:r>
              <w:rPr>
                <w:rFonts w:hint="default" w:ascii="Times New Roman" w:hAnsi="Times New Roman" w:cs="Times New Roman"/>
                <w:b/>
                <w:bCs w:val="0"/>
                <w:color w:val="auto"/>
                <w:sz w:val="24"/>
                <w:highlight w:val="none"/>
                <w:lang w:eastAsia="zh-CN"/>
              </w:rPr>
              <w:t>基坑废水</w:t>
            </w:r>
          </w:p>
          <w:p w14:paraId="0382275C">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本工程基坑排水主要是施工基础开挖产生的基坑渗水和雨水，其特点为悬浮物含量高，可在围堰基坑处进行简易沉淀处理，让基坑水静止沉淀2h后，在能做施工用水的情况下尽量综合利用，可回用于施工场地洒水降尘，不外排。</w:t>
            </w:r>
          </w:p>
          <w:p w14:paraId="44ADD324">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2" w:firstLineChars="200"/>
              <w:textAlignment w:val="auto"/>
              <w:rPr>
                <w:rFonts w:hint="default" w:ascii="Times New Roman" w:hAnsi="Times New Roman" w:cs="Times New Roman"/>
                <w:b/>
                <w:bCs w:val="0"/>
                <w:color w:val="auto"/>
                <w:sz w:val="24"/>
                <w:highlight w:val="yellow"/>
                <w:lang w:val="en-US" w:eastAsia="zh-CN"/>
              </w:rPr>
            </w:pPr>
            <w:r>
              <w:rPr>
                <w:rFonts w:hint="default" w:ascii="Times New Roman" w:hAnsi="Times New Roman" w:cs="Times New Roman"/>
                <w:b/>
                <w:bCs w:val="0"/>
                <w:color w:val="auto"/>
                <w:sz w:val="24"/>
                <w:highlight w:val="yellow"/>
                <w:lang w:val="en-US" w:eastAsia="zh-CN"/>
              </w:rPr>
              <w:t>4、施工水环境保护措施</w:t>
            </w:r>
          </w:p>
          <w:p w14:paraId="26535ECB">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leftChars="0" w:firstLine="480" w:firstLineChars="200"/>
              <w:textAlignment w:val="auto"/>
              <w:rPr>
                <w:rFonts w:hint="default" w:ascii="Times New Roman" w:hAnsi="Times New Roman" w:cs="Times New Roman"/>
                <w:bCs/>
                <w:color w:val="auto"/>
                <w:sz w:val="24"/>
                <w:highlight w:val="yellow"/>
                <w:lang w:val="en-US" w:eastAsia="zh-CN"/>
              </w:rPr>
            </w:pPr>
            <w:r>
              <w:rPr>
                <w:rFonts w:hint="default" w:ascii="Times New Roman" w:hAnsi="Times New Roman" w:cs="Times New Roman"/>
                <w:bCs/>
                <w:color w:val="auto"/>
                <w:sz w:val="24"/>
                <w:highlight w:val="yellow"/>
                <w:lang w:val="en-US" w:eastAsia="zh-CN"/>
              </w:rPr>
              <w:t>围堰拆除采用机械分段拆除，减少单次扰动范围，尽量缩短工期。所有施工废水必须经处理回用，严禁直接排入河道。裸露土方、表土及时覆盖，设置排水沟，减少水土流失</w:t>
            </w:r>
            <w:r>
              <w:rPr>
                <w:rFonts w:hint="eastAsia" w:cs="Times New Roman"/>
                <w:bCs/>
                <w:color w:val="auto"/>
                <w:sz w:val="24"/>
                <w:highlight w:val="yellow"/>
                <w:lang w:val="en-US" w:eastAsia="zh-CN"/>
              </w:rPr>
              <w:t>，</w:t>
            </w:r>
            <w:r>
              <w:rPr>
                <w:rFonts w:hint="default" w:ascii="Times New Roman" w:hAnsi="Times New Roman" w:cs="Times New Roman"/>
                <w:sz w:val="24"/>
                <w:szCs w:val="24"/>
                <w:highlight w:val="yellow"/>
                <w:lang w:val="en-US" w:eastAsia="zh-CN"/>
              </w:rPr>
              <w:t>严禁向河道弃土、弃渣</w:t>
            </w:r>
            <w:r>
              <w:rPr>
                <w:rFonts w:hint="default" w:ascii="Times New Roman" w:hAnsi="Times New Roman" w:cs="Times New Roman"/>
                <w:bCs/>
                <w:color w:val="auto"/>
                <w:sz w:val="24"/>
                <w:highlight w:val="yellow"/>
                <w:lang w:val="en-US" w:eastAsia="zh-CN"/>
              </w:rPr>
              <w:t>。</w:t>
            </w:r>
          </w:p>
          <w:p w14:paraId="7235F47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三、环境空气保护措施</w:t>
            </w:r>
          </w:p>
          <w:p w14:paraId="6816624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项目建设单位应强化管理，文明施工。在开挖集中区，土方及时回填，非雨日洒水降尘，每日2次，春季大风日应采取禁止土方开挖或经常洒水降尘的措施，有效防止粉尘及扬尘发生。</w:t>
            </w:r>
          </w:p>
          <w:p w14:paraId="3A680DB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建筑用粉状材料在运输时应对运输车辆加盖</w:t>
            </w:r>
            <w:r>
              <w:rPr>
                <w:rFonts w:hint="default" w:ascii="Times New Roman" w:hAnsi="Times New Roman" w:cs="Times New Roman"/>
                <w:bCs/>
                <w:color w:val="auto"/>
                <w:sz w:val="24"/>
                <w:highlight w:val="none"/>
                <w:lang w:eastAsia="zh-CN"/>
              </w:rPr>
              <w:t>篷布</w:t>
            </w:r>
            <w:r>
              <w:rPr>
                <w:rFonts w:hint="default" w:ascii="Times New Roman" w:hAnsi="Times New Roman" w:cs="Times New Roman"/>
                <w:bCs/>
                <w:color w:val="auto"/>
                <w:sz w:val="24"/>
                <w:highlight w:val="none"/>
              </w:rPr>
              <w:t>，减速慢行，防止运输过程中的二次扬尘污染。</w:t>
            </w:r>
          </w:p>
          <w:p w14:paraId="383D5AD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rPr>
              <w:t>建筑材料必须设固定堆放场，在堆放过程中放入仓库或者用苫布盖好，物料堆放有序，有效减少二次扬尘对环境空气的影响。</w:t>
            </w:r>
          </w:p>
          <w:p w14:paraId="1F51BEB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4、</w:t>
            </w:r>
            <w:r>
              <w:rPr>
                <w:rFonts w:hint="default" w:ascii="Times New Roman" w:hAnsi="Times New Roman" w:cs="Times New Roman"/>
                <w:bCs/>
                <w:color w:val="auto"/>
                <w:sz w:val="24"/>
                <w:highlight w:val="none"/>
              </w:rPr>
              <w:t>施工现场应做好防护工作，通过洒水、</w:t>
            </w:r>
            <w:r>
              <w:rPr>
                <w:rFonts w:hint="default" w:ascii="Times New Roman" w:hAnsi="Times New Roman" w:cs="Times New Roman"/>
                <w:bCs/>
                <w:color w:val="auto"/>
                <w:sz w:val="24"/>
                <w:highlight w:val="none"/>
                <w:lang w:eastAsia="zh-CN"/>
              </w:rPr>
              <w:t>篷布</w:t>
            </w:r>
            <w:r>
              <w:rPr>
                <w:rFonts w:hint="default" w:ascii="Times New Roman" w:hAnsi="Times New Roman" w:cs="Times New Roman"/>
                <w:bCs/>
                <w:color w:val="auto"/>
                <w:sz w:val="24"/>
                <w:highlight w:val="none"/>
              </w:rPr>
              <w:t>遮挡等措施，可有效地防止扬尘的产生，降低对周围环境空气的影响。使用物料应置于密闭仓库中，以减轻粉尘对周围环境空气质量的影响。按照国家有关劳动保护的规定，对产尘量较大的现场作业人员，发放防尘劳保用品如防尘口罩等。</w:t>
            </w:r>
          </w:p>
          <w:p w14:paraId="2F80290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施工机械定期检查、维修，确保施工机械和车辆各项环保指标符合尾气排放要求。运输车辆和施工机械选用优质、污染小的燃油。运输车辆应配备车轮洗刷设备，或在离开施工场地时用软管冲洗。合理安排施工运输车辆行驶时间，缩短道路扬尘影响时段。施工期，对于发动机耗油多、效率低、排放尾气严重超标的老、旧车辆，要及时更新。</w:t>
            </w:r>
          </w:p>
          <w:p w14:paraId="2BBE081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lang w:eastAsia="zh-CN"/>
              </w:rPr>
              <w:t>本工程不新建大型混凝土搅拌站，根据工程初设，工程施工配置1台0.</w:t>
            </w:r>
            <w:r>
              <w:rPr>
                <w:rFonts w:hint="default" w:ascii="Times New Roman" w:hAnsi="Times New Roman" w:cs="Times New Roman"/>
                <w:bCs/>
                <w:color w:val="auto"/>
                <w:sz w:val="24"/>
                <w:highlight w:val="none"/>
                <w:lang w:val="en-US" w:eastAsia="zh-CN"/>
              </w:rPr>
              <w:t>8</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vertAlign w:val="superscript"/>
                <w:lang w:eastAsia="zh-CN"/>
              </w:rPr>
              <w:t>3</w:t>
            </w:r>
            <w:r>
              <w:rPr>
                <w:rFonts w:hint="default" w:ascii="Times New Roman" w:hAnsi="Times New Roman" w:cs="Times New Roman"/>
                <w:bCs/>
                <w:color w:val="auto"/>
                <w:sz w:val="24"/>
                <w:highlight w:val="none"/>
                <w:lang w:eastAsia="zh-CN"/>
              </w:rPr>
              <w:t>砼拌和机，其设置应满足以下要求:</w:t>
            </w:r>
          </w:p>
          <w:p w14:paraId="4AFC975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①避开环境敏感区，远离居民点，布局在当地主导风向的下风向；拌和机应设置在罩棚内，不应露天作业，并配备除尘设施处理非常，周边配备洒水车或移动式雾炮机。</w:t>
            </w:r>
          </w:p>
          <w:p w14:paraId="11D7CCF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lang w:eastAsia="zh-CN"/>
              </w:rPr>
            </w:pPr>
            <w:r>
              <w:rPr>
                <w:rFonts w:hint="default" w:ascii="Times New Roman" w:hAnsi="Times New Roman" w:cs="Times New Roman"/>
                <w:bCs/>
                <w:color w:val="auto"/>
                <w:sz w:val="24"/>
                <w:highlight w:val="none"/>
                <w:lang w:eastAsia="zh-CN"/>
              </w:rPr>
              <w:t>②落实人员和措施保持道路及场地清洁，车辆行驶时无明显扬尘。各类混凝土生产需用的骨料堆场，均应分类加装控制扬尘的封闭式库房，确保骨料堆置于库房之中；</w:t>
            </w:r>
          </w:p>
          <w:p w14:paraId="29AE0DC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eastAsia="zh-CN"/>
              </w:rPr>
              <w:t>③搅拌车装料后，或从工地卸料后均应保持车辆外观清洁，严禁带泥上路、杜绝"跑、冒、滴、漏"现象的发生。</w:t>
            </w:r>
          </w:p>
          <w:p w14:paraId="284C2299">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7、</w:t>
            </w:r>
            <w:r>
              <w:rPr>
                <w:rFonts w:hint="default" w:ascii="Times New Roman" w:hAnsi="Times New Roman" w:eastAsia="宋体" w:cs="Times New Roman"/>
                <w:bCs/>
                <w:color w:val="auto"/>
                <w:spacing w:val="0"/>
                <w:sz w:val="24"/>
                <w:highlight w:val="none"/>
              </w:rPr>
              <w:t>按照国家有关劳动保护的规定，对产尘量较大的现场作业人员，发放防尘劳保用品如防尘口罩等。</w:t>
            </w:r>
          </w:p>
          <w:p w14:paraId="3BFC3921">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snapToGrid w:val="0"/>
                <w:color w:val="auto"/>
                <w:sz w:val="24"/>
                <w:highlight w:val="none"/>
              </w:rPr>
            </w:pPr>
            <w:r>
              <w:rPr>
                <w:rFonts w:hint="default" w:ascii="Times New Roman" w:hAnsi="Times New Roman" w:cs="Times New Roman"/>
                <w:color w:val="auto"/>
                <w:sz w:val="24"/>
                <w:highlight w:val="none"/>
              </w:rPr>
              <w:t>采取以上措施后能有效减少施工期大气污染，施工期无组织颗粒物满足</w:t>
            </w:r>
            <w:r>
              <w:rPr>
                <w:rFonts w:hint="default" w:ascii="Times New Roman" w:hAnsi="Times New Roman" w:cs="Times New Roman"/>
                <w:color w:val="auto"/>
                <w:kern w:val="0"/>
                <w:sz w:val="24"/>
                <w:highlight w:val="none"/>
              </w:rPr>
              <w:t>《大气污染物综合排放标准》（GB16297</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1996）表2中无组织排放监控浓度限值要求</w:t>
            </w:r>
            <w:r>
              <w:rPr>
                <w:rFonts w:hint="default" w:ascii="Times New Roman" w:hAnsi="Times New Roman" w:cs="Times New Roman"/>
                <w:color w:val="auto"/>
                <w:sz w:val="24"/>
                <w:highlight w:val="none"/>
                <w:lang w:eastAsia="zh-CN"/>
              </w:rPr>
              <w:t>；柴油发电机以无组织形式排放可以满足</w:t>
            </w:r>
            <w:r>
              <w:rPr>
                <w:rFonts w:hint="default" w:ascii="Times New Roman" w:hAnsi="Times New Roman" w:cs="Times New Roman"/>
                <w:color w:val="auto"/>
                <w:sz w:val="24"/>
                <w:highlight w:val="none"/>
                <w:lang w:val="en-US" w:eastAsia="zh-CN"/>
              </w:rPr>
              <w:t>《非道路移动机械用柴油机排气污染物排放限值及测量方法（中国第三、四阶段）》（GB20891—2014）中表2相关标准限值要求，</w:t>
            </w:r>
            <w:r>
              <w:rPr>
                <w:rFonts w:hint="default" w:ascii="Times New Roman" w:hAnsi="Times New Roman" w:cs="Times New Roman"/>
                <w:color w:val="auto"/>
                <w:sz w:val="24"/>
                <w:highlight w:val="none"/>
              </w:rPr>
              <w:t>具有可行性</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施工期对大气环境的影响暂时的，随着施工活动结束，影响消失。</w:t>
            </w:r>
          </w:p>
          <w:p w14:paraId="6110AB0D">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8、</w:t>
            </w:r>
            <w:r>
              <w:rPr>
                <w:rFonts w:hint="default" w:ascii="Times New Roman" w:hAnsi="Times New Roman" w:cs="Times New Roman"/>
                <w:bCs/>
                <w:color w:val="auto"/>
                <w:sz w:val="24"/>
                <w:highlight w:val="none"/>
              </w:rPr>
              <w:t>对敏感目标的保护措施</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优化运输路线，避开或远离居民区，无法避让情况下运输车辆途经环境空气敏感目标时，实行限速管理，时速应小于20k</w:t>
            </w:r>
            <w:r>
              <w:rPr>
                <w:rFonts w:hint="default" w:ascii="Times New Roman" w:hAnsi="Times New Roman" w:cs="Times New Roman"/>
                <w:bCs/>
                <w:color w:val="auto"/>
                <w:sz w:val="24"/>
                <w:highlight w:val="none"/>
                <w:lang w:eastAsia="zh-CN"/>
              </w:rPr>
              <w:t>m</w:t>
            </w:r>
            <w:r>
              <w:rPr>
                <w:rFonts w:hint="default" w:ascii="Times New Roman" w:hAnsi="Times New Roman" w:cs="Times New Roman"/>
                <w:bCs/>
                <w:color w:val="auto"/>
                <w:sz w:val="24"/>
                <w:highlight w:val="none"/>
              </w:rPr>
              <w:t>/h</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干旱、多风季节，路段每天洒水不少于两次。运输土方、垃圾等易产生扬尘污染的车辆，进出施工现场必须封闭，严禁撒漏。临时堆放的土方等应进行覆盖，以防尘土飞扬对居民的影响。加快施工进度，遇四级风以上天气不得进行土方回填及转运等可能产生扬尘污染的施工作业。通过采取以上措施后，可</w:t>
            </w:r>
            <w:r>
              <w:rPr>
                <w:rFonts w:hint="default" w:ascii="Times New Roman" w:hAnsi="Times New Roman" w:cs="Times New Roman"/>
                <w:bCs/>
                <w:color w:val="auto"/>
                <w:sz w:val="24"/>
                <w:highlight w:val="none"/>
                <w:lang w:eastAsia="zh-CN"/>
              </w:rPr>
              <w:t>将</w:t>
            </w:r>
            <w:r>
              <w:rPr>
                <w:rFonts w:hint="default" w:ascii="Times New Roman" w:hAnsi="Times New Roman" w:cs="Times New Roman"/>
                <w:bCs/>
                <w:color w:val="auto"/>
                <w:sz w:val="24"/>
                <w:highlight w:val="none"/>
              </w:rPr>
              <w:t>敏感目标的影响降到最低，影响可接受。</w:t>
            </w:r>
          </w:p>
          <w:p w14:paraId="6CD517D9">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四、声环境保护措施</w:t>
            </w:r>
          </w:p>
          <w:p w14:paraId="3F6D385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1、</w:t>
            </w:r>
            <w:r>
              <w:rPr>
                <w:rFonts w:hint="default" w:ascii="Times New Roman" w:hAnsi="Times New Roman" w:eastAsia="宋体" w:cs="Times New Roman"/>
                <w:bCs/>
                <w:color w:val="auto"/>
                <w:spacing w:val="0"/>
                <w:sz w:val="24"/>
                <w:highlight w:val="none"/>
              </w:rPr>
              <w:t>在满足施工需要的前提下，尽可能选取噪声低、振动小、能耗小的先进设备，加强对施工机械的维护保养，避免由于设备性能差而使机械噪声增大的现象发生；</w:t>
            </w:r>
          </w:p>
          <w:p w14:paraId="1436014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cs="Times New Roman"/>
                <w:bCs/>
                <w:color w:val="auto"/>
                <w:spacing w:val="0"/>
                <w:sz w:val="24"/>
                <w:highlight w:val="none"/>
                <w:lang w:val="en-US" w:eastAsia="zh-CN"/>
              </w:rPr>
              <w:t>2、</w:t>
            </w:r>
            <w:r>
              <w:rPr>
                <w:rFonts w:hint="default" w:ascii="Times New Roman" w:hAnsi="Times New Roman" w:eastAsia="宋体" w:cs="Times New Roman"/>
                <w:bCs/>
                <w:color w:val="auto"/>
                <w:spacing w:val="0"/>
                <w:sz w:val="24"/>
                <w:highlight w:val="none"/>
              </w:rPr>
              <w:t>合理规划施工平面，将高噪设备设置在远离敏感点处并设围挡，对主要施工机械采取加防振垫和隔声罩等有效措施减轻噪声污染；在敏感目标前设置移动隔声屏障，移动隔声屏障高度为3</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，长度能够覆盖敏感目标（长度超出敏感目标两侧各10</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r>
              <w:rPr>
                <w:rFonts w:hint="default" w:ascii="Times New Roman" w:hAnsi="Times New Roman" w:eastAsia="宋体" w:cs="Times New Roman"/>
                <w:bCs/>
                <w:color w:val="auto"/>
                <w:spacing w:val="0"/>
                <w:sz w:val="24"/>
                <w:highlight w:val="none"/>
                <w:lang w:eastAsia="zh-CN"/>
              </w:rPr>
              <w:t>。</w:t>
            </w:r>
          </w:p>
          <w:p w14:paraId="6A4BCB0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3、</w:t>
            </w:r>
            <w:r>
              <w:rPr>
                <w:rFonts w:hint="default" w:ascii="Times New Roman" w:hAnsi="Times New Roman" w:eastAsia="宋体" w:cs="Times New Roman"/>
                <w:bCs/>
                <w:color w:val="auto"/>
                <w:spacing w:val="0"/>
                <w:sz w:val="24"/>
                <w:highlight w:val="none"/>
              </w:rPr>
              <w:t>施工现场</w:t>
            </w:r>
            <w:r>
              <w:rPr>
                <w:rFonts w:hint="default" w:ascii="Times New Roman" w:hAnsi="Times New Roman" w:eastAsia="宋体" w:cs="Times New Roman"/>
                <w:bCs/>
                <w:color w:val="auto"/>
                <w:spacing w:val="0"/>
                <w:sz w:val="24"/>
                <w:highlight w:val="none"/>
                <w:lang w:val="en-US" w:eastAsia="zh-CN"/>
              </w:rPr>
              <w:t>四周设置</w:t>
            </w:r>
            <w:r>
              <w:rPr>
                <w:rFonts w:hint="default" w:ascii="Times New Roman" w:hAnsi="Times New Roman" w:eastAsia="宋体" w:cs="Times New Roman"/>
                <w:bCs/>
                <w:color w:val="auto"/>
                <w:spacing w:val="0"/>
                <w:sz w:val="24"/>
                <w:highlight w:val="none"/>
              </w:rPr>
              <w:t>围挡，围挡高度不低于2</w:t>
            </w:r>
            <w:r>
              <w:rPr>
                <w:rFonts w:hint="default" w:ascii="Times New Roman" w:hAnsi="Times New Roman" w:cs="Times New Roman"/>
                <w:bCs/>
                <w:color w:val="auto"/>
                <w:spacing w:val="0"/>
                <w:sz w:val="24"/>
                <w:highlight w:val="none"/>
                <w:lang w:eastAsia="zh-CN"/>
              </w:rPr>
              <w:t>m</w:t>
            </w:r>
            <w:r>
              <w:rPr>
                <w:rFonts w:hint="default" w:ascii="Times New Roman" w:hAnsi="Times New Roman" w:eastAsia="宋体" w:cs="Times New Roman"/>
                <w:bCs/>
                <w:color w:val="auto"/>
                <w:spacing w:val="0"/>
                <w:sz w:val="24"/>
                <w:highlight w:val="none"/>
              </w:rPr>
              <w:t>；</w:t>
            </w:r>
          </w:p>
          <w:p w14:paraId="29E0176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4、</w:t>
            </w:r>
            <w:r>
              <w:rPr>
                <w:rFonts w:hint="default" w:ascii="Times New Roman" w:hAnsi="Times New Roman" w:eastAsia="宋体" w:cs="Times New Roman"/>
                <w:bCs/>
                <w:color w:val="auto"/>
                <w:spacing w:val="0"/>
                <w:sz w:val="24"/>
                <w:highlight w:val="none"/>
              </w:rPr>
              <w:t>施工部门应统筹安排好施工时间，根据施工作业各阶段的具体情况，尽量避免高噪声机械设备集中使用或几台声功率相同的设备同时、同点作业，以减少作业时的</w:t>
            </w:r>
            <w:r>
              <w:rPr>
                <w:rFonts w:hint="default" w:ascii="Times New Roman" w:hAnsi="Times New Roman" w:eastAsia="宋体" w:cs="Times New Roman"/>
                <w:bCs/>
                <w:color w:val="auto"/>
                <w:spacing w:val="0"/>
                <w:sz w:val="24"/>
                <w:highlight w:val="none"/>
                <w:lang w:eastAsia="zh-CN"/>
              </w:rPr>
              <w:t>噪声</w:t>
            </w:r>
            <w:r>
              <w:rPr>
                <w:rFonts w:hint="default" w:ascii="Times New Roman" w:hAnsi="Times New Roman" w:eastAsia="宋体" w:cs="Times New Roman"/>
                <w:bCs/>
                <w:color w:val="auto"/>
                <w:spacing w:val="0"/>
                <w:sz w:val="24"/>
                <w:highlight w:val="none"/>
              </w:rPr>
              <w:t>；在保证施工进度的前提下，合理安排作业时间，把排放噪声强度大的应尽量安排在白天施工，禁止夜间（22</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00</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6</w:t>
            </w:r>
            <w:r>
              <w:rPr>
                <w:rFonts w:hint="default" w:ascii="Times New Roman" w:hAnsi="Times New Roman" w:cs="Times New Roman"/>
                <w:bCs/>
                <w:color w:val="auto"/>
                <w:spacing w:val="0"/>
                <w:sz w:val="24"/>
                <w:highlight w:val="none"/>
                <w:lang w:eastAsia="zh-CN"/>
              </w:rPr>
              <w:t>:</w:t>
            </w:r>
            <w:r>
              <w:rPr>
                <w:rFonts w:hint="default" w:ascii="Times New Roman" w:hAnsi="Times New Roman" w:eastAsia="宋体" w:cs="Times New Roman"/>
                <w:bCs/>
                <w:color w:val="auto"/>
                <w:spacing w:val="0"/>
                <w:sz w:val="24"/>
                <w:highlight w:val="none"/>
              </w:rPr>
              <w:t>00）施工。</w:t>
            </w:r>
          </w:p>
          <w:p w14:paraId="1150469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5、</w:t>
            </w:r>
            <w:r>
              <w:rPr>
                <w:rFonts w:hint="default" w:ascii="Times New Roman" w:hAnsi="Times New Roman" w:eastAsia="宋体" w:cs="Times New Roman"/>
                <w:bCs/>
                <w:color w:val="auto"/>
                <w:spacing w:val="0"/>
                <w:sz w:val="24"/>
                <w:highlight w:val="none"/>
              </w:rPr>
              <w:t>加强施工期管理，运输车辆进入现场应减速，并禁止鸣笛；</w:t>
            </w:r>
          </w:p>
          <w:p w14:paraId="2FCB1AF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cs="Times New Roman"/>
                <w:bCs/>
                <w:color w:val="auto"/>
                <w:spacing w:val="0"/>
                <w:sz w:val="24"/>
                <w:highlight w:val="none"/>
                <w:lang w:val="en-US" w:eastAsia="zh-CN"/>
              </w:rPr>
              <w:t>6、</w:t>
            </w:r>
            <w:r>
              <w:rPr>
                <w:rFonts w:hint="default" w:ascii="Times New Roman" w:hAnsi="Times New Roman" w:eastAsia="宋体" w:cs="Times New Roman"/>
                <w:bCs/>
                <w:color w:val="auto"/>
                <w:spacing w:val="0"/>
                <w:sz w:val="24"/>
                <w:highlight w:val="none"/>
                <w:lang w:val="en-US" w:eastAsia="zh-CN"/>
              </w:rPr>
              <w:t>原料运输过程中，合理安排运输时间，减速慢行，</w:t>
            </w:r>
            <w:r>
              <w:rPr>
                <w:rFonts w:hint="default" w:ascii="Times New Roman" w:hAnsi="Times New Roman" w:eastAsia="宋体" w:cs="Times New Roman"/>
                <w:bCs/>
                <w:color w:val="auto"/>
                <w:spacing w:val="0"/>
                <w:sz w:val="24"/>
                <w:highlight w:val="none"/>
              </w:rPr>
              <w:t>并禁止鸣笛；</w:t>
            </w:r>
          </w:p>
          <w:p w14:paraId="4DF69CD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pacing w:val="0"/>
                <w:sz w:val="24"/>
                <w:highlight w:val="none"/>
              </w:rPr>
            </w:pPr>
            <w:r>
              <w:rPr>
                <w:rFonts w:hint="default" w:ascii="Times New Roman" w:hAnsi="Times New Roman" w:cs="Times New Roman"/>
                <w:bCs/>
                <w:color w:val="auto"/>
                <w:spacing w:val="0"/>
                <w:sz w:val="24"/>
                <w:highlight w:val="none"/>
                <w:lang w:val="en-US" w:eastAsia="zh-CN"/>
              </w:rPr>
              <w:t>7、</w:t>
            </w:r>
            <w:r>
              <w:rPr>
                <w:rFonts w:hint="default" w:ascii="Times New Roman" w:hAnsi="Times New Roman" w:eastAsia="宋体" w:cs="Times New Roman"/>
                <w:bCs/>
                <w:color w:val="auto"/>
                <w:spacing w:val="0"/>
                <w:sz w:val="24"/>
                <w:highlight w:val="none"/>
              </w:rPr>
              <w:t>加快施工进度，合理安排工期，施工期间精心组织施工，禁止高噪声设备夜间施工。</w:t>
            </w:r>
          </w:p>
          <w:p w14:paraId="53AD64A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在施工前张贴施工公告，并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周边居民协调好关系；加强施工单位的宣传教育工作，</w:t>
            </w:r>
            <w:r>
              <w:rPr>
                <w:rFonts w:hint="default" w:ascii="Times New Roman" w:hAnsi="Times New Roman" w:cs="Times New Roman"/>
                <w:color w:val="auto"/>
                <w:sz w:val="24"/>
                <w:highlight w:val="none"/>
                <w:lang w:eastAsia="zh-CN"/>
              </w:rPr>
              <w:t>增强</w:t>
            </w:r>
            <w:r>
              <w:rPr>
                <w:rFonts w:hint="default" w:ascii="Times New Roman" w:hAnsi="Times New Roman" w:cs="Times New Roman"/>
                <w:color w:val="auto"/>
                <w:sz w:val="24"/>
                <w:highlight w:val="none"/>
              </w:rPr>
              <w:t>施工单位的环保意识；及时淘汰落后的施工机械设备，改进施工工艺和技术，以最小噪声工艺和机械设备替换传统的大噪</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型机械设备</w:t>
            </w:r>
            <w:r>
              <w:rPr>
                <w:rFonts w:hint="default" w:ascii="Times New Roman" w:hAnsi="Times New Roman" w:cs="Times New Roman"/>
                <w:color w:val="auto"/>
                <w:sz w:val="24"/>
                <w:highlight w:val="none"/>
                <w:lang w:eastAsia="zh-CN"/>
              </w:rPr>
              <w:t>，选用列入国家低噪声施工设备指导名录的机械设备</w:t>
            </w:r>
            <w:r>
              <w:rPr>
                <w:rFonts w:hint="default" w:ascii="Times New Roman" w:hAnsi="Times New Roman" w:cs="Times New Roman"/>
                <w:color w:val="auto"/>
                <w:sz w:val="24"/>
                <w:highlight w:val="none"/>
              </w:rPr>
              <w:t>。禁止夜间施工，</w:t>
            </w:r>
            <w:r>
              <w:rPr>
                <w:rFonts w:hint="default" w:ascii="Times New Roman" w:hAnsi="Times New Roman" w:cs="Times New Roman"/>
                <w:color w:val="auto"/>
                <w:sz w:val="24"/>
                <w:highlight w:val="none"/>
                <w:lang w:val="en-US" w:eastAsia="zh-CN"/>
              </w:rPr>
              <w:t>对</w:t>
            </w:r>
            <w:r>
              <w:rPr>
                <w:rFonts w:hint="default" w:ascii="Times New Roman" w:hAnsi="Times New Roman" w:cs="Times New Roman"/>
                <w:color w:val="auto"/>
                <w:sz w:val="24"/>
                <w:highlight w:val="none"/>
              </w:rPr>
              <w:t>高噪声设备（如空压机、发电机、混凝土泵车）设置独立的隔声房或隔声棚</w:t>
            </w:r>
            <w:r>
              <w:rPr>
                <w:rFonts w:hint="default" w:ascii="Times New Roman" w:hAnsi="Times New Roman" w:cs="Times New Roman"/>
                <w:color w:val="auto"/>
                <w:sz w:val="24"/>
                <w:highlight w:val="none"/>
                <w:lang w:eastAsia="zh-CN"/>
              </w:rPr>
              <w:t>，对固定设备基础进行隔振处理，</w:t>
            </w:r>
            <w:r>
              <w:rPr>
                <w:rFonts w:hint="default" w:ascii="Times New Roman" w:hAnsi="Times New Roman" w:cs="Times New Roman"/>
                <w:color w:val="auto"/>
                <w:sz w:val="24"/>
                <w:highlight w:val="none"/>
              </w:rPr>
              <w:t>高噪声机械设置在远离居民点一侧，加强设备维护，确保设备处于正常运行状态，避免因故障产生额外噪声</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综上所述，</w:t>
            </w:r>
            <w:r>
              <w:rPr>
                <w:rFonts w:hint="default" w:ascii="Times New Roman" w:hAnsi="Times New Roman" w:cs="Times New Roman"/>
                <w:color w:val="auto"/>
                <w:sz w:val="24"/>
                <w:highlight w:val="none"/>
              </w:rPr>
              <w:t>尽可能采取</w:t>
            </w:r>
            <w:r>
              <w:rPr>
                <w:rFonts w:hint="default" w:ascii="Times New Roman" w:hAnsi="Times New Roman" w:cs="Times New Roman"/>
                <w:color w:val="auto"/>
                <w:sz w:val="24"/>
                <w:highlight w:val="none"/>
                <w:lang w:val="en-US" w:eastAsia="zh-CN"/>
              </w:rPr>
              <w:t>低噪设备、</w:t>
            </w:r>
            <w:r>
              <w:rPr>
                <w:rFonts w:hint="default" w:ascii="Times New Roman" w:hAnsi="Times New Roman" w:cs="Times New Roman"/>
                <w:color w:val="auto"/>
                <w:sz w:val="24"/>
                <w:highlight w:val="none"/>
              </w:rPr>
              <w:t>隔</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、减</w:t>
            </w:r>
            <w:r>
              <w:rPr>
                <w:rFonts w:hint="default" w:ascii="Times New Roman" w:hAnsi="Times New Roman" w:cs="Times New Roman"/>
                <w:color w:val="auto"/>
                <w:sz w:val="24"/>
                <w:highlight w:val="none"/>
                <w:lang w:val="en-US" w:eastAsia="zh-CN"/>
              </w:rPr>
              <w:t>振</w:t>
            </w:r>
            <w:r>
              <w:rPr>
                <w:rFonts w:hint="default" w:ascii="Times New Roman" w:hAnsi="Times New Roman" w:cs="Times New Roman"/>
                <w:color w:val="auto"/>
                <w:sz w:val="24"/>
                <w:highlight w:val="none"/>
              </w:rPr>
              <w:t>、消声等措施，</w:t>
            </w:r>
            <w:r>
              <w:rPr>
                <w:rFonts w:hint="default" w:ascii="Times New Roman" w:hAnsi="Times New Roman" w:cs="Times New Roman"/>
                <w:color w:val="auto"/>
                <w:sz w:val="24"/>
                <w:highlight w:val="none"/>
                <w:lang w:val="en-US" w:eastAsia="zh-CN"/>
              </w:rPr>
              <w:t>采用成熟施工技术和有效管理措施，</w:t>
            </w:r>
            <w:r>
              <w:rPr>
                <w:rFonts w:hint="default" w:ascii="Times New Roman" w:hAnsi="Times New Roman" w:cs="Times New Roman"/>
                <w:color w:val="auto"/>
                <w:sz w:val="24"/>
                <w:highlight w:val="none"/>
              </w:rPr>
              <w:t>可使附近居民点处的声环境满足《声环境质量标准》（GB3096</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2008）1类标准。</w:t>
            </w:r>
          </w:p>
          <w:p w14:paraId="2D738E48">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
                <w:bCs/>
                <w:color w:val="auto"/>
                <w:sz w:val="24"/>
                <w:highlight w:val="none"/>
              </w:rPr>
              <w:t>五、固体废物处置措施</w:t>
            </w:r>
          </w:p>
          <w:p w14:paraId="69DA0BF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w:t>
            </w:r>
            <w:r>
              <w:rPr>
                <w:rFonts w:hint="default" w:ascii="Times New Roman" w:hAnsi="Times New Roman" w:cs="Times New Roman"/>
                <w:color w:val="auto"/>
                <w:sz w:val="24"/>
                <w:szCs w:val="24"/>
                <w:highlight w:val="none"/>
              </w:rPr>
              <w:t>工程产生弃</w:t>
            </w:r>
            <w:r>
              <w:rPr>
                <w:rFonts w:hint="default" w:ascii="Times New Roman" w:hAnsi="Times New Roman" w:cs="Times New Roman"/>
                <w:color w:val="auto"/>
                <w:sz w:val="24"/>
                <w:szCs w:val="24"/>
                <w:highlight w:val="none"/>
                <w:lang w:val="en-US" w:eastAsia="zh-CN"/>
              </w:rPr>
              <w:t>方</w:t>
            </w:r>
            <w:r>
              <w:rPr>
                <w:rFonts w:hint="eastAsia" w:cs="Times New Roman"/>
                <w:color w:val="auto"/>
                <w:sz w:val="24"/>
                <w:szCs w:val="24"/>
                <w:highlight w:val="none"/>
                <w:lang w:val="en-US" w:eastAsia="zh-CN"/>
              </w:rPr>
              <w:t>46517.19</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其中土方余方</w:t>
            </w:r>
            <w:r>
              <w:rPr>
                <w:rFonts w:hint="eastAsia" w:cs="Times New Roman"/>
                <w:color w:val="auto"/>
                <w:sz w:val="24"/>
                <w:szCs w:val="24"/>
                <w:highlight w:val="none"/>
                <w:lang w:val="en-US" w:eastAsia="zh-CN"/>
              </w:rPr>
              <w:t>38457.99</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就近填塘；表土</w:t>
            </w:r>
            <w:r>
              <w:rPr>
                <w:rFonts w:hint="eastAsia" w:cs="Times New Roman"/>
                <w:color w:val="auto"/>
                <w:sz w:val="24"/>
                <w:szCs w:val="24"/>
                <w:highlight w:val="none"/>
                <w:lang w:val="en-US" w:eastAsia="zh-CN"/>
              </w:rPr>
              <w:t>8059.20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临时堆存在表土暂存场，</w:t>
            </w:r>
            <w:r>
              <w:rPr>
                <w:rFonts w:hint="default" w:ascii="Times New Roman" w:hAnsi="Times New Roman" w:cs="Times New Roman"/>
                <w:color w:val="auto"/>
                <w:sz w:val="24"/>
                <w:szCs w:val="24"/>
                <w:highlight w:val="none"/>
              </w:rPr>
              <w:t>全部由</w:t>
            </w:r>
            <w:r>
              <w:rPr>
                <w:rFonts w:hint="default" w:ascii="Times New Roman" w:hAnsi="Times New Roman" w:cs="Times New Roman"/>
                <w:color w:val="auto"/>
                <w:sz w:val="24"/>
                <w:szCs w:val="24"/>
                <w:highlight w:val="none"/>
                <w:lang w:val="en-US" w:eastAsia="zh-CN"/>
              </w:rPr>
              <w:t>庆安县庆禾农业发展有限公司</w:t>
            </w:r>
            <w:r>
              <w:rPr>
                <w:rFonts w:hint="default" w:ascii="Times New Roman" w:hAnsi="Times New Roman" w:cs="Times New Roman"/>
                <w:color w:val="auto"/>
                <w:sz w:val="24"/>
                <w:szCs w:val="24"/>
                <w:highlight w:val="none"/>
              </w:rPr>
              <w:t>外运并进行综合利用，重点用于</w:t>
            </w:r>
            <w:r>
              <w:rPr>
                <w:rFonts w:hint="default" w:ascii="Times New Roman" w:hAnsi="Times New Roman" w:cs="Times New Roman"/>
                <w:color w:val="auto"/>
                <w:sz w:val="24"/>
                <w:szCs w:val="24"/>
                <w:highlight w:val="none"/>
                <w:lang w:val="en-US" w:eastAsia="zh-CN"/>
              </w:rPr>
              <w:t>土地改良。</w:t>
            </w:r>
            <w:r>
              <w:rPr>
                <w:rFonts w:hint="default" w:ascii="Times New Roman" w:hAnsi="Times New Roman" w:cs="Times New Roman"/>
                <w:bCs/>
                <w:color w:val="auto"/>
                <w:sz w:val="24"/>
                <w:szCs w:val="24"/>
                <w:highlight w:val="none"/>
              </w:rPr>
              <w:t>临时堆土</w:t>
            </w:r>
            <w:r>
              <w:rPr>
                <w:rFonts w:hint="default" w:ascii="Times New Roman" w:hAnsi="Times New Roman" w:cs="Times New Roman"/>
                <w:bCs/>
                <w:color w:val="auto"/>
                <w:sz w:val="24"/>
                <w:szCs w:val="24"/>
                <w:highlight w:val="none"/>
                <w:lang w:val="en-US" w:eastAsia="zh-CN"/>
              </w:rPr>
              <w:t>时</w:t>
            </w:r>
            <w:r>
              <w:rPr>
                <w:rFonts w:hint="default" w:ascii="Times New Roman" w:hAnsi="Times New Roman" w:cs="Times New Roman"/>
                <w:bCs/>
                <w:color w:val="auto"/>
                <w:sz w:val="24"/>
                <w:szCs w:val="24"/>
                <w:highlight w:val="none"/>
              </w:rPr>
              <w:t>周边利用编织袋或土埂拦挡，限制堆高及整形。</w:t>
            </w:r>
            <w:r>
              <w:rPr>
                <w:rFonts w:hint="default" w:ascii="Times New Roman" w:hAnsi="Times New Roman" w:cs="Times New Roman"/>
                <w:bCs/>
                <w:color w:val="auto"/>
                <w:sz w:val="24"/>
                <w:szCs w:val="24"/>
                <w:highlight w:val="none"/>
                <w:lang w:val="en-US" w:eastAsia="zh-CN"/>
              </w:rPr>
              <w:t>沉淀池污泥施工结束后统一清出与弃土一同处置。</w:t>
            </w:r>
          </w:p>
          <w:p w14:paraId="3C33AB5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lang w:val="en-US" w:eastAsia="zh-CN"/>
              </w:rPr>
              <w:t>根据《黑龙江省水利工程绿色施工规程》（DB23/T 2995—2021）的规定，可</w:t>
            </w:r>
            <w:r>
              <w:rPr>
                <w:rFonts w:hint="default" w:ascii="Times New Roman" w:hAnsi="Times New Roman" w:cs="Times New Roman"/>
                <w:bCs/>
                <w:color w:val="auto"/>
                <w:sz w:val="24"/>
                <w:highlight w:val="none"/>
              </w:rPr>
              <w:t>结合当地建设规划，宜将弃料用于填堰塘、固河堤、修当地机耕道、修屋基等。</w:t>
            </w:r>
            <w:r>
              <w:rPr>
                <w:rFonts w:hint="default" w:ascii="Times New Roman" w:hAnsi="Times New Roman" w:cs="Times New Roman"/>
                <w:bCs/>
                <w:color w:val="auto"/>
                <w:sz w:val="24"/>
                <w:highlight w:val="none"/>
                <w:lang w:val="en-US" w:eastAsia="zh-CN"/>
              </w:rPr>
              <w:t>表土</w:t>
            </w:r>
            <w:r>
              <w:rPr>
                <w:rFonts w:hint="default" w:ascii="Times New Roman" w:hAnsi="Times New Roman" w:cs="Times New Roman"/>
                <w:bCs/>
                <w:color w:val="auto"/>
                <w:sz w:val="24"/>
                <w:highlight w:val="none"/>
              </w:rPr>
              <w:t>的运输、储存、利用等环节的安全、环保及水土保持由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bCs/>
                <w:color w:val="auto"/>
                <w:sz w:val="24"/>
                <w:highlight w:val="none"/>
              </w:rPr>
              <w:t>承担</w:t>
            </w:r>
            <w:r>
              <w:rPr>
                <w:rFonts w:hint="default" w:ascii="Times New Roman" w:hAnsi="Times New Roman" w:cs="Times New Roman"/>
                <w:bCs/>
                <w:color w:val="auto"/>
                <w:sz w:val="24"/>
                <w:highlight w:val="none"/>
                <w:lang w:eastAsia="zh-CN"/>
              </w:rPr>
              <w:t>。</w:t>
            </w:r>
          </w:p>
          <w:p w14:paraId="51BFBB7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（2）建筑垃圾</w:t>
            </w:r>
            <w:r>
              <w:rPr>
                <w:rFonts w:hint="default" w:ascii="Times New Roman" w:hAnsi="Times New Roman" w:cs="Times New Roman"/>
                <w:bCs/>
                <w:color w:val="auto"/>
                <w:sz w:val="24"/>
                <w:highlight w:val="none"/>
                <w:lang w:eastAsia="zh-CN"/>
              </w:rPr>
              <w:t>中</w:t>
            </w:r>
            <w:r>
              <w:rPr>
                <w:rFonts w:hint="default" w:ascii="Times New Roman" w:hAnsi="Times New Roman" w:cs="Times New Roman"/>
                <w:bCs/>
                <w:color w:val="auto"/>
                <w:sz w:val="24"/>
                <w:highlight w:val="none"/>
              </w:rPr>
              <w:t>可回收建筑材料送交废旧物资回收站处理，无法回收利用的采用运输车运至市政指定地点堆存。工程施工单位施工前与各地的市容行政管理部门委托、协调解决，禁止就近随意堆放，影响景观；本工程施工监理单位要加强监督，使建筑垃圾得到妥善处理，不得污染周边环境。</w:t>
            </w:r>
          </w:p>
          <w:p w14:paraId="4409431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（3）在生产生活区布设垃圾箱，规格2000*1500*1000</w:t>
            </w:r>
            <w:r>
              <w:rPr>
                <w:rFonts w:hint="default" w:ascii="Times New Roman" w:hAnsi="Times New Roman" w:cs="Times New Roman"/>
                <w:bCs/>
                <w:color w:val="auto"/>
                <w:sz w:val="24"/>
                <w:highlight w:val="none"/>
                <w:lang w:eastAsia="zh-CN"/>
              </w:rPr>
              <w:t>mm</w:t>
            </w:r>
            <w:r>
              <w:rPr>
                <w:rFonts w:hint="default" w:ascii="Times New Roman" w:hAnsi="Times New Roman" w:cs="Times New Roman"/>
                <w:bCs/>
                <w:color w:val="auto"/>
                <w:sz w:val="24"/>
                <w:highlight w:val="none"/>
              </w:rPr>
              <w:t>，数量为</w:t>
            </w:r>
            <w:r>
              <w:rPr>
                <w:rFonts w:hint="eastAsia" w:cs="Times New Roman"/>
                <w:bCs/>
                <w:color w:val="auto"/>
                <w:sz w:val="24"/>
                <w:highlight w:val="none"/>
                <w:lang w:val="en-US" w:eastAsia="zh-CN"/>
              </w:rPr>
              <w:t>2</w:t>
            </w:r>
            <w:r>
              <w:rPr>
                <w:rFonts w:hint="default" w:ascii="Times New Roman" w:hAnsi="Times New Roman" w:cs="Times New Roman"/>
                <w:bCs/>
                <w:color w:val="auto"/>
                <w:sz w:val="24"/>
                <w:highlight w:val="none"/>
              </w:rPr>
              <w:t>个，运输垃圾的设施要</w:t>
            </w:r>
            <w:r>
              <w:rPr>
                <w:rFonts w:hint="default" w:ascii="Times New Roman" w:hAnsi="Times New Roman" w:cs="Times New Roman"/>
                <w:bCs/>
                <w:color w:val="auto"/>
                <w:sz w:val="24"/>
                <w:highlight w:val="none"/>
                <w:lang w:eastAsia="zh-CN"/>
              </w:rPr>
              <w:t>密闭</w:t>
            </w:r>
            <w:r>
              <w:rPr>
                <w:rFonts w:hint="default" w:ascii="Times New Roman" w:hAnsi="Times New Roman" w:cs="Times New Roman"/>
                <w:bCs/>
                <w:color w:val="auto"/>
                <w:sz w:val="24"/>
                <w:highlight w:val="none"/>
              </w:rPr>
              <w:t>，以免对环境造成二次污染，定期运往指定地点统一进行集中处理。</w:t>
            </w:r>
          </w:p>
          <w:p w14:paraId="25925DDF">
            <w:pPr>
              <w:pStyle w:val="84"/>
              <w:keepNext w:val="0"/>
              <w:keepLines w:val="0"/>
              <w:pageBreakBefore w:val="0"/>
              <w:widowControl w:val="0"/>
              <w:kinsoku/>
              <w:wordWrap/>
              <w:overflowPunct/>
              <w:topLinePunct w:val="0"/>
              <w:autoSpaceDE/>
              <w:autoSpaceDN/>
              <w:bidi w:val="0"/>
              <w:spacing w:line="500" w:lineRule="exact"/>
              <w:ind w:firstLine="482"/>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六、环境风险保护措施</w:t>
            </w:r>
          </w:p>
          <w:p w14:paraId="46663621">
            <w:pPr>
              <w:pStyle w:val="84"/>
              <w:keepNext w:val="0"/>
              <w:keepLines w:val="0"/>
              <w:pageBreakBefore w:val="0"/>
              <w:widowControl w:val="0"/>
              <w:kinsoku/>
              <w:wordWrap/>
              <w:overflowPunct/>
              <w:topLinePunct w:val="0"/>
              <w:autoSpaceDE/>
              <w:autoSpaceDN/>
              <w:bidi w:val="0"/>
              <w:spacing w:line="50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本项目不设置储油库，涉及危险物质主要</w:t>
            </w:r>
            <w:r>
              <w:rPr>
                <w:rFonts w:hint="default" w:ascii="Times New Roman" w:hAnsi="Times New Roman" w:cs="Times New Roman"/>
                <w:color w:val="auto"/>
                <w:highlight w:val="none"/>
                <w:lang w:val="en-US" w:eastAsia="zh-CN"/>
              </w:rPr>
              <w:t>是</w:t>
            </w:r>
            <w:r>
              <w:rPr>
                <w:rFonts w:hint="default" w:ascii="Times New Roman" w:hAnsi="Times New Roman" w:cs="Times New Roman"/>
                <w:color w:val="auto"/>
                <w:highlight w:val="none"/>
              </w:rPr>
              <w:t>柴油，存在于机械和柴油发电机油箱中，由于柴油的特性，任何泄漏的燃油都可能导致潜在的火灾</w:t>
            </w:r>
            <w:r>
              <w:rPr>
                <w:rFonts w:hint="default" w:ascii="Times New Roman" w:hAnsi="Times New Roman" w:cs="Times New Roman"/>
                <w:color w:val="auto"/>
                <w:highlight w:val="none"/>
                <w:lang w:val="en-US" w:eastAsia="zh-CN"/>
              </w:rPr>
              <w:t>暴</w:t>
            </w:r>
            <w:r>
              <w:rPr>
                <w:rFonts w:hint="default" w:ascii="Times New Roman" w:hAnsi="Times New Roman" w:cs="Times New Roman"/>
                <w:color w:val="auto"/>
                <w:highlight w:val="none"/>
              </w:rPr>
              <w:t>发。每天检查机器是否有燃油泄漏，并迅速清理任何溢出物。油桶附近禁止烟火。本工程施工过程中，运输车辆和机械应在指定运输路线行驶；在进出口加设限速、</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谨慎驾驶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等标识牌，提醒工程周边社会车辆降低车速安全通行，减小交通事故发生概率；加强工程运输车安全管理，定期检修相关车辆，保证上路车辆车况良好。</w:t>
            </w:r>
          </w:p>
          <w:p w14:paraId="2820BE1A">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八、环境管理与监测计划</w:t>
            </w:r>
          </w:p>
          <w:p w14:paraId="4BC5691F">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（1）环境管理</w:t>
            </w:r>
          </w:p>
          <w:p w14:paraId="02125B37">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根据《建设项目环境保护管理条例》规定</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建设项目的环境保护设施，必须与主体工程同时设计、同时施工、同时投产使用。</w:t>
            </w:r>
            <w:r>
              <w:rPr>
                <w:rFonts w:hint="default" w:ascii="Times New Roman" w:hAnsi="Times New Roman" w:cs="Times New Roman"/>
                <w:bCs/>
                <w:color w:val="auto"/>
                <w:sz w:val="24"/>
                <w:highlight w:val="none"/>
                <w:lang w:eastAsia="zh-CN"/>
              </w:rPr>
              <w:t>"</w:t>
            </w:r>
          </w:p>
          <w:p w14:paraId="148136FB">
            <w:pPr>
              <w:keepNext w:val="0"/>
              <w:keepLines w:val="0"/>
              <w:pageBreakBefore w:val="0"/>
              <w:widowControl w:val="0"/>
              <w:pBdr>
                <w:bottom w:val="single" w:color="FFFFFF" w:sz="4" w:space="1"/>
              </w:pBdr>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项目建设全面贯彻执行</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四制</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w:t>
            </w:r>
            <w:r>
              <w:rPr>
                <w:rFonts w:hint="default" w:ascii="Times New Roman" w:hAnsi="Times New Roman" w:cs="Times New Roman"/>
                <w:bCs/>
                <w:color w:val="auto"/>
                <w:sz w:val="24"/>
                <w:highlight w:val="none"/>
                <w:lang w:eastAsia="zh-CN"/>
              </w:rPr>
              <w:t>"</w:t>
            </w:r>
            <w:r>
              <w:rPr>
                <w:rFonts w:hint="eastAsia" w:cs="Times New Roman"/>
                <w:bCs/>
                <w:color w:val="auto"/>
                <w:sz w:val="24"/>
                <w:highlight w:val="none"/>
                <w:lang w:eastAsia="zh-CN"/>
              </w:rPr>
              <w:t>庆安县中小型水利工程建设管理中心</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为项目法人单位，对工程建设负总责和资金筹措管理，选择施工队伍。落实质量监督和组织初步验收，并安排专人负责施工中的环境管理工作。参与工程建设的各专业施工单位应配置专业环保人员1人，配合建设单位设置的环境保护机构</w:t>
            </w:r>
            <w:r>
              <w:rPr>
                <w:rFonts w:hint="default" w:ascii="Times New Roman" w:hAnsi="Times New Roman" w:cs="Times New Roman"/>
                <w:bCs/>
                <w:color w:val="auto"/>
                <w:sz w:val="24"/>
                <w:highlight w:val="none"/>
                <w:lang w:eastAsia="zh-CN"/>
              </w:rPr>
              <w:t>做好</w:t>
            </w:r>
            <w:r>
              <w:rPr>
                <w:rFonts w:hint="default" w:ascii="Times New Roman" w:hAnsi="Times New Roman" w:cs="Times New Roman"/>
                <w:bCs/>
                <w:color w:val="auto"/>
                <w:sz w:val="24"/>
                <w:highlight w:val="none"/>
              </w:rPr>
              <w:t>施工中的环境保护工作。</w:t>
            </w:r>
          </w:p>
          <w:p w14:paraId="3E1AA54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工程施工期设立环境监理，在工程施工期设立环境监理1名，根据国家法律、法规和政策及施工合同中的环保条款，通过日常巡视，下发指令性文件等方式，监督、审查和评估施工环境保护措施的执行情况，及时发现和指正施工单位的违反环境保护政策行为，及时将监理情况反馈给工程监理和工程建设管理部门。</w:t>
            </w:r>
          </w:p>
          <w:p w14:paraId="2226A5F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（2）环境监测</w:t>
            </w:r>
          </w:p>
          <w:p w14:paraId="4E98653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根据工程施工期环境影响分析，工程施工期大气污染和噪声影响较轻，生产废水的处理主要在于加强管理和监督。因此，施工期环境监测主要是对</w:t>
            </w:r>
            <w:r>
              <w:rPr>
                <w:rFonts w:hint="default" w:ascii="Times New Roman" w:hAnsi="Times New Roman" w:cs="Times New Roman"/>
                <w:color w:val="auto"/>
                <w:sz w:val="24"/>
                <w:highlight w:val="none"/>
                <w:lang w:val="en-US" w:eastAsia="zh-CN"/>
              </w:rPr>
              <w:t>噪声、</w:t>
            </w:r>
            <w:r>
              <w:rPr>
                <w:rFonts w:hint="default" w:ascii="Times New Roman" w:hAnsi="Times New Roman" w:cs="Times New Roman"/>
                <w:color w:val="auto"/>
                <w:sz w:val="24"/>
                <w:highlight w:val="none"/>
              </w:rPr>
              <w:t>大气环境进行监测。实施主体为建设单位，由建设单位委托具有相应资质的监测单位监测，监测</w:t>
            </w:r>
            <w:r>
              <w:rPr>
                <w:rFonts w:hint="default" w:ascii="Times New Roman" w:hAnsi="Times New Roman" w:cs="Times New Roman"/>
                <w:color w:val="auto"/>
                <w:sz w:val="24"/>
                <w:szCs w:val="22"/>
                <w:highlight w:val="none"/>
              </w:rPr>
              <w:t>分析方法采用国家环境保护部规定的方法。</w:t>
            </w:r>
            <w:r>
              <w:rPr>
                <w:rFonts w:hint="default" w:ascii="Times New Roman" w:hAnsi="Times New Roman" w:cs="Times New Roman"/>
                <w:color w:val="auto"/>
                <w:sz w:val="24"/>
                <w:highlight w:val="none"/>
              </w:rPr>
              <w:t>具体监测计划如下</w:t>
            </w:r>
            <w:r>
              <w:rPr>
                <w:rFonts w:hint="default" w:ascii="Times New Roman" w:hAnsi="Times New Roman" w:cs="Times New Roman"/>
                <w:color w:val="auto"/>
                <w:sz w:val="24"/>
                <w:highlight w:val="none"/>
                <w:lang w:eastAsia="zh-CN"/>
              </w:rPr>
              <w:t>:</w:t>
            </w:r>
          </w:p>
          <w:p w14:paraId="26129969">
            <w:pPr>
              <w:keepNext w:val="0"/>
              <w:keepLines w:val="0"/>
              <w:pageBreakBefore w:val="0"/>
              <w:widowControl w:val="0"/>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1"/>
                <w:szCs w:val="21"/>
                <w:highlight w:val="none"/>
              </w:rPr>
              <w:t>表5</w:t>
            </w:r>
            <w:r>
              <w:rPr>
                <w:rFonts w:hint="default" w:ascii="Times New Roman" w:hAnsi="Times New Roman" w:cs="Times New Roman"/>
                <w:b/>
                <w:color w:val="auto"/>
                <w:sz w:val="21"/>
                <w:szCs w:val="21"/>
                <w:highlight w:val="none"/>
                <w:lang w:eastAsia="zh-CN"/>
              </w:rPr>
              <w:t>—</w:t>
            </w:r>
            <w:r>
              <w:rPr>
                <w:rFonts w:hint="eastAsia"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施工期</w:t>
            </w:r>
            <w:r>
              <w:rPr>
                <w:rFonts w:hint="default" w:ascii="Times New Roman" w:hAnsi="Times New Roman" w:cs="Times New Roman"/>
                <w:b/>
                <w:color w:val="auto"/>
                <w:sz w:val="21"/>
                <w:szCs w:val="21"/>
                <w:highlight w:val="none"/>
                <w:lang w:val="en-US" w:eastAsia="zh-CN"/>
              </w:rPr>
              <w:t>和运行期</w:t>
            </w:r>
            <w:r>
              <w:rPr>
                <w:rFonts w:hint="default" w:ascii="Times New Roman" w:hAnsi="Times New Roman" w:cs="Times New Roman"/>
                <w:b/>
                <w:color w:val="auto"/>
                <w:sz w:val="21"/>
                <w:szCs w:val="21"/>
                <w:highlight w:val="none"/>
              </w:rPr>
              <w:t>监测计划</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6"/>
              <w:gridCol w:w="1276"/>
              <w:gridCol w:w="1806"/>
              <w:gridCol w:w="1560"/>
              <w:gridCol w:w="1358"/>
              <w:gridCol w:w="1006"/>
            </w:tblGrid>
            <w:tr w14:paraId="107B0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0F85E261">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w:t>
                  </w:r>
                </w:p>
                <w:p w14:paraId="16E7ECC4">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要素</w:t>
                  </w:r>
                </w:p>
              </w:tc>
              <w:tc>
                <w:tcPr>
                  <w:tcW w:w="1276" w:type="dxa"/>
                  <w:noWrap w:val="0"/>
                  <w:vAlign w:val="center"/>
                </w:tcPr>
                <w:p w14:paraId="13F4A5A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监测地点</w:t>
                  </w:r>
                </w:p>
              </w:tc>
              <w:tc>
                <w:tcPr>
                  <w:tcW w:w="1806" w:type="dxa"/>
                  <w:noWrap w:val="0"/>
                  <w:vAlign w:val="center"/>
                </w:tcPr>
                <w:p w14:paraId="58D8CF24">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w:t>
                  </w:r>
                </w:p>
              </w:tc>
              <w:tc>
                <w:tcPr>
                  <w:tcW w:w="1560" w:type="dxa"/>
                  <w:noWrap w:val="0"/>
                  <w:vAlign w:val="center"/>
                </w:tcPr>
                <w:p w14:paraId="68E2A1C9">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监测时间</w:t>
                  </w:r>
                </w:p>
                <w:p w14:paraId="5C038D35">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及频次</w:t>
                  </w:r>
                </w:p>
              </w:tc>
              <w:tc>
                <w:tcPr>
                  <w:tcW w:w="1358" w:type="dxa"/>
                  <w:noWrap w:val="0"/>
                  <w:vAlign w:val="center"/>
                </w:tcPr>
                <w:p w14:paraId="50ACE0D3">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实施机构</w:t>
                  </w:r>
                </w:p>
              </w:tc>
              <w:tc>
                <w:tcPr>
                  <w:tcW w:w="1006" w:type="dxa"/>
                  <w:noWrap w:val="0"/>
                  <w:vAlign w:val="center"/>
                </w:tcPr>
                <w:p w14:paraId="0B26037B">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监督</w:t>
                  </w:r>
                </w:p>
                <w:p w14:paraId="57C4D43D">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机构</w:t>
                  </w:r>
                </w:p>
              </w:tc>
            </w:tr>
            <w:tr w14:paraId="1BEFD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hidden/>
              </w:trPr>
              <w:tc>
                <w:tcPr>
                  <w:tcW w:w="536" w:type="dxa"/>
                  <w:noWrap w:val="0"/>
                  <w:vAlign w:val="center"/>
                </w:tcPr>
                <w:p w14:paraId="14DE8678">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大气</w:t>
                  </w:r>
                </w:p>
              </w:tc>
              <w:tc>
                <w:tcPr>
                  <w:tcW w:w="1276" w:type="dxa"/>
                  <w:noWrap w:val="0"/>
                  <w:vAlign w:val="center"/>
                </w:tcPr>
                <w:p w14:paraId="6D0A468A">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eastAsia" w:cs="Times New Roman"/>
                      <w:color w:val="auto"/>
                      <w:kern w:val="0"/>
                      <w:highlight w:val="none"/>
                      <w:lang w:val="en-US" w:eastAsia="zh-CN"/>
                    </w:rPr>
                    <w:t>馨悦尚居小区</w:t>
                  </w:r>
                </w:p>
              </w:tc>
              <w:tc>
                <w:tcPr>
                  <w:tcW w:w="1806" w:type="dxa"/>
                  <w:noWrap w:val="0"/>
                  <w:vAlign w:val="center"/>
                </w:tcPr>
                <w:p w14:paraId="388B0B74">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TSP</w:t>
                  </w:r>
                </w:p>
              </w:tc>
              <w:tc>
                <w:tcPr>
                  <w:tcW w:w="1560" w:type="dxa"/>
                  <w:noWrap w:val="0"/>
                  <w:vAlign w:val="center"/>
                </w:tcPr>
                <w:p w14:paraId="4E430850">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施工期高峰期监测1次，连续监测3天。</w:t>
                  </w:r>
                </w:p>
              </w:tc>
              <w:tc>
                <w:tcPr>
                  <w:tcW w:w="1358" w:type="dxa"/>
                  <w:vMerge w:val="restart"/>
                  <w:noWrap w:val="0"/>
                  <w:vAlign w:val="center"/>
                </w:tcPr>
                <w:p w14:paraId="19B3911F">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委托具有相应资质的单位承担监测工作</w:t>
                  </w:r>
                </w:p>
              </w:tc>
              <w:tc>
                <w:tcPr>
                  <w:tcW w:w="1006" w:type="dxa"/>
                  <w:vMerge w:val="restart"/>
                  <w:noWrap w:val="0"/>
                  <w:vAlign w:val="center"/>
                </w:tcPr>
                <w:p w14:paraId="506E49D6">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绥化</w:t>
                  </w:r>
                  <w:r>
                    <w:rPr>
                      <w:rFonts w:hint="default" w:ascii="Times New Roman" w:hAnsi="Times New Roman" w:cs="Times New Roman"/>
                      <w:color w:val="auto"/>
                      <w:highlight w:val="none"/>
                    </w:rPr>
                    <w:t>市生态环境局</w:t>
                  </w:r>
                </w:p>
              </w:tc>
            </w:tr>
            <w:tr w14:paraId="4BD44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37C23AEA">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噪声</w:t>
                  </w:r>
                </w:p>
              </w:tc>
              <w:tc>
                <w:tcPr>
                  <w:tcW w:w="1276" w:type="dxa"/>
                  <w:noWrap w:val="0"/>
                  <w:vAlign w:val="center"/>
                </w:tcPr>
                <w:p w14:paraId="28E0DBF9">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eastAsia" w:cs="Times New Roman"/>
                      <w:color w:val="auto"/>
                      <w:kern w:val="0"/>
                      <w:highlight w:val="none"/>
                      <w:lang w:val="en-US" w:eastAsia="zh-CN"/>
                    </w:rPr>
                    <w:t>馨悦尚居小区</w:t>
                  </w:r>
                </w:p>
              </w:tc>
              <w:tc>
                <w:tcPr>
                  <w:tcW w:w="1806" w:type="dxa"/>
                  <w:noWrap w:val="0"/>
                  <w:vAlign w:val="center"/>
                </w:tcPr>
                <w:p w14:paraId="102F9491">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等效连续A声级</w:t>
                  </w:r>
                </w:p>
              </w:tc>
              <w:tc>
                <w:tcPr>
                  <w:tcW w:w="1560" w:type="dxa"/>
                  <w:noWrap w:val="0"/>
                  <w:vAlign w:val="center"/>
                </w:tcPr>
                <w:p w14:paraId="13D89B76">
                  <w:pPr>
                    <w:pStyle w:val="89"/>
                    <w:jc w:val="center"/>
                    <w:rPr>
                      <w:rFonts w:hint="default" w:ascii="Times New Roman" w:hAnsi="Times New Roman" w:cs="Times New Roman"/>
                      <w:color w:val="auto"/>
                      <w:spacing w:val="-4"/>
                      <w:kern w:val="2"/>
                      <w:sz w:val="21"/>
                      <w:szCs w:val="24"/>
                      <w:highlight w:val="none"/>
                      <w:lang w:val="en-US" w:eastAsia="zh-CN" w:bidi="ar-SA"/>
                    </w:rPr>
                  </w:pPr>
                  <w:r>
                    <w:rPr>
                      <w:rFonts w:hint="default" w:ascii="Times New Roman" w:hAnsi="Times New Roman" w:cs="Times New Roman"/>
                      <w:color w:val="auto"/>
                      <w:highlight w:val="none"/>
                    </w:rPr>
                    <w:t>施工期高峰期监测1次，连续监测2天。</w:t>
                  </w:r>
                </w:p>
              </w:tc>
              <w:tc>
                <w:tcPr>
                  <w:tcW w:w="1358" w:type="dxa"/>
                  <w:vMerge w:val="continue"/>
                  <w:noWrap w:val="0"/>
                  <w:vAlign w:val="center"/>
                </w:tcPr>
                <w:p w14:paraId="20C4792E">
                  <w:pPr>
                    <w:pStyle w:val="89"/>
                    <w:jc w:val="center"/>
                    <w:rPr>
                      <w:rFonts w:hint="default" w:ascii="Times New Roman" w:hAnsi="Times New Roman" w:cs="Times New Roman"/>
                      <w:color w:val="auto"/>
                      <w:highlight w:val="none"/>
                    </w:rPr>
                  </w:pPr>
                </w:p>
              </w:tc>
              <w:tc>
                <w:tcPr>
                  <w:tcW w:w="1006" w:type="dxa"/>
                  <w:vMerge w:val="continue"/>
                  <w:noWrap w:val="0"/>
                  <w:vAlign w:val="center"/>
                </w:tcPr>
                <w:p w14:paraId="627575BC">
                  <w:pPr>
                    <w:pStyle w:val="89"/>
                    <w:jc w:val="center"/>
                    <w:rPr>
                      <w:rFonts w:hint="default" w:ascii="Times New Roman" w:hAnsi="Times New Roman" w:cs="Times New Roman"/>
                      <w:color w:val="auto"/>
                      <w:highlight w:val="none"/>
                    </w:rPr>
                  </w:pPr>
                </w:p>
              </w:tc>
            </w:tr>
            <w:tr w14:paraId="3FE64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noWrap w:val="0"/>
                  <w:vAlign w:val="center"/>
                </w:tcPr>
                <w:p w14:paraId="34E93235">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水质</w:t>
                  </w:r>
                </w:p>
              </w:tc>
              <w:tc>
                <w:tcPr>
                  <w:tcW w:w="1276" w:type="dxa"/>
                  <w:noWrap w:val="0"/>
                  <w:vAlign w:val="center"/>
                </w:tcPr>
                <w:p w14:paraId="546863F6">
                  <w:pPr>
                    <w:pStyle w:val="89"/>
                    <w:jc w:val="cente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pP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工程上游500</w:t>
                  </w:r>
                  <w:r>
                    <w:rPr>
                      <w:rFonts w:hint="default" w:ascii="Times New Roman" w:hAnsi="Times New Roman"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m</w:t>
                  </w:r>
                  <w:r>
                    <w:rPr>
                      <w:rFonts w:hint="default" w:ascii="Times New Roman" w:hAnsi="Times New Roman" w:eastAsia="宋体"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、下游1000</w:t>
                  </w:r>
                  <w:r>
                    <w:rPr>
                      <w:rFonts w:hint="default" w:ascii="Times New Roman" w:hAnsi="Times New Roman" w:cs="Times New Roman"/>
                      <w:caps w:val="0"/>
                      <w:smallCaps w:val="0"/>
                      <w:strike w:val="0"/>
                      <w:dstrike w:val="0"/>
                      <w:outline w:val="0"/>
                      <w:emboss w:val="0"/>
                      <w:imprint w:val="0"/>
                      <w:snapToGrid/>
                      <w:vanish w:val="0"/>
                      <w:color w:val="auto"/>
                      <w:spacing w:val="0"/>
                      <w:w w:val="100"/>
                      <w:kern w:val="0"/>
                      <w:position w:val="0"/>
                      <w:sz w:val="21"/>
                      <w:szCs w:val="24"/>
                      <w:highlight w:val="none"/>
                      <w:vertAlign w:val="baseline"/>
                      <w:lang w:val="en-US" w:eastAsia="zh-CN" w:bidi="ar-SA"/>
                    </w:rPr>
                    <w:t>m</w:t>
                  </w:r>
                </w:p>
              </w:tc>
              <w:tc>
                <w:tcPr>
                  <w:tcW w:w="1806" w:type="dxa"/>
                  <w:noWrap w:val="0"/>
                  <w:vAlign w:val="center"/>
                </w:tcPr>
                <w:p w14:paraId="4C056C26">
                  <w:pPr>
                    <w:pStyle w:val="89"/>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溶解氧、</w:t>
                  </w:r>
                  <w:r>
                    <w:rPr>
                      <w:rFonts w:hint="default" w:ascii="Times New Roman" w:hAnsi="Times New Roman" w:cs="Times New Roman"/>
                      <w:color w:val="auto"/>
                      <w:highlight w:val="none"/>
                      <w:lang w:val="en-US" w:eastAsia="zh-CN"/>
                    </w:rPr>
                    <w:t>COD、</w:t>
                  </w:r>
                  <w:r>
                    <w:rPr>
                      <w:rFonts w:hint="default" w:ascii="Times New Roman" w:hAnsi="Times New Roman" w:cs="Times New Roman"/>
                      <w:color w:val="auto"/>
                      <w:highlight w:val="none"/>
                    </w:rPr>
                    <w:t>氨氮、悬浮物（SS）</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石油类等</w:t>
                  </w:r>
                </w:p>
              </w:tc>
              <w:tc>
                <w:tcPr>
                  <w:tcW w:w="1560" w:type="dxa"/>
                  <w:noWrap w:val="0"/>
                  <w:vAlign w:val="center"/>
                </w:tcPr>
                <w:p w14:paraId="03D5103E">
                  <w:pPr>
                    <w:pStyle w:val="8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施工期高峰期监测1次，连续监测</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天。</w:t>
                  </w:r>
                </w:p>
              </w:tc>
              <w:tc>
                <w:tcPr>
                  <w:tcW w:w="1358" w:type="dxa"/>
                  <w:vMerge w:val="continue"/>
                  <w:noWrap w:val="0"/>
                  <w:vAlign w:val="center"/>
                </w:tcPr>
                <w:p w14:paraId="67BE00A2">
                  <w:pPr>
                    <w:pStyle w:val="89"/>
                    <w:jc w:val="center"/>
                    <w:rPr>
                      <w:rFonts w:hint="default" w:ascii="Times New Roman" w:hAnsi="Times New Roman" w:cs="Times New Roman"/>
                      <w:color w:val="auto"/>
                      <w:highlight w:val="none"/>
                    </w:rPr>
                  </w:pPr>
                </w:p>
              </w:tc>
              <w:tc>
                <w:tcPr>
                  <w:tcW w:w="1006" w:type="dxa"/>
                  <w:vMerge w:val="continue"/>
                  <w:noWrap w:val="0"/>
                  <w:vAlign w:val="center"/>
                </w:tcPr>
                <w:p w14:paraId="07DD8457">
                  <w:pPr>
                    <w:pStyle w:val="89"/>
                    <w:jc w:val="center"/>
                    <w:rPr>
                      <w:rFonts w:hint="default" w:ascii="Times New Roman" w:hAnsi="Times New Roman" w:cs="Times New Roman"/>
                      <w:color w:val="auto"/>
                      <w:highlight w:val="none"/>
                    </w:rPr>
                  </w:pPr>
                </w:p>
              </w:tc>
            </w:tr>
          </w:tbl>
          <w:p w14:paraId="7883ABC8">
            <w:pPr>
              <w:adjustRightInd w:val="0"/>
              <w:snapToGrid w:val="0"/>
              <w:spacing w:line="360" w:lineRule="auto"/>
              <w:ind w:firstLine="520" w:firstLineChars="200"/>
              <w:rPr>
                <w:rFonts w:hint="default" w:ascii="Times New Roman" w:hAnsi="Times New Roman" w:cs="Times New Roman"/>
                <w:bCs/>
                <w:color w:val="auto"/>
                <w:spacing w:val="10"/>
                <w:sz w:val="24"/>
                <w:highlight w:val="none"/>
              </w:rPr>
            </w:pPr>
          </w:p>
        </w:tc>
      </w:tr>
      <w:tr w14:paraId="4F3FD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4" w:space="0"/>
              <w:right w:val="single" w:color="auto" w:sz="4" w:space="0"/>
            </w:tcBorders>
            <w:noWrap w:val="0"/>
            <w:tcMar>
              <w:top w:w="0" w:type="dxa"/>
              <w:left w:w="28" w:type="dxa"/>
              <w:bottom w:w="0" w:type="dxa"/>
              <w:right w:w="28" w:type="dxa"/>
            </w:tcMar>
            <w:vAlign w:val="center"/>
          </w:tcPr>
          <w:p w14:paraId="28EE1D1F">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lang w:eastAsia="zh-CN"/>
              </w:rPr>
              <w:t>运行期</w:t>
            </w:r>
            <w:r>
              <w:rPr>
                <w:rFonts w:hint="default" w:ascii="Times New Roman" w:hAnsi="Times New Roman" w:cs="Times New Roman"/>
                <w:bCs/>
                <w:color w:val="auto"/>
                <w:spacing w:val="10"/>
                <w:sz w:val="24"/>
                <w:highlight w:val="none"/>
              </w:rPr>
              <w:t>生态环境保护措施</w:t>
            </w:r>
          </w:p>
        </w:tc>
        <w:tc>
          <w:tcPr>
            <w:tcW w:w="4591" w:type="pct"/>
            <w:tcBorders>
              <w:top w:val="single" w:color="auto" w:sz="4" w:space="0"/>
              <w:left w:val="single" w:color="auto" w:sz="4" w:space="0"/>
              <w:bottom w:val="single" w:color="auto" w:sz="4" w:space="0"/>
              <w:right w:val="single" w:color="auto" w:sz="8" w:space="0"/>
            </w:tcBorders>
            <w:noWrap w:val="0"/>
            <w:vAlign w:val="top"/>
          </w:tcPr>
          <w:p w14:paraId="42E31E56">
            <w:pPr>
              <w:adjustRightInd w:val="0"/>
              <w:snapToGrid w:val="0"/>
              <w:spacing w:line="500" w:lineRule="atLeast"/>
              <w:ind w:firstLine="480" w:firstLineChars="200"/>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本项目为防洪除涝工程，属非污染生态影响型项目，运行期间项目本身不会产生水、气、声、固废等污染物。但应加强管理，</w:t>
            </w:r>
            <w:r>
              <w:rPr>
                <w:rFonts w:hint="default" w:ascii="Times New Roman" w:hAnsi="Times New Roman" w:cs="Times New Roman"/>
                <w:color w:val="auto"/>
                <w:sz w:val="24"/>
                <w:highlight w:val="none"/>
              </w:rPr>
              <w:t>定期巡查、检修，</w:t>
            </w:r>
            <w:r>
              <w:rPr>
                <w:rFonts w:hint="default" w:ascii="Times New Roman" w:hAnsi="Times New Roman" w:cs="Times New Roman"/>
                <w:bCs/>
                <w:color w:val="auto"/>
                <w:sz w:val="24"/>
                <w:highlight w:val="none"/>
              </w:rPr>
              <w:t>发现问题及时上报</w:t>
            </w:r>
            <w:r>
              <w:rPr>
                <w:rFonts w:hint="default" w:ascii="Times New Roman" w:hAnsi="Times New Roman" w:cs="Times New Roman"/>
                <w:color w:val="auto"/>
                <w:sz w:val="24"/>
                <w:highlight w:val="none"/>
              </w:rPr>
              <w:t>修复。</w:t>
            </w:r>
          </w:p>
        </w:tc>
      </w:tr>
      <w:tr w14:paraId="62A7EB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4" w:space="0"/>
              <w:right w:val="single" w:color="auto" w:sz="4" w:space="0"/>
            </w:tcBorders>
            <w:noWrap w:val="0"/>
            <w:vAlign w:val="center"/>
          </w:tcPr>
          <w:p w14:paraId="4BFFE95C">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z w:val="24"/>
                <w:highlight w:val="none"/>
              </w:rPr>
              <w:t>其他</w:t>
            </w:r>
          </w:p>
        </w:tc>
        <w:tc>
          <w:tcPr>
            <w:tcW w:w="4591" w:type="pct"/>
            <w:tcBorders>
              <w:top w:val="single" w:color="auto" w:sz="4" w:space="0"/>
              <w:left w:val="single" w:color="auto" w:sz="4" w:space="0"/>
              <w:bottom w:val="single" w:color="auto" w:sz="4" w:space="0"/>
              <w:right w:val="single" w:color="auto" w:sz="8" w:space="0"/>
            </w:tcBorders>
            <w:noWrap w:val="0"/>
            <w:vAlign w:val="top"/>
          </w:tcPr>
          <w:p w14:paraId="02FE0160">
            <w:pPr>
              <w:adjustRightInd w:val="0"/>
              <w:snapToGrid w:val="0"/>
              <w:spacing w:line="500" w:lineRule="atLeas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加强本工程施工期</w:t>
            </w:r>
            <w:r>
              <w:rPr>
                <w:rFonts w:hint="default" w:ascii="Times New Roman" w:hAnsi="Times New Roman" w:cs="Times New Roman"/>
                <w:bCs/>
                <w:color w:val="auto"/>
                <w:sz w:val="24"/>
                <w:highlight w:val="none"/>
                <w:lang w:val="en-US" w:eastAsia="zh-CN"/>
              </w:rPr>
              <w:t>间</w:t>
            </w:r>
            <w:r>
              <w:rPr>
                <w:rFonts w:hint="default" w:ascii="Times New Roman" w:hAnsi="Times New Roman" w:cs="Times New Roman"/>
                <w:bCs/>
                <w:color w:val="auto"/>
                <w:sz w:val="24"/>
                <w:highlight w:val="none"/>
              </w:rPr>
              <w:t>的环境管理及施工监理工作。建立健全的环境管理机构和环境监理档案。在项目招投标承包合同中应明确环境保护与治理条款，承包商应明确承诺他们在施工过程中以及施工结束时的环境义务。</w:t>
            </w:r>
          </w:p>
          <w:p w14:paraId="7DC36F55">
            <w:pPr>
              <w:adjustRightInd w:val="0"/>
              <w:snapToGrid w:val="0"/>
              <w:spacing w:line="500" w:lineRule="atLeas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做好对施工人员环境保护宣传教育培训工作。施工单位在施工期间应认真贯彻环评报告表及其生态环境部门批复意见中所提</w:t>
            </w:r>
            <w:r>
              <w:rPr>
                <w:rFonts w:hint="default" w:ascii="Times New Roman" w:hAnsi="Times New Roman" w:cs="Times New Roman"/>
                <w:bCs/>
                <w:color w:val="auto"/>
                <w:sz w:val="24"/>
                <w:highlight w:val="none"/>
                <w:lang w:val="en-US" w:eastAsia="zh-CN"/>
              </w:rPr>
              <w:t>出</w:t>
            </w:r>
            <w:r>
              <w:rPr>
                <w:rFonts w:hint="default" w:ascii="Times New Roman" w:hAnsi="Times New Roman" w:cs="Times New Roman"/>
                <w:bCs/>
                <w:color w:val="auto"/>
                <w:sz w:val="24"/>
                <w:highlight w:val="none"/>
              </w:rPr>
              <w:t>的各项环境保护措施和要求，把环境保护工作真正落到实处。</w:t>
            </w:r>
          </w:p>
        </w:tc>
      </w:tr>
      <w:tr w14:paraId="71E1B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9" w:type="pct"/>
            <w:tcBorders>
              <w:top w:val="single" w:color="auto" w:sz="4" w:space="0"/>
              <w:left w:val="single" w:color="auto" w:sz="8" w:space="0"/>
              <w:bottom w:val="single" w:color="auto" w:sz="8" w:space="0"/>
              <w:right w:val="single" w:color="auto" w:sz="4" w:space="0"/>
            </w:tcBorders>
            <w:noWrap w:val="0"/>
            <w:vAlign w:val="center"/>
          </w:tcPr>
          <w:p w14:paraId="37EAAA94">
            <w:pPr>
              <w:adjustRightInd w:val="0"/>
              <w:snapToGrid w:val="0"/>
              <w:jc w:val="center"/>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z w:val="24"/>
                <w:highlight w:val="none"/>
              </w:rPr>
              <w:t>环保投资</w:t>
            </w:r>
          </w:p>
        </w:tc>
        <w:tc>
          <w:tcPr>
            <w:tcW w:w="4591" w:type="pct"/>
            <w:tcBorders>
              <w:top w:val="single" w:color="auto" w:sz="4" w:space="0"/>
              <w:left w:val="single" w:color="auto" w:sz="4" w:space="0"/>
              <w:bottom w:val="single" w:color="auto" w:sz="8" w:space="0"/>
              <w:right w:val="single" w:color="auto" w:sz="8" w:space="0"/>
            </w:tcBorders>
            <w:noWrap w:val="0"/>
            <w:vAlign w:val="top"/>
          </w:tcPr>
          <w:p w14:paraId="4B587B86">
            <w:pPr>
              <w:adjustRightInd w:val="0"/>
              <w:snapToGrid w:val="0"/>
              <w:spacing w:line="500" w:lineRule="atLeast"/>
              <w:ind w:firstLine="520" w:firstLineChars="200"/>
              <w:rPr>
                <w:rFonts w:hint="default" w:ascii="Times New Roman" w:hAnsi="Times New Roman" w:cs="Times New Roman"/>
                <w:bCs/>
                <w:color w:val="auto"/>
                <w:spacing w:val="10"/>
                <w:sz w:val="24"/>
                <w:highlight w:val="none"/>
              </w:rPr>
            </w:pPr>
            <w:r>
              <w:rPr>
                <w:rFonts w:hint="default" w:ascii="Times New Roman" w:hAnsi="Times New Roman" w:cs="Times New Roman"/>
                <w:bCs/>
                <w:color w:val="auto"/>
                <w:spacing w:val="10"/>
                <w:sz w:val="24"/>
                <w:highlight w:val="none"/>
                <w:lang w:val="en-US" w:eastAsia="zh-CN"/>
              </w:rPr>
              <w:t>根据</w:t>
            </w:r>
            <w:r>
              <w:rPr>
                <w:rFonts w:hint="default" w:ascii="Times New Roman" w:hAnsi="Times New Roman" w:cs="Times New Roman"/>
                <w:bCs/>
                <w:color w:val="auto"/>
                <w:spacing w:val="10"/>
                <w:sz w:val="24"/>
                <w:highlight w:val="none"/>
              </w:rPr>
              <w:t>《中华人民共和国水利部水利工程设计概（估）算编制规定</w:t>
            </w:r>
            <w:r>
              <w:rPr>
                <w:rFonts w:hint="default" w:ascii="Times New Roman" w:hAnsi="Times New Roman" w:cs="Times New Roman"/>
                <w:bCs/>
                <w:color w:val="auto"/>
                <w:spacing w:val="10"/>
                <w:sz w:val="24"/>
                <w:highlight w:val="none"/>
                <w:lang w:val="en-US" w:eastAsia="zh-CN"/>
              </w:rPr>
              <w:t xml:space="preserve"> </w:t>
            </w:r>
            <w:r>
              <w:rPr>
                <w:rFonts w:hint="default" w:ascii="Times New Roman" w:hAnsi="Times New Roman" w:cs="Times New Roman"/>
                <w:bCs/>
                <w:color w:val="auto"/>
                <w:spacing w:val="10"/>
                <w:sz w:val="24"/>
                <w:highlight w:val="none"/>
              </w:rPr>
              <w:t>环境保护工程》（水总</w:t>
            </w:r>
            <w:r>
              <w:rPr>
                <w:rFonts w:hint="default" w:ascii="Times New Roman" w:hAnsi="Times New Roman" w:cs="Times New Roman"/>
                <w:bCs/>
                <w:color w:val="auto"/>
                <w:spacing w:val="10"/>
                <w:sz w:val="24"/>
                <w:highlight w:val="none"/>
                <w:lang w:val="en-US" w:eastAsia="zh-CN"/>
              </w:rPr>
              <w:t>[</w:t>
            </w:r>
            <w:r>
              <w:rPr>
                <w:rFonts w:hint="default" w:ascii="Times New Roman" w:hAnsi="Times New Roman" w:cs="Times New Roman"/>
                <w:bCs/>
                <w:color w:val="auto"/>
                <w:spacing w:val="10"/>
                <w:sz w:val="24"/>
                <w:highlight w:val="none"/>
              </w:rPr>
              <w:t>2024</w:t>
            </w:r>
            <w:r>
              <w:rPr>
                <w:rFonts w:hint="default" w:ascii="Times New Roman" w:hAnsi="Times New Roman" w:cs="Times New Roman"/>
                <w:bCs/>
                <w:color w:val="auto"/>
                <w:spacing w:val="10"/>
                <w:sz w:val="24"/>
                <w:highlight w:val="none"/>
                <w:lang w:val="en-US" w:eastAsia="zh-CN"/>
              </w:rPr>
              <w:t>]</w:t>
            </w:r>
            <w:r>
              <w:rPr>
                <w:rFonts w:hint="default" w:ascii="Times New Roman" w:hAnsi="Times New Roman" w:cs="Times New Roman"/>
                <w:bCs/>
                <w:color w:val="auto"/>
                <w:spacing w:val="10"/>
                <w:sz w:val="24"/>
                <w:highlight w:val="none"/>
              </w:rPr>
              <w:t>323号）</w:t>
            </w:r>
            <w:r>
              <w:rPr>
                <w:rFonts w:hint="default" w:ascii="Times New Roman" w:hAnsi="Times New Roman" w:cs="Times New Roman"/>
                <w:bCs/>
                <w:color w:val="auto"/>
                <w:spacing w:val="10"/>
                <w:sz w:val="24"/>
                <w:highlight w:val="none"/>
                <w:lang w:eastAsia="zh-CN"/>
              </w:rPr>
              <w:t>，</w:t>
            </w:r>
            <w:r>
              <w:rPr>
                <w:rFonts w:hint="default" w:ascii="Times New Roman" w:hAnsi="Times New Roman" w:cs="Times New Roman"/>
                <w:bCs/>
                <w:color w:val="auto"/>
                <w:spacing w:val="10"/>
                <w:sz w:val="24"/>
                <w:highlight w:val="none"/>
              </w:rPr>
              <w:t>本工程环境保护设计总投资为</w:t>
            </w:r>
            <w:r>
              <w:rPr>
                <w:rFonts w:hint="eastAsia" w:cs="Times New Roman"/>
                <w:bCs/>
                <w:color w:val="auto"/>
                <w:spacing w:val="10"/>
                <w:sz w:val="24"/>
                <w:highlight w:val="none"/>
                <w:lang w:val="en-US" w:eastAsia="zh-CN"/>
              </w:rPr>
              <w:t>31.17</w:t>
            </w:r>
            <w:r>
              <w:rPr>
                <w:rFonts w:hint="default" w:ascii="Times New Roman" w:hAnsi="Times New Roman" w:cs="Times New Roman"/>
                <w:bCs/>
                <w:color w:val="auto"/>
                <w:spacing w:val="10"/>
                <w:sz w:val="24"/>
                <w:highlight w:val="none"/>
              </w:rPr>
              <w:t>万元。工程总投资</w:t>
            </w:r>
            <w:r>
              <w:rPr>
                <w:rFonts w:hint="eastAsia" w:cs="Times New Roman"/>
                <w:bCs/>
                <w:color w:val="auto"/>
                <w:spacing w:val="10"/>
                <w:sz w:val="24"/>
                <w:highlight w:val="none"/>
                <w:lang w:val="en-US" w:eastAsia="zh-CN"/>
              </w:rPr>
              <w:t>85.31</w:t>
            </w:r>
            <w:r>
              <w:rPr>
                <w:rFonts w:hint="default" w:ascii="Times New Roman" w:hAnsi="Times New Roman" w:cs="Times New Roman"/>
                <w:bCs/>
                <w:color w:val="auto"/>
                <w:spacing w:val="10"/>
                <w:sz w:val="24"/>
                <w:highlight w:val="none"/>
              </w:rPr>
              <w:t>万元，环保投资占比</w:t>
            </w:r>
            <w:r>
              <w:rPr>
                <w:rFonts w:hint="eastAsia" w:cs="Times New Roman"/>
                <w:bCs/>
                <w:color w:val="auto"/>
                <w:spacing w:val="10"/>
                <w:sz w:val="24"/>
                <w:highlight w:val="none"/>
                <w:lang w:val="en-US" w:eastAsia="zh-CN"/>
              </w:rPr>
              <w:t>36.54</w:t>
            </w:r>
            <w:r>
              <w:rPr>
                <w:rFonts w:hint="default" w:ascii="Times New Roman" w:hAnsi="Times New Roman" w:cs="Times New Roman"/>
                <w:bCs/>
                <w:color w:val="auto"/>
                <w:spacing w:val="10"/>
                <w:sz w:val="24"/>
                <w:highlight w:val="none"/>
              </w:rPr>
              <w:t>%。环保投资估算情况详见下表。</w:t>
            </w:r>
          </w:p>
          <w:p w14:paraId="4CC0D5A6">
            <w:pPr>
              <w:adjustRightInd w:val="0"/>
              <w:snapToGrid w:val="0"/>
              <w:spacing w:line="500" w:lineRule="atLeast"/>
              <w:ind w:firstLine="422" w:firstLineChars="20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表5</w:t>
            </w:r>
            <w:r>
              <w:rPr>
                <w:rFonts w:hint="default" w:ascii="Times New Roman" w:hAnsi="Times New Roman" w:cs="Times New Roman"/>
                <w:b/>
                <w:bCs/>
                <w:color w:val="auto"/>
                <w:sz w:val="21"/>
                <w:szCs w:val="21"/>
                <w:highlight w:val="none"/>
                <w:lang w:eastAsia="zh-CN"/>
              </w:rPr>
              <w:t>—</w:t>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环保投资计算表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6"/>
              <w:gridCol w:w="2652"/>
              <w:gridCol w:w="874"/>
              <w:gridCol w:w="696"/>
              <w:gridCol w:w="1006"/>
              <w:gridCol w:w="1195"/>
            </w:tblGrid>
            <w:tr w14:paraId="296CD6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noWrap w:val="0"/>
                  <w:vAlign w:val="center"/>
                </w:tcPr>
                <w:p w14:paraId="42685E20">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序号</w:t>
                  </w:r>
                </w:p>
              </w:tc>
              <w:tc>
                <w:tcPr>
                  <w:tcW w:w="1758" w:type="pct"/>
                  <w:noWrap w:val="0"/>
                  <w:vAlign w:val="center"/>
                </w:tcPr>
                <w:p w14:paraId="142EBE60">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项目名称</w:t>
                  </w:r>
                </w:p>
              </w:tc>
              <w:tc>
                <w:tcPr>
                  <w:tcW w:w="579" w:type="pct"/>
                  <w:noWrap w:val="0"/>
                  <w:vAlign w:val="center"/>
                </w:tcPr>
                <w:p w14:paraId="45560191">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单位</w:t>
                  </w:r>
                </w:p>
              </w:tc>
              <w:tc>
                <w:tcPr>
                  <w:tcW w:w="461" w:type="pct"/>
                  <w:noWrap w:val="0"/>
                  <w:vAlign w:val="center"/>
                </w:tcPr>
                <w:p w14:paraId="41E2E4BD">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数量</w:t>
                  </w:r>
                </w:p>
              </w:tc>
              <w:tc>
                <w:tcPr>
                  <w:tcW w:w="667" w:type="pct"/>
                  <w:noWrap w:val="0"/>
                  <w:vAlign w:val="center"/>
                </w:tcPr>
                <w:p w14:paraId="0214D953">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单价（元）</w:t>
                  </w:r>
                </w:p>
              </w:tc>
              <w:tc>
                <w:tcPr>
                  <w:tcW w:w="792" w:type="pct"/>
                  <w:noWrap w:val="0"/>
                  <w:vAlign w:val="center"/>
                </w:tcPr>
                <w:p w14:paraId="4F1B5CCD">
                  <w:pPr>
                    <w:pStyle w:val="7"/>
                    <w:keepNext/>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 w:val="21"/>
                      <w:szCs w:val="21"/>
                      <w:highlight w:val="none"/>
                      <w:lang w:val="en-US" w:eastAsia="zh-CN"/>
                    </w:rPr>
                    <w:t>投资（万元）</w:t>
                  </w:r>
                </w:p>
              </w:tc>
            </w:tr>
            <w:tr w14:paraId="2E661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9B36CC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第一部分</w:t>
                  </w:r>
                </w:p>
              </w:tc>
              <w:tc>
                <w:tcPr>
                  <w:tcW w:w="1758" w:type="pct"/>
                  <w:shd w:val="clear" w:color="auto" w:fill="auto"/>
                  <w:noWrap w:val="0"/>
                  <w:vAlign w:val="center"/>
                </w:tcPr>
                <w:p w14:paraId="0EEC6C1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环境保护措施投资</w:t>
                  </w:r>
                </w:p>
              </w:tc>
              <w:tc>
                <w:tcPr>
                  <w:tcW w:w="579" w:type="pct"/>
                  <w:shd w:val="clear" w:color="auto" w:fill="auto"/>
                  <w:noWrap w:val="0"/>
                  <w:vAlign w:val="center"/>
                </w:tcPr>
                <w:p w14:paraId="2736E17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5361643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68AD460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C077D4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9.69 </w:t>
                  </w:r>
                </w:p>
              </w:tc>
            </w:tr>
            <w:tr w14:paraId="7513B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D6F1BB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191BB57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生态流量保障</w:t>
                  </w:r>
                </w:p>
              </w:tc>
              <w:tc>
                <w:tcPr>
                  <w:tcW w:w="579" w:type="pct"/>
                  <w:shd w:val="clear" w:color="auto" w:fill="auto"/>
                  <w:noWrap w:val="0"/>
                  <w:vAlign w:val="center"/>
                </w:tcPr>
                <w:p w14:paraId="2823FD1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0BF06DE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0CBA220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0A56101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r>
            <w:tr w14:paraId="315F9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56A225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二</w:t>
                  </w:r>
                </w:p>
              </w:tc>
              <w:tc>
                <w:tcPr>
                  <w:tcW w:w="1758" w:type="pct"/>
                  <w:shd w:val="clear" w:color="auto" w:fill="auto"/>
                  <w:noWrap w:val="0"/>
                  <w:vAlign w:val="center"/>
                </w:tcPr>
                <w:p w14:paraId="472699E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水环境保护</w:t>
                  </w:r>
                </w:p>
              </w:tc>
              <w:tc>
                <w:tcPr>
                  <w:tcW w:w="579" w:type="pct"/>
                  <w:shd w:val="clear" w:color="auto" w:fill="auto"/>
                  <w:noWrap w:val="0"/>
                  <w:vAlign w:val="center"/>
                </w:tcPr>
                <w:p w14:paraId="776170F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6BF725E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5AA671A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527FE4C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6.70 </w:t>
                  </w:r>
                </w:p>
              </w:tc>
            </w:tr>
            <w:tr w14:paraId="31E2A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467ACBF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00BB3FA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工程施工废污水处理</w:t>
                  </w:r>
                </w:p>
              </w:tc>
              <w:tc>
                <w:tcPr>
                  <w:tcW w:w="579" w:type="pct"/>
                  <w:shd w:val="clear" w:color="auto" w:fill="auto"/>
                  <w:noWrap w:val="0"/>
                  <w:vAlign w:val="center"/>
                </w:tcPr>
                <w:p w14:paraId="259B95C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6B4320C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081B2A4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CB871F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6.70 </w:t>
                  </w:r>
                </w:p>
              </w:tc>
            </w:tr>
            <w:tr w14:paraId="5C3BE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4901DF6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5363D51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含油废水处理</w:t>
                  </w:r>
                </w:p>
              </w:tc>
              <w:tc>
                <w:tcPr>
                  <w:tcW w:w="579" w:type="pct"/>
                  <w:shd w:val="clear" w:color="auto" w:fill="auto"/>
                  <w:noWrap w:val="0"/>
                  <w:vAlign w:val="center"/>
                </w:tcPr>
                <w:p w14:paraId="6C8D99A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6E9BEEE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235E0B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598D749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4.00 </w:t>
                  </w:r>
                </w:p>
              </w:tc>
            </w:tr>
            <w:tr w14:paraId="46D25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FC4CE3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1.1</w:t>
                  </w:r>
                </w:p>
              </w:tc>
              <w:tc>
                <w:tcPr>
                  <w:tcW w:w="1758" w:type="pct"/>
                  <w:shd w:val="clear" w:color="auto" w:fill="auto"/>
                  <w:noWrap w:val="0"/>
                  <w:vAlign w:val="center"/>
                </w:tcPr>
                <w:p w14:paraId="1983EA3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油水分离器</w:t>
                  </w:r>
                </w:p>
              </w:tc>
              <w:tc>
                <w:tcPr>
                  <w:tcW w:w="579" w:type="pct"/>
                  <w:shd w:val="clear" w:color="auto" w:fill="auto"/>
                  <w:noWrap w:val="0"/>
                  <w:vAlign w:val="center"/>
                </w:tcPr>
                <w:p w14:paraId="6181630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台</w:t>
                  </w:r>
                </w:p>
              </w:tc>
              <w:tc>
                <w:tcPr>
                  <w:tcW w:w="461" w:type="pct"/>
                  <w:shd w:val="clear" w:color="auto" w:fill="auto"/>
                  <w:noWrap w:val="0"/>
                  <w:vAlign w:val="center"/>
                </w:tcPr>
                <w:p w14:paraId="66C3E06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6C36AAB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15000</w:t>
                  </w:r>
                </w:p>
              </w:tc>
              <w:tc>
                <w:tcPr>
                  <w:tcW w:w="792" w:type="pct"/>
                  <w:shd w:val="clear" w:color="auto" w:fill="auto"/>
                  <w:noWrap w:val="0"/>
                  <w:vAlign w:val="center"/>
                </w:tcPr>
                <w:p w14:paraId="40DC94E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1.50 </w:t>
                  </w:r>
                </w:p>
              </w:tc>
            </w:tr>
            <w:tr w14:paraId="5C4256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F8C1F1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1.2</w:t>
                  </w:r>
                </w:p>
              </w:tc>
              <w:tc>
                <w:tcPr>
                  <w:tcW w:w="1758" w:type="pct"/>
                  <w:shd w:val="clear" w:color="auto" w:fill="auto"/>
                  <w:noWrap w:val="0"/>
                  <w:vAlign w:val="center"/>
                </w:tcPr>
                <w:p w14:paraId="0C82396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沉淀池</w:t>
                  </w:r>
                </w:p>
              </w:tc>
              <w:tc>
                <w:tcPr>
                  <w:tcW w:w="579" w:type="pct"/>
                  <w:shd w:val="clear" w:color="auto" w:fill="auto"/>
                  <w:noWrap w:val="0"/>
                  <w:vAlign w:val="center"/>
                </w:tcPr>
                <w:p w14:paraId="2FF1DCA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3B70622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4BAF97D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10000</w:t>
                  </w:r>
                </w:p>
              </w:tc>
              <w:tc>
                <w:tcPr>
                  <w:tcW w:w="792" w:type="pct"/>
                  <w:shd w:val="clear" w:color="auto" w:fill="auto"/>
                  <w:noWrap w:val="0"/>
                  <w:vAlign w:val="center"/>
                </w:tcPr>
                <w:p w14:paraId="6273079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1.00 </w:t>
                  </w:r>
                </w:p>
              </w:tc>
            </w:tr>
            <w:tr w14:paraId="598A9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3608D91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1.3</w:t>
                  </w:r>
                </w:p>
              </w:tc>
              <w:tc>
                <w:tcPr>
                  <w:tcW w:w="1758" w:type="pct"/>
                  <w:shd w:val="clear" w:color="auto" w:fill="auto"/>
                  <w:noWrap w:val="0"/>
                  <w:vAlign w:val="center"/>
                </w:tcPr>
                <w:p w14:paraId="1ECB57C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清水池</w:t>
                  </w:r>
                </w:p>
              </w:tc>
              <w:tc>
                <w:tcPr>
                  <w:tcW w:w="579" w:type="pct"/>
                  <w:shd w:val="clear" w:color="auto" w:fill="auto"/>
                  <w:noWrap w:val="0"/>
                  <w:vAlign w:val="center"/>
                </w:tcPr>
                <w:p w14:paraId="5FE9FBF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0A8BB8E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1265AEC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10000</w:t>
                  </w:r>
                </w:p>
              </w:tc>
              <w:tc>
                <w:tcPr>
                  <w:tcW w:w="792" w:type="pct"/>
                  <w:shd w:val="clear" w:color="auto" w:fill="auto"/>
                  <w:noWrap w:val="0"/>
                  <w:vAlign w:val="center"/>
                </w:tcPr>
                <w:p w14:paraId="495DB70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1.00 </w:t>
                  </w:r>
                </w:p>
              </w:tc>
            </w:tr>
            <w:tr w14:paraId="0E6BC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0B6DDE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1.6</w:t>
                  </w:r>
                </w:p>
              </w:tc>
              <w:tc>
                <w:tcPr>
                  <w:tcW w:w="1758" w:type="pct"/>
                  <w:shd w:val="clear" w:color="auto" w:fill="auto"/>
                  <w:noWrap w:val="0"/>
                  <w:vAlign w:val="center"/>
                </w:tcPr>
                <w:p w14:paraId="48F7E3A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运行管理费用</w:t>
                  </w:r>
                </w:p>
              </w:tc>
              <w:tc>
                <w:tcPr>
                  <w:tcW w:w="579" w:type="pct"/>
                  <w:shd w:val="clear" w:color="auto" w:fill="auto"/>
                  <w:noWrap w:val="0"/>
                  <w:vAlign w:val="center"/>
                </w:tcPr>
                <w:p w14:paraId="2FCE300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年</w:t>
                  </w:r>
                </w:p>
              </w:tc>
              <w:tc>
                <w:tcPr>
                  <w:tcW w:w="461" w:type="pct"/>
                  <w:shd w:val="clear" w:color="auto" w:fill="auto"/>
                  <w:noWrap w:val="0"/>
                  <w:vAlign w:val="center"/>
                </w:tcPr>
                <w:p w14:paraId="74DCEF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6BD0865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5000</w:t>
                  </w:r>
                </w:p>
              </w:tc>
              <w:tc>
                <w:tcPr>
                  <w:tcW w:w="792" w:type="pct"/>
                  <w:shd w:val="clear" w:color="auto" w:fill="auto"/>
                  <w:noWrap w:val="0"/>
                  <w:vAlign w:val="center"/>
                </w:tcPr>
                <w:p w14:paraId="3F813B5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0.50 </w:t>
                  </w:r>
                </w:p>
              </w:tc>
            </w:tr>
            <w:tr w14:paraId="344928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5F471A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w:t>
                  </w:r>
                </w:p>
              </w:tc>
              <w:tc>
                <w:tcPr>
                  <w:tcW w:w="1758" w:type="pct"/>
                  <w:shd w:val="clear" w:color="auto" w:fill="auto"/>
                  <w:noWrap w:val="0"/>
                  <w:vAlign w:val="center"/>
                </w:tcPr>
                <w:p w14:paraId="29DAFFD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生活污水处理</w:t>
                  </w:r>
                </w:p>
              </w:tc>
              <w:tc>
                <w:tcPr>
                  <w:tcW w:w="579" w:type="pct"/>
                  <w:shd w:val="clear" w:color="auto" w:fill="auto"/>
                  <w:noWrap w:val="0"/>
                  <w:vAlign w:val="center"/>
                </w:tcPr>
                <w:p w14:paraId="4B33E1B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71FB18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747D652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272E5D1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sz w:val="21"/>
                      <w:szCs w:val="21"/>
                      <w:highlight w:val="none"/>
                      <w:lang w:val="en-US" w:eastAsia="zh-CN"/>
                    </w:rPr>
                    <w:t>1</w:t>
                  </w:r>
                  <w:r>
                    <w:rPr>
                      <w:rFonts w:hint="default" w:ascii="Times New Roman" w:hAnsi="Times New Roman" w:cs="Times New Roman"/>
                      <w:color w:val="000000"/>
                      <w:sz w:val="21"/>
                      <w:szCs w:val="21"/>
                      <w:highlight w:val="none"/>
                    </w:rPr>
                    <w:t xml:space="preserve">.70 </w:t>
                  </w:r>
                </w:p>
              </w:tc>
            </w:tr>
            <w:tr w14:paraId="3E105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C44F12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3.1</w:t>
                  </w:r>
                </w:p>
              </w:tc>
              <w:tc>
                <w:tcPr>
                  <w:tcW w:w="1758" w:type="pct"/>
                  <w:shd w:val="clear" w:color="auto" w:fill="auto"/>
                  <w:noWrap w:val="0"/>
                  <w:vAlign w:val="center"/>
                </w:tcPr>
                <w:p w14:paraId="559A27B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防渗旱厕</w:t>
                  </w:r>
                </w:p>
              </w:tc>
              <w:tc>
                <w:tcPr>
                  <w:tcW w:w="579" w:type="pct"/>
                  <w:shd w:val="clear" w:color="auto" w:fill="auto"/>
                  <w:noWrap w:val="0"/>
                  <w:vAlign w:val="center"/>
                </w:tcPr>
                <w:p w14:paraId="1442F50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4D9393F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633A9E4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10000</w:t>
                  </w:r>
                </w:p>
              </w:tc>
              <w:tc>
                <w:tcPr>
                  <w:tcW w:w="792" w:type="pct"/>
                  <w:shd w:val="clear" w:color="auto" w:fill="auto"/>
                  <w:noWrap w:val="0"/>
                  <w:vAlign w:val="center"/>
                </w:tcPr>
                <w:p w14:paraId="4296094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1.00 </w:t>
                  </w:r>
                </w:p>
              </w:tc>
            </w:tr>
            <w:tr w14:paraId="25BED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3934A99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3.2</w:t>
                  </w:r>
                </w:p>
              </w:tc>
              <w:tc>
                <w:tcPr>
                  <w:tcW w:w="1758" w:type="pct"/>
                  <w:shd w:val="clear" w:color="auto" w:fill="auto"/>
                  <w:noWrap w:val="0"/>
                  <w:vAlign w:val="center"/>
                </w:tcPr>
                <w:p w14:paraId="701A712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化粪池</w:t>
                  </w:r>
                </w:p>
              </w:tc>
              <w:tc>
                <w:tcPr>
                  <w:tcW w:w="579" w:type="pct"/>
                  <w:shd w:val="clear" w:color="auto" w:fill="auto"/>
                  <w:noWrap w:val="0"/>
                  <w:vAlign w:val="center"/>
                </w:tcPr>
                <w:p w14:paraId="2FF2643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3C0E52C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4215D23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2000</w:t>
                  </w:r>
                </w:p>
              </w:tc>
              <w:tc>
                <w:tcPr>
                  <w:tcW w:w="792" w:type="pct"/>
                  <w:shd w:val="clear" w:color="auto" w:fill="auto"/>
                  <w:noWrap w:val="0"/>
                  <w:vAlign w:val="center"/>
                </w:tcPr>
                <w:p w14:paraId="78B6B17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sz w:val="21"/>
                      <w:szCs w:val="21"/>
                      <w:highlight w:val="none"/>
                      <w:lang w:val="en-US" w:eastAsia="zh-CN"/>
                    </w:rPr>
                    <w:t>0</w:t>
                  </w:r>
                  <w:r>
                    <w:rPr>
                      <w:rFonts w:hint="default" w:ascii="Times New Roman" w:hAnsi="Times New Roman" w:cs="Times New Roman"/>
                      <w:color w:val="000000"/>
                      <w:sz w:val="21"/>
                      <w:szCs w:val="21"/>
                      <w:highlight w:val="none"/>
                    </w:rPr>
                    <w:t xml:space="preserve">.20 </w:t>
                  </w:r>
                </w:p>
              </w:tc>
            </w:tr>
            <w:tr w14:paraId="081E0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37B9CA2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3.3</w:t>
                  </w:r>
                </w:p>
              </w:tc>
              <w:tc>
                <w:tcPr>
                  <w:tcW w:w="1758" w:type="pct"/>
                  <w:shd w:val="clear" w:color="auto" w:fill="auto"/>
                  <w:noWrap w:val="0"/>
                  <w:vAlign w:val="center"/>
                </w:tcPr>
                <w:p w14:paraId="5CDA8C5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运行管理费用</w:t>
                  </w:r>
                </w:p>
              </w:tc>
              <w:tc>
                <w:tcPr>
                  <w:tcW w:w="579" w:type="pct"/>
                  <w:shd w:val="clear" w:color="auto" w:fill="auto"/>
                  <w:noWrap w:val="0"/>
                  <w:vAlign w:val="center"/>
                </w:tcPr>
                <w:p w14:paraId="3C464CB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年</w:t>
                  </w:r>
                </w:p>
              </w:tc>
              <w:tc>
                <w:tcPr>
                  <w:tcW w:w="461" w:type="pct"/>
                  <w:shd w:val="clear" w:color="auto" w:fill="auto"/>
                  <w:noWrap w:val="0"/>
                  <w:vAlign w:val="center"/>
                </w:tcPr>
                <w:p w14:paraId="3635F27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50926C2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5000</w:t>
                  </w:r>
                </w:p>
              </w:tc>
              <w:tc>
                <w:tcPr>
                  <w:tcW w:w="792" w:type="pct"/>
                  <w:shd w:val="clear" w:color="auto" w:fill="auto"/>
                  <w:noWrap w:val="0"/>
                  <w:vAlign w:val="center"/>
                </w:tcPr>
                <w:p w14:paraId="7C54DE3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0.50 </w:t>
                  </w:r>
                </w:p>
              </w:tc>
            </w:tr>
            <w:tr w14:paraId="5A828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F78567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三</w:t>
                  </w:r>
                </w:p>
              </w:tc>
              <w:tc>
                <w:tcPr>
                  <w:tcW w:w="1758" w:type="pct"/>
                  <w:shd w:val="clear" w:color="auto" w:fill="auto"/>
                  <w:noWrap w:val="0"/>
                  <w:vAlign w:val="center"/>
                </w:tcPr>
                <w:p w14:paraId="510DA4E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生态环境保护</w:t>
                  </w:r>
                </w:p>
              </w:tc>
              <w:tc>
                <w:tcPr>
                  <w:tcW w:w="579" w:type="pct"/>
                  <w:shd w:val="clear" w:color="auto" w:fill="auto"/>
                  <w:noWrap w:val="0"/>
                  <w:vAlign w:val="center"/>
                </w:tcPr>
                <w:p w14:paraId="5008D67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454493A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8965AE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7250AB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r>
            <w:tr w14:paraId="2A39E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DDF305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四</w:t>
                  </w:r>
                </w:p>
              </w:tc>
              <w:tc>
                <w:tcPr>
                  <w:tcW w:w="1758" w:type="pct"/>
                  <w:shd w:val="clear" w:color="auto" w:fill="auto"/>
                  <w:noWrap w:val="0"/>
                  <w:vAlign w:val="center"/>
                </w:tcPr>
                <w:p w14:paraId="28CAFF4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大气环境保护</w:t>
                  </w:r>
                </w:p>
              </w:tc>
              <w:tc>
                <w:tcPr>
                  <w:tcW w:w="579" w:type="pct"/>
                  <w:shd w:val="clear" w:color="auto" w:fill="auto"/>
                  <w:noWrap w:val="0"/>
                  <w:vAlign w:val="center"/>
                </w:tcPr>
                <w:p w14:paraId="72EB1CD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4EF1D51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0D646F1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660188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1.04 </w:t>
                  </w:r>
                </w:p>
              </w:tc>
            </w:tr>
            <w:tr w14:paraId="5D460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0165604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645CC30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粉尘污染防治</w:t>
                  </w:r>
                </w:p>
              </w:tc>
              <w:tc>
                <w:tcPr>
                  <w:tcW w:w="579" w:type="pct"/>
                  <w:shd w:val="clear" w:color="auto" w:fill="auto"/>
                  <w:noWrap w:val="0"/>
                  <w:vAlign w:val="center"/>
                </w:tcPr>
                <w:p w14:paraId="155CF1D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0189DC7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6BA411C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652780F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1.04 </w:t>
                  </w:r>
                </w:p>
              </w:tc>
            </w:tr>
            <w:tr w14:paraId="4F6C7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0589B5F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2388F2B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洒水降尘</w:t>
                  </w:r>
                </w:p>
              </w:tc>
              <w:tc>
                <w:tcPr>
                  <w:tcW w:w="579" w:type="pct"/>
                  <w:shd w:val="clear" w:color="auto" w:fill="auto"/>
                  <w:noWrap w:val="0"/>
                  <w:vAlign w:val="center"/>
                </w:tcPr>
                <w:p w14:paraId="487D07B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年</w:t>
                  </w:r>
                </w:p>
              </w:tc>
              <w:tc>
                <w:tcPr>
                  <w:tcW w:w="461" w:type="pct"/>
                  <w:shd w:val="clear" w:color="auto" w:fill="auto"/>
                  <w:noWrap w:val="0"/>
                  <w:vAlign w:val="center"/>
                </w:tcPr>
                <w:p w14:paraId="01C6EEB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675B9F8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10000</w:t>
                  </w:r>
                </w:p>
              </w:tc>
              <w:tc>
                <w:tcPr>
                  <w:tcW w:w="792" w:type="pct"/>
                  <w:shd w:val="clear" w:color="auto" w:fill="auto"/>
                  <w:noWrap w:val="0"/>
                  <w:vAlign w:val="center"/>
                </w:tcPr>
                <w:p w14:paraId="00425D6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1.00 </w:t>
                  </w:r>
                </w:p>
              </w:tc>
            </w:tr>
            <w:tr w14:paraId="0BBEC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0802B5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1758" w:type="pct"/>
                  <w:shd w:val="clear" w:color="auto" w:fill="auto"/>
                  <w:noWrap w:val="0"/>
                  <w:vAlign w:val="center"/>
                </w:tcPr>
                <w:p w14:paraId="3C6B13F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防尘口罩</w:t>
                  </w:r>
                </w:p>
              </w:tc>
              <w:tc>
                <w:tcPr>
                  <w:tcW w:w="579" w:type="pct"/>
                  <w:shd w:val="clear" w:color="auto" w:fill="auto"/>
                  <w:noWrap w:val="0"/>
                  <w:vAlign w:val="center"/>
                </w:tcPr>
                <w:p w14:paraId="3E22F99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5204F9C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20</w:t>
                  </w:r>
                </w:p>
              </w:tc>
              <w:tc>
                <w:tcPr>
                  <w:tcW w:w="667" w:type="pct"/>
                  <w:shd w:val="clear" w:color="auto" w:fill="auto"/>
                  <w:noWrap w:val="0"/>
                  <w:vAlign w:val="center"/>
                </w:tcPr>
                <w:p w14:paraId="40944AF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20</w:t>
                  </w:r>
                </w:p>
              </w:tc>
              <w:tc>
                <w:tcPr>
                  <w:tcW w:w="792" w:type="pct"/>
                  <w:shd w:val="clear" w:color="auto" w:fill="auto"/>
                  <w:noWrap w:val="0"/>
                  <w:vAlign w:val="center"/>
                </w:tcPr>
                <w:p w14:paraId="5F64A85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0.04 </w:t>
                  </w:r>
                </w:p>
              </w:tc>
            </w:tr>
            <w:tr w14:paraId="61881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E5A5DF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五</w:t>
                  </w:r>
                </w:p>
              </w:tc>
              <w:tc>
                <w:tcPr>
                  <w:tcW w:w="1758" w:type="pct"/>
                  <w:shd w:val="clear" w:color="auto" w:fill="auto"/>
                  <w:noWrap w:val="0"/>
                  <w:vAlign w:val="center"/>
                </w:tcPr>
                <w:p w14:paraId="1DF3B7C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声环境保护</w:t>
                  </w:r>
                </w:p>
              </w:tc>
              <w:tc>
                <w:tcPr>
                  <w:tcW w:w="579" w:type="pct"/>
                  <w:shd w:val="clear" w:color="auto" w:fill="auto"/>
                  <w:noWrap w:val="0"/>
                  <w:vAlign w:val="center"/>
                </w:tcPr>
                <w:p w14:paraId="5A9F9F8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1704F2E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761F987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7D75F66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0.01 </w:t>
                  </w:r>
                </w:p>
              </w:tc>
            </w:tr>
            <w:tr w14:paraId="522A2A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1A3428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7D61756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声源控制</w:t>
                  </w:r>
                </w:p>
              </w:tc>
              <w:tc>
                <w:tcPr>
                  <w:tcW w:w="579" w:type="pct"/>
                  <w:shd w:val="clear" w:color="auto" w:fill="auto"/>
                  <w:noWrap w:val="0"/>
                  <w:vAlign w:val="center"/>
                </w:tcPr>
                <w:p w14:paraId="4A684A8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1B850D7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6504A15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7EF1681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0.01 </w:t>
                  </w:r>
                </w:p>
              </w:tc>
            </w:tr>
            <w:tr w14:paraId="1D083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BE31F9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2430BA6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移动声屏障</w:t>
                  </w:r>
                </w:p>
              </w:tc>
              <w:tc>
                <w:tcPr>
                  <w:tcW w:w="579" w:type="pct"/>
                  <w:shd w:val="clear" w:color="auto" w:fill="auto"/>
                  <w:noWrap w:val="0"/>
                  <w:vAlign w:val="center"/>
                </w:tcPr>
                <w:p w14:paraId="6084149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m</w:t>
                  </w:r>
                </w:p>
              </w:tc>
              <w:tc>
                <w:tcPr>
                  <w:tcW w:w="461" w:type="pct"/>
                  <w:shd w:val="clear" w:color="auto" w:fill="auto"/>
                  <w:noWrap w:val="0"/>
                  <w:vAlign w:val="center"/>
                </w:tcPr>
                <w:p w14:paraId="4AFFFE4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3539EFE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500</w:t>
                  </w:r>
                </w:p>
              </w:tc>
              <w:tc>
                <w:tcPr>
                  <w:tcW w:w="792" w:type="pct"/>
                  <w:shd w:val="clear" w:color="auto" w:fill="auto"/>
                  <w:noWrap w:val="0"/>
                  <w:vAlign w:val="center"/>
                </w:tcPr>
                <w:p w14:paraId="50A5246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0.00 </w:t>
                  </w:r>
                </w:p>
              </w:tc>
            </w:tr>
            <w:tr w14:paraId="74C8B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322E7E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1758" w:type="pct"/>
                  <w:shd w:val="clear" w:color="auto" w:fill="auto"/>
                  <w:noWrap w:val="0"/>
                  <w:vAlign w:val="center"/>
                </w:tcPr>
                <w:p w14:paraId="4FDBD7D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防噪耳塞</w:t>
                  </w:r>
                </w:p>
              </w:tc>
              <w:tc>
                <w:tcPr>
                  <w:tcW w:w="579" w:type="pct"/>
                  <w:shd w:val="clear" w:color="auto" w:fill="auto"/>
                  <w:noWrap w:val="0"/>
                  <w:vAlign w:val="center"/>
                </w:tcPr>
                <w:p w14:paraId="7492978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副</w:t>
                  </w:r>
                </w:p>
              </w:tc>
              <w:tc>
                <w:tcPr>
                  <w:tcW w:w="461" w:type="pct"/>
                  <w:shd w:val="clear" w:color="auto" w:fill="auto"/>
                  <w:noWrap w:val="0"/>
                  <w:vAlign w:val="center"/>
                </w:tcPr>
                <w:p w14:paraId="07F2E12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20</w:t>
                  </w:r>
                </w:p>
              </w:tc>
              <w:tc>
                <w:tcPr>
                  <w:tcW w:w="667" w:type="pct"/>
                  <w:shd w:val="clear" w:color="auto" w:fill="auto"/>
                  <w:noWrap w:val="0"/>
                  <w:vAlign w:val="center"/>
                </w:tcPr>
                <w:p w14:paraId="0E324CA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5</w:t>
                  </w:r>
                </w:p>
              </w:tc>
              <w:tc>
                <w:tcPr>
                  <w:tcW w:w="792" w:type="pct"/>
                  <w:shd w:val="clear" w:color="auto" w:fill="auto"/>
                  <w:noWrap w:val="0"/>
                  <w:vAlign w:val="center"/>
                </w:tcPr>
                <w:p w14:paraId="552E275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0.01 </w:t>
                  </w:r>
                </w:p>
              </w:tc>
            </w:tr>
            <w:tr w14:paraId="016AA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312C29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六</w:t>
                  </w:r>
                </w:p>
              </w:tc>
              <w:tc>
                <w:tcPr>
                  <w:tcW w:w="1758" w:type="pct"/>
                  <w:shd w:val="clear" w:color="auto" w:fill="auto"/>
                  <w:noWrap w:val="0"/>
                  <w:vAlign w:val="center"/>
                </w:tcPr>
                <w:p w14:paraId="4753DD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固体废物处置</w:t>
                  </w:r>
                </w:p>
              </w:tc>
              <w:tc>
                <w:tcPr>
                  <w:tcW w:w="579" w:type="pct"/>
                  <w:shd w:val="clear" w:color="auto" w:fill="auto"/>
                  <w:noWrap w:val="0"/>
                  <w:vAlign w:val="center"/>
                </w:tcPr>
                <w:p w14:paraId="58BD023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3917EB5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3C452A9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4C1666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0.93 </w:t>
                  </w:r>
                </w:p>
              </w:tc>
            </w:tr>
            <w:tr w14:paraId="5F360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8F7B29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4016D72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生活垃圾处置</w:t>
                  </w:r>
                </w:p>
              </w:tc>
              <w:tc>
                <w:tcPr>
                  <w:tcW w:w="579" w:type="pct"/>
                  <w:shd w:val="clear" w:color="auto" w:fill="auto"/>
                  <w:noWrap w:val="0"/>
                  <w:vAlign w:val="center"/>
                </w:tcPr>
                <w:p w14:paraId="03D5F0F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2A2F4A7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287EB3C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1060CC2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0.93 </w:t>
                  </w:r>
                </w:p>
              </w:tc>
            </w:tr>
            <w:tr w14:paraId="595C1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79ECBD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3FC6BA7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垃圾桶</w:t>
                  </w:r>
                </w:p>
              </w:tc>
              <w:tc>
                <w:tcPr>
                  <w:tcW w:w="579" w:type="pct"/>
                  <w:shd w:val="clear" w:color="auto" w:fill="auto"/>
                  <w:noWrap w:val="0"/>
                  <w:vAlign w:val="center"/>
                </w:tcPr>
                <w:p w14:paraId="6668BAF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个</w:t>
                  </w:r>
                </w:p>
              </w:tc>
              <w:tc>
                <w:tcPr>
                  <w:tcW w:w="461" w:type="pct"/>
                  <w:shd w:val="clear" w:color="auto" w:fill="auto"/>
                  <w:noWrap w:val="0"/>
                  <w:vAlign w:val="center"/>
                </w:tcPr>
                <w:p w14:paraId="5A4EA7A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667" w:type="pct"/>
                  <w:shd w:val="clear" w:color="auto" w:fill="auto"/>
                  <w:noWrap w:val="0"/>
                  <w:vAlign w:val="center"/>
                </w:tcPr>
                <w:p w14:paraId="338F7A5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400</w:t>
                  </w:r>
                </w:p>
              </w:tc>
              <w:tc>
                <w:tcPr>
                  <w:tcW w:w="792" w:type="pct"/>
                  <w:shd w:val="clear" w:color="auto" w:fill="auto"/>
                  <w:noWrap w:val="0"/>
                  <w:vAlign w:val="center"/>
                </w:tcPr>
                <w:p w14:paraId="1086E05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0.08 </w:t>
                  </w:r>
                </w:p>
              </w:tc>
            </w:tr>
            <w:tr w14:paraId="28609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74865C9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1758" w:type="pct"/>
                  <w:shd w:val="clear" w:color="auto" w:fill="auto"/>
                  <w:noWrap w:val="0"/>
                  <w:vAlign w:val="center"/>
                </w:tcPr>
                <w:p w14:paraId="3B6802D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垃圾清运费</w:t>
                  </w:r>
                </w:p>
              </w:tc>
              <w:tc>
                <w:tcPr>
                  <w:tcW w:w="579" w:type="pct"/>
                  <w:shd w:val="clear" w:color="auto" w:fill="auto"/>
                  <w:noWrap w:val="0"/>
                  <w:vAlign w:val="center"/>
                </w:tcPr>
                <w:p w14:paraId="246BF4D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施工区.年</w:t>
                  </w:r>
                </w:p>
              </w:tc>
              <w:tc>
                <w:tcPr>
                  <w:tcW w:w="461" w:type="pct"/>
                  <w:shd w:val="clear" w:color="auto" w:fill="auto"/>
                  <w:noWrap w:val="0"/>
                  <w:vAlign w:val="center"/>
                </w:tcPr>
                <w:p w14:paraId="055A1F9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667" w:type="pct"/>
                  <w:shd w:val="clear" w:color="auto" w:fill="auto"/>
                  <w:noWrap w:val="0"/>
                  <w:vAlign w:val="center"/>
                </w:tcPr>
                <w:p w14:paraId="6899361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8500</w:t>
                  </w:r>
                </w:p>
              </w:tc>
              <w:tc>
                <w:tcPr>
                  <w:tcW w:w="792" w:type="pct"/>
                  <w:shd w:val="clear" w:color="auto" w:fill="auto"/>
                  <w:noWrap w:val="0"/>
                  <w:vAlign w:val="center"/>
                </w:tcPr>
                <w:p w14:paraId="0A8A889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0.85 </w:t>
                  </w:r>
                </w:p>
              </w:tc>
            </w:tr>
            <w:tr w14:paraId="7CA92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F4A292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七</w:t>
                  </w:r>
                </w:p>
              </w:tc>
              <w:tc>
                <w:tcPr>
                  <w:tcW w:w="1758" w:type="pct"/>
                  <w:shd w:val="clear" w:color="auto" w:fill="auto"/>
                  <w:noWrap w:val="0"/>
                  <w:vAlign w:val="center"/>
                </w:tcPr>
                <w:p w14:paraId="175AF72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土壤环境保护</w:t>
                  </w:r>
                </w:p>
              </w:tc>
              <w:tc>
                <w:tcPr>
                  <w:tcW w:w="579" w:type="pct"/>
                  <w:shd w:val="clear" w:color="auto" w:fill="auto"/>
                  <w:noWrap w:val="0"/>
                  <w:vAlign w:val="center"/>
                </w:tcPr>
                <w:p w14:paraId="21C7A7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14ACA71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C397D2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8B0F8E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r>
            <w:tr w14:paraId="1CF1B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7667499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八</w:t>
                  </w:r>
                </w:p>
              </w:tc>
              <w:tc>
                <w:tcPr>
                  <w:tcW w:w="1758" w:type="pct"/>
                  <w:shd w:val="clear" w:color="auto" w:fill="auto"/>
                  <w:noWrap w:val="0"/>
                  <w:vAlign w:val="center"/>
                </w:tcPr>
                <w:p w14:paraId="08ADBF4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景观保护</w:t>
                  </w:r>
                </w:p>
              </w:tc>
              <w:tc>
                <w:tcPr>
                  <w:tcW w:w="579" w:type="pct"/>
                  <w:shd w:val="clear" w:color="auto" w:fill="auto"/>
                  <w:noWrap w:val="0"/>
                  <w:vAlign w:val="center"/>
                </w:tcPr>
                <w:p w14:paraId="5F54286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7B699C6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734F293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54CC48D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r>
            <w:tr w14:paraId="0017E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796A8B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九</w:t>
                  </w:r>
                </w:p>
              </w:tc>
              <w:tc>
                <w:tcPr>
                  <w:tcW w:w="1758" w:type="pct"/>
                  <w:shd w:val="clear" w:color="auto" w:fill="auto"/>
                  <w:noWrap w:val="0"/>
                  <w:vAlign w:val="center"/>
                </w:tcPr>
                <w:p w14:paraId="299DFB3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人群健康保护</w:t>
                  </w:r>
                </w:p>
              </w:tc>
              <w:tc>
                <w:tcPr>
                  <w:tcW w:w="579" w:type="pct"/>
                  <w:shd w:val="clear" w:color="auto" w:fill="auto"/>
                  <w:noWrap w:val="0"/>
                  <w:vAlign w:val="center"/>
                </w:tcPr>
                <w:p w14:paraId="27E1E6A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139DBC5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578E592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42CEEE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0.16 </w:t>
                  </w:r>
                </w:p>
              </w:tc>
            </w:tr>
            <w:tr w14:paraId="6B2CC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61D9DD0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08A2DD4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检疫防疫</w:t>
                  </w:r>
                </w:p>
              </w:tc>
              <w:tc>
                <w:tcPr>
                  <w:tcW w:w="579" w:type="pct"/>
                  <w:shd w:val="clear" w:color="auto" w:fill="auto"/>
                  <w:noWrap w:val="0"/>
                  <w:vAlign w:val="center"/>
                </w:tcPr>
                <w:p w14:paraId="5590AD9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5DB5804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7F8C4D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A96D55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0.07 </w:t>
                  </w:r>
                </w:p>
              </w:tc>
            </w:tr>
            <w:tr w14:paraId="5635B5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40" w:type="pct"/>
                  <w:shd w:val="clear" w:color="auto" w:fill="auto"/>
                  <w:noWrap w:val="0"/>
                  <w:vAlign w:val="center"/>
                </w:tcPr>
                <w:p w14:paraId="78118F3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5B25D31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施工区进场前一次性清理和消毒</w:t>
                  </w:r>
                </w:p>
              </w:tc>
              <w:tc>
                <w:tcPr>
                  <w:tcW w:w="579" w:type="pct"/>
                  <w:shd w:val="clear" w:color="auto" w:fill="auto"/>
                  <w:noWrap w:val="0"/>
                  <w:vAlign w:val="center"/>
                </w:tcPr>
                <w:p w14:paraId="24974F2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m</w:t>
                  </w:r>
                  <w:r>
                    <w:rPr>
                      <w:rFonts w:hint="default" w:ascii="Times New Roman" w:hAnsi="Times New Roman" w:cs="Times New Roman"/>
                      <w:color w:val="000000"/>
                      <w:sz w:val="21"/>
                      <w:szCs w:val="21"/>
                      <w:highlight w:val="none"/>
                      <w:vertAlign w:val="superscript"/>
                    </w:rPr>
                    <w:t>2</w:t>
                  </w:r>
                </w:p>
              </w:tc>
              <w:tc>
                <w:tcPr>
                  <w:tcW w:w="461" w:type="pct"/>
                  <w:shd w:val="clear" w:color="auto" w:fill="auto"/>
                  <w:noWrap w:val="0"/>
                  <w:vAlign w:val="center"/>
                </w:tcPr>
                <w:p w14:paraId="644B69A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700</w:t>
                  </w:r>
                </w:p>
              </w:tc>
              <w:tc>
                <w:tcPr>
                  <w:tcW w:w="667" w:type="pct"/>
                  <w:shd w:val="clear" w:color="auto" w:fill="auto"/>
                  <w:noWrap w:val="0"/>
                  <w:vAlign w:val="center"/>
                </w:tcPr>
                <w:p w14:paraId="4969F43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792" w:type="pct"/>
                  <w:shd w:val="clear" w:color="auto" w:fill="auto"/>
                  <w:noWrap w:val="0"/>
                  <w:vAlign w:val="center"/>
                </w:tcPr>
                <w:p w14:paraId="2412AD7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0.07 </w:t>
                  </w:r>
                </w:p>
              </w:tc>
            </w:tr>
            <w:tr w14:paraId="0492AA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7833C21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（二）</w:t>
                  </w:r>
                </w:p>
              </w:tc>
              <w:tc>
                <w:tcPr>
                  <w:tcW w:w="1758" w:type="pct"/>
                  <w:shd w:val="clear" w:color="auto" w:fill="auto"/>
                  <w:noWrap w:val="0"/>
                  <w:vAlign w:val="center"/>
                </w:tcPr>
                <w:p w14:paraId="222A3E2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疾病防治</w:t>
                  </w:r>
                </w:p>
              </w:tc>
              <w:tc>
                <w:tcPr>
                  <w:tcW w:w="579" w:type="pct"/>
                  <w:shd w:val="clear" w:color="auto" w:fill="auto"/>
                  <w:noWrap w:val="0"/>
                  <w:vAlign w:val="center"/>
                </w:tcPr>
                <w:p w14:paraId="52FF584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57CBD79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65F01B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59CF0CC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0.09 </w:t>
                  </w:r>
                </w:p>
              </w:tc>
            </w:tr>
            <w:tr w14:paraId="52174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740" w:type="pct"/>
                  <w:shd w:val="clear" w:color="auto" w:fill="auto"/>
                  <w:noWrap w:val="0"/>
                  <w:vAlign w:val="center"/>
                </w:tcPr>
                <w:p w14:paraId="7689A36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5B33F78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生活区卫生消毒</w:t>
                  </w:r>
                </w:p>
              </w:tc>
              <w:tc>
                <w:tcPr>
                  <w:tcW w:w="579" w:type="pct"/>
                  <w:shd w:val="clear" w:color="auto" w:fill="auto"/>
                  <w:noWrap w:val="0"/>
                  <w:vAlign w:val="center"/>
                </w:tcPr>
                <w:p w14:paraId="4334848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m</w:t>
                  </w:r>
                  <w:r>
                    <w:rPr>
                      <w:rFonts w:hint="default" w:ascii="Times New Roman" w:hAnsi="Times New Roman" w:cs="Times New Roman"/>
                      <w:color w:val="000000"/>
                      <w:sz w:val="21"/>
                      <w:szCs w:val="21"/>
                      <w:highlight w:val="none"/>
                      <w:vertAlign w:val="superscript"/>
                    </w:rPr>
                    <w:t>2</w:t>
                  </w:r>
                </w:p>
              </w:tc>
              <w:tc>
                <w:tcPr>
                  <w:tcW w:w="461" w:type="pct"/>
                  <w:shd w:val="clear" w:color="auto" w:fill="auto"/>
                  <w:noWrap w:val="0"/>
                  <w:vAlign w:val="center"/>
                </w:tcPr>
                <w:p w14:paraId="59CCCC2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210</w:t>
                  </w:r>
                </w:p>
              </w:tc>
              <w:tc>
                <w:tcPr>
                  <w:tcW w:w="667" w:type="pct"/>
                  <w:shd w:val="clear" w:color="auto" w:fill="auto"/>
                  <w:noWrap w:val="0"/>
                  <w:vAlign w:val="center"/>
                </w:tcPr>
                <w:p w14:paraId="5DA15D0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792" w:type="pct"/>
                  <w:shd w:val="clear" w:color="auto" w:fill="auto"/>
                  <w:noWrap w:val="0"/>
                  <w:vAlign w:val="center"/>
                </w:tcPr>
                <w:p w14:paraId="02552B5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0.02 </w:t>
                  </w:r>
                </w:p>
              </w:tc>
            </w:tr>
            <w:tr w14:paraId="69E5B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46E2325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1758" w:type="pct"/>
                  <w:shd w:val="clear" w:color="auto" w:fill="auto"/>
                  <w:noWrap w:val="0"/>
                  <w:vAlign w:val="center"/>
                </w:tcPr>
                <w:p w14:paraId="1773613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体检、疫苗</w:t>
                  </w:r>
                </w:p>
              </w:tc>
              <w:tc>
                <w:tcPr>
                  <w:tcW w:w="579" w:type="pct"/>
                  <w:shd w:val="clear" w:color="auto" w:fill="auto"/>
                  <w:noWrap w:val="0"/>
                  <w:vAlign w:val="center"/>
                </w:tcPr>
                <w:p w14:paraId="2AFDAEB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人</w:t>
                  </w:r>
                </w:p>
              </w:tc>
              <w:tc>
                <w:tcPr>
                  <w:tcW w:w="461" w:type="pct"/>
                  <w:shd w:val="clear" w:color="auto" w:fill="auto"/>
                  <w:noWrap w:val="0"/>
                  <w:vAlign w:val="center"/>
                </w:tcPr>
                <w:p w14:paraId="15D95CC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667" w:type="pct"/>
                  <w:shd w:val="clear" w:color="auto" w:fill="auto"/>
                  <w:noWrap w:val="0"/>
                  <w:vAlign w:val="center"/>
                </w:tcPr>
                <w:p w14:paraId="53F7EC7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320</w:t>
                  </w:r>
                </w:p>
              </w:tc>
              <w:tc>
                <w:tcPr>
                  <w:tcW w:w="792" w:type="pct"/>
                  <w:shd w:val="clear" w:color="auto" w:fill="auto"/>
                  <w:noWrap w:val="0"/>
                  <w:vAlign w:val="center"/>
                </w:tcPr>
                <w:p w14:paraId="55853B8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0.06 </w:t>
                  </w:r>
                </w:p>
              </w:tc>
            </w:tr>
            <w:tr w14:paraId="7A071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40" w:type="pct"/>
                  <w:shd w:val="clear" w:color="auto" w:fill="auto"/>
                  <w:noWrap w:val="0"/>
                  <w:vAlign w:val="center"/>
                </w:tcPr>
                <w:p w14:paraId="235A417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十</w:t>
                  </w:r>
                </w:p>
              </w:tc>
              <w:tc>
                <w:tcPr>
                  <w:tcW w:w="1758" w:type="pct"/>
                  <w:shd w:val="clear" w:color="auto" w:fill="auto"/>
                  <w:noWrap w:val="0"/>
                  <w:vAlign w:val="center"/>
                </w:tcPr>
                <w:p w14:paraId="4911A4D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建设征地与移民安置环境保护</w:t>
                  </w:r>
                </w:p>
              </w:tc>
              <w:tc>
                <w:tcPr>
                  <w:tcW w:w="579" w:type="pct"/>
                  <w:shd w:val="clear" w:color="auto" w:fill="auto"/>
                  <w:noWrap w:val="0"/>
                  <w:vAlign w:val="center"/>
                </w:tcPr>
                <w:p w14:paraId="107D6DE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49ADE91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55DC0E4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A23D1B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cs="Times New Roman"/>
                      <w:color w:val="000000"/>
                      <w:kern w:val="2"/>
                      <w:sz w:val="21"/>
                      <w:szCs w:val="21"/>
                      <w:highlight w:val="none"/>
                      <w:lang w:val="en-US" w:eastAsia="zh-CN" w:bidi="ar-SA"/>
                    </w:rPr>
                    <w:t>0.00</w:t>
                  </w:r>
                </w:p>
              </w:tc>
            </w:tr>
            <w:tr w14:paraId="06267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7CBDF1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十一</w:t>
                  </w:r>
                </w:p>
              </w:tc>
              <w:tc>
                <w:tcPr>
                  <w:tcW w:w="1758" w:type="pct"/>
                  <w:shd w:val="clear" w:color="auto" w:fill="auto"/>
                  <w:noWrap w:val="0"/>
                  <w:vAlign w:val="center"/>
                </w:tcPr>
                <w:p w14:paraId="6F29195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环境监测与生态调查</w:t>
                  </w:r>
                </w:p>
              </w:tc>
              <w:tc>
                <w:tcPr>
                  <w:tcW w:w="579" w:type="pct"/>
                  <w:shd w:val="clear" w:color="auto" w:fill="auto"/>
                  <w:noWrap w:val="0"/>
                  <w:vAlign w:val="center"/>
                </w:tcPr>
                <w:p w14:paraId="74D2B10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6CB9AA1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63251C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23AFFFF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0.86 </w:t>
                  </w:r>
                </w:p>
              </w:tc>
            </w:tr>
            <w:tr w14:paraId="4B612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B14EB9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0B7FA24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施工期监测与调查</w:t>
                  </w:r>
                </w:p>
              </w:tc>
              <w:tc>
                <w:tcPr>
                  <w:tcW w:w="579" w:type="pct"/>
                  <w:shd w:val="clear" w:color="auto" w:fill="auto"/>
                  <w:noWrap w:val="0"/>
                  <w:vAlign w:val="center"/>
                </w:tcPr>
                <w:p w14:paraId="1D40EFE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3E19C06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63D8ED7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66733B2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0.86 </w:t>
                  </w:r>
                </w:p>
              </w:tc>
            </w:tr>
            <w:tr w14:paraId="2E8EB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846C38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1</w:t>
                  </w:r>
                </w:p>
              </w:tc>
              <w:tc>
                <w:tcPr>
                  <w:tcW w:w="1758" w:type="pct"/>
                  <w:shd w:val="clear" w:color="auto" w:fill="auto"/>
                  <w:noWrap w:val="0"/>
                  <w:vAlign w:val="center"/>
                </w:tcPr>
                <w:p w14:paraId="6887F56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水质监测</w:t>
                  </w:r>
                </w:p>
              </w:tc>
              <w:tc>
                <w:tcPr>
                  <w:tcW w:w="579" w:type="pct"/>
                  <w:shd w:val="clear" w:color="auto" w:fill="auto"/>
                  <w:noWrap w:val="0"/>
                  <w:vAlign w:val="center"/>
                </w:tcPr>
                <w:p w14:paraId="1FABF07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点次</w:t>
                  </w:r>
                </w:p>
              </w:tc>
              <w:tc>
                <w:tcPr>
                  <w:tcW w:w="461" w:type="pct"/>
                  <w:shd w:val="clear" w:color="auto" w:fill="auto"/>
                  <w:noWrap w:val="0"/>
                  <w:vAlign w:val="center"/>
                </w:tcPr>
                <w:p w14:paraId="0DDDD97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w:t>
                  </w:r>
                </w:p>
              </w:tc>
              <w:tc>
                <w:tcPr>
                  <w:tcW w:w="667" w:type="pct"/>
                  <w:shd w:val="clear" w:color="auto" w:fill="auto"/>
                  <w:noWrap w:val="0"/>
                  <w:vAlign w:val="center"/>
                </w:tcPr>
                <w:p w14:paraId="3A6419D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466</w:t>
                  </w:r>
                </w:p>
              </w:tc>
              <w:tc>
                <w:tcPr>
                  <w:tcW w:w="792" w:type="pct"/>
                  <w:shd w:val="clear" w:color="auto" w:fill="auto"/>
                  <w:noWrap w:val="0"/>
                  <w:vAlign w:val="center"/>
                </w:tcPr>
                <w:p w14:paraId="1305E10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0.14 </w:t>
                  </w:r>
                </w:p>
              </w:tc>
            </w:tr>
            <w:tr w14:paraId="35582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13CE0CE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2</w:t>
                  </w:r>
                </w:p>
              </w:tc>
              <w:tc>
                <w:tcPr>
                  <w:tcW w:w="1758" w:type="pct"/>
                  <w:shd w:val="clear" w:color="auto" w:fill="auto"/>
                  <w:noWrap w:val="0"/>
                  <w:vAlign w:val="center"/>
                </w:tcPr>
                <w:p w14:paraId="0BBF9A9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环境空气质量监测</w:t>
                  </w:r>
                </w:p>
              </w:tc>
              <w:tc>
                <w:tcPr>
                  <w:tcW w:w="579" w:type="pct"/>
                  <w:shd w:val="clear" w:color="auto" w:fill="auto"/>
                  <w:noWrap w:val="0"/>
                  <w:vAlign w:val="center"/>
                </w:tcPr>
                <w:p w14:paraId="4E6C6B5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点次</w:t>
                  </w:r>
                </w:p>
              </w:tc>
              <w:tc>
                <w:tcPr>
                  <w:tcW w:w="461" w:type="pct"/>
                  <w:shd w:val="clear" w:color="auto" w:fill="auto"/>
                  <w:noWrap w:val="0"/>
                  <w:vAlign w:val="center"/>
                </w:tcPr>
                <w:p w14:paraId="25E8774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6</w:t>
                  </w:r>
                </w:p>
              </w:tc>
              <w:tc>
                <w:tcPr>
                  <w:tcW w:w="667" w:type="pct"/>
                  <w:shd w:val="clear" w:color="auto" w:fill="auto"/>
                  <w:noWrap w:val="0"/>
                  <w:vAlign w:val="center"/>
                </w:tcPr>
                <w:p w14:paraId="47F54A2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813</w:t>
                  </w:r>
                </w:p>
              </w:tc>
              <w:tc>
                <w:tcPr>
                  <w:tcW w:w="792" w:type="pct"/>
                  <w:shd w:val="clear" w:color="auto" w:fill="auto"/>
                  <w:noWrap w:val="0"/>
                  <w:vAlign w:val="center"/>
                </w:tcPr>
                <w:p w14:paraId="361E9FE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0.49 </w:t>
                  </w:r>
                </w:p>
              </w:tc>
            </w:tr>
            <w:tr w14:paraId="4BC4B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416EDC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3</w:t>
                  </w:r>
                </w:p>
              </w:tc>
              <w:tc>
                <w:tcPr>
                  <w:tcW w:w="1758" w:type="pct"/>
                  <w:shd w:val="clear" w:color="auto" w:fill="auto"/>
                  <w:noWrap w:val="0"/>
                  <w:vAlign w:val="center"/>
                </w:tcPr>
                <w:p w14:paraId="0363C0E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声环境质量监测</w:t>
                  </w:r>
                </w:p>
              </w:tc>
              <w:tc>
                <w:tcPr>
                  <w:tcW w:w="579" w:type="pct"/>
                  <w:shd w:val="clear" w:color="auto" w:fill="auto"/>
                  <w:noWrap w:val="0"/>
                  <w:vAlign w:val="center"/>
                </w:tcPr>
                <w:p w14:paraId="08C010D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点次</w:t>
                  </w:r>
                </w:p>
              </w:tc>
              <w:tc>
                <w:tcPr>
                  <w:tcW w:w="461" w:type="pct"/>
                  <w:shd w:val="clear" w:color="auto" w:fill="auto"/>
                  <w:noWrap w:val="0"/>
                  <w:vAlign w:val="center"/>
                </w:tcPr>
                <w:p w14:paraId="4F222A7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4</w:t>
                  </w:r>
                </w:p>
              </w:tc>
              <w:tc>
                <w:tcPr>
                  <w:tcW w:w="667" w:type="pct"/>
                  <w:shd w:val="clear" w:color="auto" w:fill="auto"/>
                  <w:noWrap w:val="0"/>
                  <w:vAlign w:val="center"/>
                </w:tcPr>
                <w:p w14:paraId="649016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575</w:t>
                  </w:r>
                </w:p>
              </w:tc>
              <w:tc>
                <w:tcPr>
                  <w:tcW w:w="792" w:type="pct"/>
                  <w:shd w:val="clear" w:color="auto" w:fill="auto"/>
                  <w:noWrap w:val="0"/>
                  <w:vAlign w:val="center"/>
                </w:tcPr>
                <w:p w14:paraId="700D825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0.23 </w:t>
                  </w:r>
                </w:p>
              </w:tc>
            </w:tr>
            <w:tr w14:paraId="3B9E4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7DCCC88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sz w:val="21"/>
                      <w:szCs w:val="21"/>
                      <w:highlight w:val="yellow"/>
                      <w:lang w:val="en-US" w:eastAsia="zh-CN"/>
                    </w:rPr>
                  </w:pPr>
                  <w:r>
                    <w:rPr>
                      <w:rFonts w:hint="eastAsia" w:ascii="Times New Roman" w:hAnsi="Times New Roman" w:cs="Times New Roman"/>
                      <w:color w:val="000000"/>
                      <w:sz w:val="21"/>
                      <w:szCs w:val="21"/>
                      <w:highlight w:val="yellow"/>
                      <w:lang w:val="en-US" w:eastAsia="zh-CN"/>
                    </w:rPr>
                    <w:t>十二</w:t>
                  </w:r>
                </w:p>
              </w:tc>
              <w:tc>
                <w:tcPr>
                  <w:tcW w:w="1758" w:type="pct"/>
                  <w:shd w:val="clear" w:color="auto" w:fill="auto"/>
                  <w:noWrap w:val="0"/>
                  <w:vAlign w:val="center"/>
                </w:tcPr>
                <w:p w14:paraId="5A087C9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yellow"/>
                      <w:lang w:val="en-US" w:eastAsia="zh-CN"/>
                    </w:rPr>
                  </w:pPr>
                  <w:r>
                    <w:rPr>
                      <w:rFonts w:hint="eastAsia" w:ascii="Times New Roman" w:hAnsi="Times New Roman" w:cs="Times New Roman"/>
                      <w:color w:val="000000"/>
                      <w:sz w:val="21"/>
                      <w:szCs w:val="21"/>
                      <w:highlight w:val="yellow"/>
                      <w:lang w:val="en-US" w:eastAsia="zh-CN"/>
                    </w:rPr>
                    <w:t>临时设施拆除</w:t>
                  </w:r>
                </w:p>
              </w:tc>
              <w:tc>
                <w:tcPr>
                  <w:tcW w:w="579" w:type="pct"/>
                  <w:shd w:val="clear" w:color="auto" w:fill="auto"/>
                  <w:noWrap w:val="0"/>
                  <w:vAlign w:val="center"/>
                </w:tcPr>
                <w:p w14:paraId="20E4D57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highlight w:val="yellow"/>
                    </w:rPr>
                  </w:pPr>
                </w:p>
              </w:tc>
              <w:tc>
                <w:tcPr>
                  <w:tcW w:w="461" w:type="pct"/>
                  <w:shd w:val="clear" w:color="auto" w:fill="auto"/>
                  <w:noWrap w:val="0"/>
                  <w:vAlign w:val="center"/>
                </w:tcPr>
                <w:p w14:paraId="2222D08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highlight w:val="yellow"/>
                    </w:rPr>
                  </w:pPr>
                </w:p>
              </w:tc>
              <w:tc>
                <w:tcPr>
                  <w:tcW w:w="667" w:type="pct"/>
                  <w:shd w:val="clear" w:color="auto" w:fill="auto"/>
                  <w:noWrap w:val="0"/>
                  <w:vAlign w:val="center"/>
                </w:tcPr>
                <w:p w14:paraId="43386CE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sz w:val="21"/>
                      <w:szCs w:val="21"/>
                      <w:highlight w:val="yellow"/>
                    </w:rPr>
                  </w:pPr>
                </w:p>
              </w:tc>
              <w:tc>
                <w:tcPr>
                  <w:tcW w:w="792" w:type="pct"/>
                  <w:shd w:val="clear" w:color="auto" w:fill="auto"/>
                  <w:noWrap w:val="0"/>
                  <w:vAlign w:val="center"/>
                </w:tcPr>
                <w:p w14:paraId="142B413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21"/>
                      <w:highlight w:val="yellow"/>
                      <w:lang w:val="en-US" w:eastAsia="zh-CN"/>
                    </w:rPr>
                  </w:pPr>
                  <w:r>
                    <w:rPr>
                      <w:rFonts w:hint="eastAsia" w:ascii="Times New Roman" w:hAnsi="Times New Roman" w:cs="Times New Roman"/>
                      <w:color w:val="000000"/>
                      <w:sz w:val="21"/>
                      <w:szCs w:val="21"/>
                      <w:highlight w:val="yellow"/>
                      <w:lang w:val="en-US" w:eastAsia="zh-CN"/>
                    </w:rPr>
                    <w:t>1.00</w:t>
                  </w:r>
                </w:p>
              </w:tc>
            </w:tr>
            <w:tr w14:paraId="32BA8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2734737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第二部分</w:t>
                  </w:r>
                </w:p>
              </w:tc>
              <w:tc>
                <w:tcPr>
                  <w:tcW w:w="1758" w:type="pct"/>
                  <w:shd w:val="clear" w:color="auto" w:fill="auto"/>
                  <w:noWrap w:val="0"/>
                  <w:vAlign w:val="center"/>
                </w:tcPr>
                <w:p w14:paraId="028E70E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独立费用</w:t>
                  </w:r>
                </w:p>
              </w:tc>
              <w:tc>
                <w:tcPr>
                  <w:tcW w:w="579" w:type="pct"/>
                  <w:shd w:val="clear" w:color="auto" w:fill="auto"/>
                  <w:noWrap w:val="0"/>
                  <w:vAlign w:val="center"/>
                </w:tcPr>
                <w:p w14:paraId="7BBDF4E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77B2216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119B99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731EE1A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19.99 </w:t>
                  </w:r>
                </w:p>
              </w:tc>
            </w:tr>
            <w:tr w14:paraId="59035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740" w:type="pct"/>
                  <w:shd w:val="clear" w:color="auto" w:fill="auto"/>
                  <w:noWrap w:val="0"/>
                  <w:vAlign w:val="center"/>
                </w:tcPr>
                <w:p w14:paraId="742DD1C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一</w:t>
                  </w:r>
                </w:p>
              </w:tc>
              <w:tc>
                <w:tcPr>
                  <w:tcW w:w="1758" w:type="pct"/>
                  <w:shd w:val="clear" w:color="auto" w:fill="auto"/>
                  <w:noWrap w:val="0"/>
                  <w:vAlign w:val="center"/>
                </w:tcPr>
                <w:p w14:paraId="224C65C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环境管理费</w:t>
                  </w:r>
                </w:p>
              </w:tc>
              <w:tc>
                <w:tcPr>
                  <w:tcW w:w="579" w:type="pct"/>
                  <w:shd w:val="clear" w:color="auto" w:fill="auto"/>
                  <w:noWrap w:val="0"/>
                  <w:vAlign w:val="center"/>
                </w:tcPr>
                <w:p w14:paraId="6D23330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2510E94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406634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57C80EF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0.29 </w:t>
                  </w:r>
                </w:p>
              </w:tc>
            </w:tr>
            <w:tr w14:paraId="69A88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40" w:type="pct"/>
                  <w:shd w:val="clear" w:color="auto" w:fill="auto"/>
                  <w:noWrap w:val="0"/>
                  <w:vAlign w:val="center"/>
                </w:tcPr>
                <w:p w14:paraId="572D419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二</w:t>
                  </w:r>
                </w:p>
              </w:tc>
              <w:tc>
                <w:tcPr>
                  <w:tcW w:w="1758" w:type="pct"/>
                  <w:shd w:val="clear" w:color="auto" w:fill="auto"/>
                  <w:noWrap w:val="0"/>
                  <w:vAlign w:val="center"/>
                </w:tcPr>
                <w:p w14:paraId="325B960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环境监理费</w:t>
                  </w:r>
                </w:p>
              </w:tc>
              <w:tc>
                <w:tcPr>
                  <w:tcW w:w="579" w:type="pct"/>
                  <w:shd w:val="clear" w:color="auto" w:fill="auto"/>
                  <w:noWrap w:val="0"/>
                  <w:vAlign w:val="center"/>
                </w:tcPr>
                <w:p w14:paraId="6E1285F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0A174DD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07F7F07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4A0413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5.00 </w:t>
                  </w:r>
                </w:p>
              </w:tc>
            </w:tr>
            <w:tr w14:paraId="1CEE1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4D80446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三</w:t>
                  </w:r>
                </w:p>
              </w:tc>
              <w:tc>
                <w:tcPr>
                  <w:tcW w:w="1758" w:type="pct"/>
                  <w:shd w:val="clear" w:color="auto" w:fill="auto"/>
                  <w:noWrap w:val="0"/>
                  <w:vAlign w:val="center"/>
                </w:tcPr>
                <w:p w14:paraId="57987C55">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生产准备费</w:t>
                  </w:r>
                </w:p>
              </w:tc>
              <w:tc>
                <w:tcPr>
                  <w:tcW w:w="579" w:type="pct"/>
                  <w:shd w:val="clear" w:color="auto" w:fill="auto"/>
                  <w:noWrap w:val="0"/>
                  <w:vAlign w:val="center"/>
                </w:tcPr>
                <w:p w14:paraId="0F5A24F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7569664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2CB8674">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75CBA468">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0.05 </w:t>
                  </w:r>
                </w:p>
              </w:tc>
            </w:tr>
            <w:tr w14:paraId="4193F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71A5ACB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四</w:t>
                  </w:r>
                </w:p>
              </w:tc>
              <w:tc>
                <w:tcPr>
                  <w:tcW w:w="1758" w:type="pct"/>
                  <w:shd w:val="clear" w:color="auto" w:fill="auto"/>
                  <w:noWrap w:val="0"/>
                  <w:vAlign w:val="center"/>
                </w:tcPr>
                <w:p w14:paraId="3039CC5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环境影响评价费</w:t>
                  </w:r>
                </w:p>
              </w:tc>
              <w:tc>
                <w:tcPr>
                  <w:tcW w:w="579" w:type="pct"/>
                  <w:shd w:val="clear" w:color="auto" w:fill="auto"/>
                  <w:noWrap w:val="0"/>
                  <w:vAlign w:val="center"/>
                </w:tcPr>
                <w:p w14:paraId="381CA72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0831E7E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4A26F2E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4A700BAF">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8.00 </w:t>
                  </w:r>
                </w:p>
              </w:tc>
            </w:tr>
            <w:tr w14:paraId="164AA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569F9CE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五</w:t>
                  </w:r>
                </w:p>
              </w:tc>
              <w:tc>
                <w:tcPr>
                  <w:tcW w:w="1758" w:type="pct"/>
                  <w:shd w:val="clear" w:color="auto" w:fill="auto"/>
                  <w:noWrap w:val="0"/>
                  <w:vAlign w:val="center"/>
                </w:tcPr>
                <w:p w14:paraId="22ECEDE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环境保护验收费</w:t>
                  </w:r>
                </w:p>
              </w:tc>
              <w:tc>
                <w:tcPr>
                  <w:tcW w:w="579" w:type="pct"/>
                  <w:shd w:val="clear" w:color="auto" w:fill="auto"/>
                  <w:noWrap w:val="0"/>
                  <w:vAlign w:val="center"/>
                </w:tcPr>
                <w:p w14:paraId="7D59008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010950E6">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6EAA833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63780EE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6.00 </w:t>
                  </w:r>
                </w:p>
              </w:tc>
            </w:tr>
            <w:tr w14:paraId="3176C3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7407A1E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六</w:t>
                  </w:r>
                </w:p>
              </w:tc>
              <w:tc>
                <w:tcPr>
                  <w:tcW w:w="1758" w:type="pct"/>
                  <w:shd w:val="clear" w:color="auto" w:fill="auto"/>
                  <w:noWrap w:val="0"/>
                  <w:vAlign w:val="center"/>
                </w:tcPr>
                <w:p w14:paraId="0D47CEB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科研勘测设计费</w:t>
                  </w:r>
                </w:p>
              </w:tc>
              <w:tc>
                <w:tcPr>
                  <w:tcW w:w="579" w:type="pct"/>
                  <w:shd w:val="clear" w:color="auto" w:fill="auto"/>
                  <w:noWrap w:val="0"/>
                  <w:vAlign w:val="center"/>
                </w:tcPr>
                <w:p w14:paraId="5088BFF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3D762441">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381413F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3878C85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0.65 </w:t>
                  </w:r>
                </w:p>
              </w:tc>
            </w:tr>
            <w:tr w14:paraId="0289B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7E9E989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第三部分</w:t>
                  </w:r>
                </w:p>
              </w:tc>
              <w:tc>
                <w:tcPr>
                  <w:tcW w:w="1758" w:type="pct"/>
                  <w:shd w:val="clear" w:color="auto" w:fill="auto"/>
                  <w:noWrap w:val="0"/>
                  <w:vAlign w:val="center"/>
                </w:tcPr>
                <w:p w14:paraId="50537B90">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基本预备费</w:t>
                  </w:r>
                </w:p>
              </w:tc>
              <w:tc>
                <w:tcPr>
                  <w:tcW w:w="579" w:type="pct"/>
                  <w:shd w:val="clear" w:color="auto" w:fill="auto"/>
                  <w:noWrap w:val="0"/>
                  <w:vAlign w:val="center"/>
                </w:tcPr>
                <w:p w14:paraId="7EACE74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30E54D9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261EDEB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229F1F2C">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1.48 </w:t>
                  </w:r>
                </w:p>
              </w:tc>
            </w:tr>
            <w:tr w14:paraId="79A3D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7489E26B">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第四部分</w:t>
                  </w:r>
                </w:p>
              </w:tc>
              <w:tc>
                <w:tcPr>
                  <w:tcW w:w="1758" w:type="pct"/>
                  <w:shd w:val="clear" w:color="auto" w:fill="auto"/>
                  <w:noWrap w:val="0"/>
                  <w:vAlign w:val="center"/>
                </w:tcPr>
                <w:p w14:paraId="2D055EA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环境影响补偿费</w:t>
                  </w:r>
                </w:p>
              </w:tc>
              <w:tc>
                <w:tcPr>
                  <w:tcW w:w="579" w:type="pct"/>
                  <w:shd w:val="clear" w:color="auto" w:fill="auto"/>
                  <w:noWrap w:val="0"/>
                  <w:vAlign w:val="center"/>
                </w:tcPr>
                <w:p w14:paraId="6E22D853">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36EEC75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C21546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675EF6FA">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r>
            <w:tr w14:paraId="5C109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40" w:type="pct"/>
                  <w:shd w:val="clear" w:color="auto" w:fill="auto"/>
                  <w:noWrap w:val="0"/>
                  <w:vAlign w:val="center"/>
                </w:tcPr>
                <w:p w14:paraId="3717A552">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第五部分</w:t>
                  </w:r>
                </w:p>
              </w:tc>
              <w:tc>
                <w:tcPr>
                  <w:tcW w:w="1758" w:type="pct"/>
                  <w:shd w:val="clear" w:color="auto" w:fill="auto"/>
                  <w:noWrap w:val="0"/>
                  <w:vAlign w:val="center"/>
                </w:tcPr>
                <w:p w14:paraId="0E54B80E">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环境保护静态投资</w:t>
                  </w:r>
                </w:p>
              </w:tc>
              <w:tc>
                <w:tcPr>
                  <w:tcW w:w="579" w:type="pct"/>
                  <w:shd w:val="clear" w:color="auto" w:fill="auto"/>
                  <w:noWrap w:val="0"/>
                  <w:vAlign w:val="center"/>
                </w:tcPr>
                <w:p w14:paraId="51F0A487">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461" w:type="pct"/>
                  <w:shd w:val="clear" w:color="auto" w:fill="auto"/>
                  <w:noWrap w:val="0"/>
                  <w:vAlign w:val="center"/>
                </w:tcPr>
                <w:p w14:paraId="656DE70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667" w:type="pct"/>
                  <w:shd w:val="clear" w:color="auto" w:fill="auto"/>
                  <w:noWrap w:val="0"/>
                  <w:vAlign w:val="center"/>
                </w:tcPr>
                <w:p w14:paraId="1F22ABF9">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p>
              </w:tc>
              <w:tc>
                <w:tcPr>
                  <w:tcW w:w="792" w:type="pct"/>
                  <w:shd w:val="clear" w:color="auto" w:fill="auto"/>
                  <w:noWrap w:val="0"/>
                  <w:vAlign w:val="center"/>
                </w:tcPr>
                <w:p w14:paraId="2A07298D">
                  <w:pPr>
                    <w:pStyle w:val="7"/>
                    <w:keepNext/>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rPr>
                    <w:t xml:space="preserve">31.17 </w:t>
                  </w:r>
                </w:p>
              </w:tc>
            </w:tr>
          </w:tbl>
          <w:p w14:paraId="49EEC5EA">
            <w:pPr>
              <w:adjustRightInd w:val="0"/>
              <w:snapToGrid w:val="0"/>
              <w:ind w:firstLine="520"/>
              <w:rPr>
                <w:rFonts w:hint="default" w:ascii="Times New Roman" w:hAnsi="Times New Roman" w:cs="Times New Roman"/>
                <w:bCs/>
                <w:color w:val="auto"/>
                <w:spacing w:val="10"/>
                <w:sz w:val="24"/>
                <w:highlight w:val="none"/>
              </w:rPr>
            </w:pPr>
          </w:p>
          <w:p w14:paraId="43751A20">
            <w:pPr>
              <w:adjustRightInd w:val="0"/>
              <w:snapToGrid w:val="0"/>
              <w:ind w:firstLine="520"/>
              <w:rPr>
                <w:rFonts w:hint="default" w:ascii="Times New Roman" w:hAnsi="Times New Roman" w:cs="Times New Roman"/>
                <w:bCs/>
                <w:color w:val="auto"/>
                <w:spacing w:val="10"/>
                <w:sz w:val="24"/>
                <w:highlight w:val="none"/>
              </w:rPr>
            </w:pPr>
          </w:p>
          <w:p w14:paraId="36EE3BD8">
            <w:pPr>
              <w:adjustRightInd w:val="0"/>
              <w:snapToGrid w:val="0"/>
              <w:ind w:firstLine="520"/>
              <w:rPr>
                <w:rFonts w:hint="default" w:ascii="Times New Roman" w:hAnsi="Times New Roman" w:cs="Times New Roman"/>
                <w:bCs/>
                <w:color w:val="auto"/>
                <w:spacing w:val="10"/>
                <w:sz w:val="24"/>
                <w:highlight w:val="none"/>
              </w:rPr>
            </w:pPr>
          </w:p>
          <w:p w14:paraId="7320A3D4">
            <w:pPr>
              <w:adjustRightInd w:val="0"/>
              <w:snapToGrid w:val="0"/>
              <w:ind w:firstLine="520"/>
              <w:rPr>
                <w:rFonts w:hint="default" w:ascii="Times New Roman" w:hAnsi="Times New Roman" w:cs="Times New Roman"/>
                <w:bCs/>
                <w:color w:val="auto"/>
                <w:spacing w:val="10"/>
                <w:sz w:val="24"/>
                <w:highlight w:val="none"/>
              </w:rPr>
            </w:pPr>
          </w:p>
          <w:p w14:paraId="612F2EDB">
            <w:pPr>
              <w:adjustRightInd w:val="0"/>
              <w:snapToGrid w:val="0"/>
              <w:ind w:firstLine="520"/>
              <w:rPr>
                <w:rFonts w:hint="default" w:ascii="Times New Roman" w:hAnsi="Times New Roman" w:cs="Times New Roman"/>
                <w:bCs/>
                <w:color w:val="auto"/>
                <w:spacing w:val="10"/>
                <w:sz w:val="24"/>
                <w:highlight w:val="none"/>
              </w:rPr>
            </w:pPr>
          </w:p>
          <w:p w14:paraId="77D9D035">
            <w:pPr>
              <w:adjustRightInd w:val="0"/>
              <w:snapToGrid w:val="0"/>
              <w:ind w:firstLine="520"/>
              <w:rPr>
                <w:rFonts w:hint="default" w:ascii="Times New Roman" w:hAnsi="Times New Roman" w:cs="Times New Roman"/>
                <w:bCs/>
                <w:color w:val="auto"/>
                <w:spacing w:val="10"/>
                <w:sz w:val="24"/>
                <w:highlight w:val="none"/>
              </w:rPr>
            </w:pPr>
          </w:p>
          <w:p w14:paraId="6EB34118">
            <w:pPr>
              <w:adjustRightInd w:val="0"/>
              <w:snapToGrid w:val="0"/>
              <w:ind w:firstLine="520"/>
              <w:rPr>
                <w:rFonts w:hint="default" w:ascii="Times New Roman" w:hAnsi="Times New Roman" w:cs="Times New Roman"/>
                <w:bCs/>
                <w:color w:val="auto"/>
                <w:spacing w:val="10"/>
                <w:sz w:val="24"/>
                <w:highlight w:val="none"/>
              </w:rPr>
            </w:pPr>
          </w:p>
          <w:p w14:paraId="108734D6">
            <w:pPr>
              <w:adjustRightInd w:val="0"/>
              <w:snapToGrid w:val="0"/>
              <w:ind w:firstLine="520"/>
              <w:rPr>
                <w:rFonts w:hint="default" w:ascii="Times New Roman" w:hAnsi="Times New Roman" w:cs="Times New Roman"/>
                <w:bCs/>
                <w:color w:val="auto"/>
                <w:spacing w:val="10"/>
                <w:sz w:val="24"/>
                <w:highlight w:val="none"/>
              </w:rPr>
            </w:pPr>
          </w:p>
          <w:p w14:paraId="41C2D13E">
            <w:pPr>
              <w:adjustRightInd w:val="0"/>
              <w:snapToGrid w:val="0"/>
              <w:ind w:firstLine="520"/>
              <w:rPr>
                <w:rFonts w:hint="default" w:ascii="Times New Roman" w:hAnsi="Times New Roman" w:cs="Times New Roman"/>
                <w:bCs/>
                <w:color w:val="auto"/>
                <w:spacing w:val="10"/>
                <w:sz w:val="24"/>
                <w:highlight w:val="none"/>
              </w:rPr>
            </w:pPr>
          </w:p>
          <w:p w14:paraId="33FFB354">
            <w:pPr>
              <w:adjustRightInd w:val="0"/>
              <w:snapToGrid w:val="0"/>
              <w:ind w:firstLine="520"/>
              <w:rPr>
                <w:rFonts w:hint="default" w:ascii="Times New Roman" w:hAnsi="Times New Roman" w:cs="Times New Roman"/>
                <w:bCs/>
                <w:color w:val="auto"/>
                <w:spacing w:val="10"/>
                <w:sz w:val="24"/>
                <w:highlight w:val="none"/>
              </w:rPr>
            </w:pPr>
          </w:p>
          <w:p w14:paraId="3EB4BE6E">
            <w:pPr>
              <w:adjustRightInd w:val="0"/>
              <w:snapToGrid w:val="0"/>
              <w:ind w:firstLine="520"/>
              <w:rPr>
                <w:rFonts w:hint="default" w:ascii="Times New Roman" w:hAnsi="Times New Roman" w:cs="Times New Roman"/>
                <w:bCs/>
                <w:color w:val="auto"/>
                <w:spacing w:val="10"/>
                <w:sz w:val="24"/>
                <w:highlight w:val="none"/>
              </w:rPr>
            </w:pPr>
          </w:p>
          <w:p w14:paraId="4F2EC012">
            <w:pPr>
              <w:adjustRightInd w:val="0"/>
              <w:snapToGrid w:val="0"/>
              <w:ind w:firstLine="520"/>
              <w:rPr>
                <w:rFonts w:hint="default" w:ascii="Times New Roman" w:hAnsi="Times New Roman" w:cs="Times New Roman"/>
                <w:bCs/>
                <w:color w:val="auto"/>
                <w:spacing w:val="10"/>
                <w:sz w:val="24"/>
                <w:highlight w:val="none"/>
              </w:rPr>
            </w:pPr>
          </w:p>
          <w:p w14:paraId="02AE019E">
            <w:pPr>
              <w:adjustRightInd w:val="0"/>
              <w:snapToGrid w:val="0"/>
              <w:ind w:firstLine="520"/>
              <w:rPr>
                <w:rFonts w:hint="default" w:ascii="Times New Roman" w:hAnsi="Times New Roman" w:cs="Times New Roman"/>
                <w:bCs/>
                <w:color w:val="auto"/>
                <w:spacing w:val="10"/>
                <w:sz w:val="24"/>
                <w:highlight w:val="none"/>
              </w:rPr>
            </w:pPr>
          </w:p>
          <w:p w14:paraId="672AC64E">
            <w:pPr>
              <w:adjustRightInd w:val="0"/>
              <w:snapToGrid w:val="0"/>
              <w:ind w:firstLine="520"/>
              <w:rPr>
                <w:rFonts w:hint="default" w:ascii="Times New Roman" w:hAnsi="Times New Roman" w:cs="Times New Roman"/>
                <w:bCs/>
                <w:color w:val="auto"/>
                <w:spacing w:val="10"/>
                <w:sz w:val="24"/>
                <w:highlight w:val="none"/>
              </w:rPr>
            </w:pPr>
          </w:p>
          <w:p w14:paraId="45214BDB">
            <w:pPr>
              <w:adjustRightInd w:val="0"/>
              <w:snapToGrid w:val="0"/>
              <w:ind w:firstLine="520"/>
              <w:rPr>
                <w:rFonts w:hint="default" w:ascii="Times New Roman" w:hAnsi="Times New Roman" w:cs="Times New Roman"/>
                <w:bCs/>
                <w:color w:val="auto"/>
                <w:spacing w:val="10"/>
                <w:sz w:val="24"/>
                <w:highlight w:val="none"/>
              </w:rPr>
            </w:pPr>
          </w:p>
          <w:p w14:paraId="32CCCEAA">
            <w:pPr>
              <w:adjustRightInd w:val="0"/>
              <w:snapToGrid w:val="0"/>
              <w:ind w:firstLine="520"/>
              <w:rPr>
                <w:rFonts w:hint="default" w:ascii="Times New Roman" w:hAnsi="Times New Roman" w:cs="Times New Roman"/>
                <w:bCs/>
                <w:color w:val="auto"/>
                <w:spacing w:val="10"/>
                <w:sz w:val="24"/>
                <w:highlight w:val="none"/>
              </w:rPr>
            </w:pPr>
          </w:p>
          <w:p w14:paraId="0C4F8B1C">
            <w:pPr>
              <w:adjustRightInd w:val="0"/>
              <w:snapToGrid w:val="0"/>
              <w:ind w:firstLine="520"/>
              <w:rPr>
                <w:rFonts w:hint="default" w:ascii="Times New Roman" w:hAnsi="Times New Roman" w:cs="Times New Roman"/>
                <w:bCs/>
                <w:color w:val="auto"/>
                <w:spacing w:val="10"/>
                <w:sz w:val="24"/>
                <w:highlight w:val="none"/>
              </w:rPr>
            </w:pPr>
          </w:p>
          <w:p w14:paraId="1454BC4B">
            <w:pPr>
              <w:adjustRightInd w:val="0"/>
              <w:snapToGrid w:val="0"/>
              <w:ind w:firstLine="520"/>
              <w:rPr>
                <w:rFonts w:hint="default" w:ascii="Times New Roman" w:hAnsi="Times New Roman" w:cs="Times New Roman"/>
                <w:bCs/>
                <w:color w:val="auto"/>
                <w:spacing w:val="10"/>
                <w:sz w:val="24"/>
                <w:highlight w:val="none"/>
              </w:rPr>
            </w:pPr>
          </w:p>
          <w:p w14:paraId="3FBC5CFE">
            <w:pPr>
              <w:adjustRightInd w:val="0"/>
              <w:snapToGrid w:val="0"/>
              <w:ind w:firstLine="520"/>
              <w:rPr>
                <w:rFonts w:hint="default" w:ascii="Times New Roman" w:hAnsi="Times New Roman" w:cs="Times New Roman"/>
                <w:bCs/>
                <w:color w:val="auto"/>
                <w:spacing w:val="10"/>
                <w:sz w:val="24"/>
                <w:highlight w:val="none"/>
              </w:rPr>
            </w:pPr>
          </w:p>
          <w:p w14:paraId="6CF9A083">
            <w:pPr>
              <w:adjustRightInd w:val="0"/>
              <w:snapToGrid w:val="0"/>
              <w:ind w:firstLine="520"/>
              <w:rPr>
                <w:rFonts w:hint="default" w:ascii="Times New Roman" w:hAnsi="Times New Roman" w:cs="Times New Roman"/>
                <w:bCs/>
                <w:color w:val="auto"/>
                <w:spacing w:val="10"/>
                <w:sz w:val="24"/>
                <w:highlight w:val="none"/>
              </w:rPr>
            </w:pPr>
          </w:p>
          <w:p w14:paraId="002680F7">
            <w:pPr>
              <w:adjustRightInd w:val="0"/>
              <w:snapToGrid w:val="0"/>
              <w:ind w:firstLine="520"/>
              <w:rPr>
                <w:rFonts w:hint="default" w:ascii="Times New Roman" w:hAnsi="Times New Roman" w:cs="Times New Roman"/>
                <w:bCs/>
                <w:color w:val="auto"/>
                <w:spacing w:val="10"/>
                <w:sz w:val="24"/>
                <w:highlight w:val="none"/>
              </w:rPr>
            </w:pPr>
          </w:p>
          <w:p w14:paraId="0FD563AA">
            <w:pPr>
              <w:pStyle w:val="2"/>
              <w:rPr>
                <w:rFonts w:hint="default" w:ascii="Times New Roman" w:hAnsi="Times New Roman" w:cs="Times New Roman"/>
                <w:bCs/>
                <w:color w:val="auto"/>
                <w:spacing w:val="10"/>
                <w:sz w:val="24"/>
                <w:highlight w:val="none"/>
              </w:rPr>
            </w:pPr>
          </w:p>
          <w:p w14:paraId="20AD6D80">
            <w:pPr>
              <w:pStyle w:val="2"/>
              <w:rPr>
                <w:rFonts w:hint="default" w:ascii="Times New Roman" w:hAnsi="Times New Roman" w:cs="Times New Roman"/>
                <w:bCs/>
                <w:color w:val="auto"/>
                <w:spacing w:val="10"/>
                <w:sz w:val="24"/>
                <w:highlight w:val="none"/>
              </w:rPr>
            </w:pPr>
          </w:p>
          <w:p w14:paraId="04D50360">
            <w:pPr>
              <w:pStyle w:val="2"/>
              <w:rPr>
                <w:rFonts w:hint="default" w:ascii="Times New Roman" w:hAnsi="Times New Roman" w:cs="Times New Roman"/>
                <w:bCs/>
                <w:color w:val="auto"/>
                <w:spacing w:val="10"/>
                <w:sz w:val="24"/>
                <w:highlight w:val="none"/>
              </w:rPr>
            </w:pPr>
          </w:p>
          <w:p w14:paraId="1BF64E8A">
            <w:pPr>
              <w:pStyle w:val="2"/>
              <w:rPr>
                <w:rFonts w:hint="default" w:ascii="Times New Roman" w:hAnsi="Times New Roman" w:cs="Times New Roman"/>
                <w:bCs/>
                <w:color w:val="auto"/>
                <w:spacing w:val="10"/>
                <w:sz w:val="24"/>
                <w:highlight w:val="none"/>
              </w:rPr>
            </w:pPr>
          </w:p>
          <w:p w14:paraId="5574942B">
            <w:pPr>
              <w:pStyle w:val="2"/>
              <w:rPr>
                <w:rFonts w:hint="default" w:ascii="Times New Roman" w:hAnsi="Times New Roman" w:cs="Times New Roman"/>
                <w:bCs/>
                <w:color w:val="auto"/>
                <w:spacing w:val="10"/>
                <w:sz w:val="24"/>
                <w:highlight w:val="none"/>
              </w:rPr>
            </w:pPr>
          </w:p>
          <w:p w14:paraId="022C1F38">
            <w:pPr>
              <w:pStyle w:val="2"/>
              <w:rPr>
                <w:rFonts w:hint="default" w:ascii="Times New Roman" w:hAnsi="Times New Roman" w:cs="Times New Roman"/>
                <w:bCs/>
                <w:color w:val="auto"/>
                <w:spacing w:val="10"/>
                <w:sz w:val="24"/>
                <w:highlight w:val="none"/>
              </w:rPr>
            </w:pPr>
          </w:p>
          <w:p w14:paraId="292EE146">
            <w:pPr>
              <w:pStyle w:val="2"/>
              <w:rPr>
                <w:rFonts w:hint="default" w:ascii="Times New Roman" w:hAnsi="Times New Roman" w:cs="Times New Roman"/>
                <w:bCs/>
                <w:color w:val="auto"/>
                <w:spacing w:val="10"/>
                <w:sz w:val="24"/>
                <w:highlight w:val="none"/>
              </w:rPr>
            </w:pPr>
          </w:p>
          <w:p w14:paraId="00F2F465">
            <w:pPr>
              <w:pStyle w:val="2"/>
              <w:rPr>
                <w:rFonts w:hint="default" w:ascii="Times New Roman" w:hAnsi="Times New Roman" w:cs="Times New Roman"/>
                <w:bCs/>
                <w:color w:val="auto"/>
                <w:spacing w:val="10"/>
                <w:sz w:val="24"/>
                <w:highlight w:val="none"/>
              </w:rPr>
            </w:pPr>
          </w:p>
          <w:p w14:paraId="4BA8A4D5">
            <w:pPr>
              <w:pStyle w:val="2"/>
              <w:rPr>
                <w:rFonts w:hint="default" w:ascii="Times New Roman" w:hAnsi="Times New Roman" w:cs="Times New Roman"/>
                <w:bCs/>
                <w:color w:val="auto"/>
                <w:spacing w:val="10"/>
                <w:sz w:val="24"/>
                <w:highlight w:val="none"/>
              </w:rPr>
            </w:pPr>
          </w:p>
          <w:p w14:paraId="725D8C5B">
            <w:pPr>
              <w:pStyle w:val="2"/>
              <w:rPr>
                <w:rFonts w:hint="default" w:ascii="Times New Roman" w:hAnsi="Times New Roman" w:cs="Times New Roman"/>
                <w:bCs/>
                <w:color w:val="auto"/>
                <w:spacing w:val="10"/>
                <w:sz w:val="24"/>
                <w:highlight w:val="none"/>
              </w:rPr>
            </w:pPr>
          </w:p>
          <w:p w14:paraId="2B8234C6">
            <w:pPr>
              <w:adjustRightInd w:val="0"/>
              <w:snapToGrid w:val="0"/>
              <w:ind w:firstLine="520"/>
              <w:rPr>
                <w:rFonts w:hint="default" w:ascii="Times New Roman" w:hAnsi="Times New Roman" w:cs="Times New Roman"/>
                <w:bCs/>
                <w:color w:val="auto"/>
                <w:spacing w:val="10"/>
                <w:sz w:val="24"/>
                <w:highlight w:val="none"/>
              </w:rPr>
            </w:pPr>
          </w:p>
          <w:p w14:paraId="1D75124D">
            <w:pPr>
              <w:adjustRightInd w:val="0"/>
              <w:snapToGrid w:val="0"/>
              <w:ind w:firstLine="520"/>
              <w:rPr>
                <w:rFonts w:hint="default" w:ascii="Times New Roman" w:hAnsi="Times New Roman" w:cs="Times New Roman"/>
                <w:bCs/>
                <w:color w:val="auto"/>
                <w:spacing w:val="10"/>
                <w:sz w:val="24"/>
                <w:highlight w:val="none"/>
              </w:rPr>
            </w:pPr>
          </w:p>
          <w:p w14:paraId="1F553ED1">
            <w:pPr>
              <w:adjustRightInd w:val="0"/>
              <w:snapToGrid w:val="0"/>
              <w:ind w:firstLine="520"/>
              <w:rPr>
                <w:rFonts w:hint="default" w:ascii="Times New Roman" w:hAnsi="Times New Roman" w:cs="Times New Roman"/>
                <w:bCs/>
                <w:color w:val="auto"/>
                <w:spacing w:val="10"/>
                <w:sz w:val="24"/>
                <w:highlight w:val="none"/>
              </w:rPr>
            </w:pPr>
          </w:p>
          <w:p w14:paraId="77E4348F">
            <w:pPr>
              <w:adjustRightInd w:val="0"/>
              <w:snapToGrid w:val="0"/>
              <w:ind w:firstLine="520"/>
              <w:rPr>
                <w:rFonts w:hint="default" w:ascii="Times New Roman" w:hAnsi="Times New Roman" w:cs="Times New Roman"/>
                <w:bCs/>
                <w:color w:val="auto"/>
                <w:spacing w:val="10"/>
                <w:sz w:val="24"/>
                <w:highlight w:val="none"/>
              </w:rPr>
            </w:pPr>
          </w:p>
          <w:p w14:paraId="5DCE5C30">
            <w:pPr>
              <w:adjustRightInd w:val="0"/>
              <w:snapToGrid w:val="0"/>
              <w:ind w:firstLine="520"/>
              <w:rPr>
                <w:rFonts w:hint="default" w:ascii="Times New Roman" w:hAnsi="Times New Roman" w:cs="Times New Roman"/>
                <w:bCs/>
                <w:color w:val="auto"/>
                <w:spacing w:val="10"/>
                <w:sz w:val="24"/>
                <w:highlight w:val="none"/>
              </w:rPr>
            </w:pPr>
          </w:p>
          <w:p w14:paraId="2B882E83">
            <w:pPr>
              <w:adjustRightInd w:val="0"/>
              <w:snapToGrid w:val="0"/>
              <w:ind w:firstLine="520"/>
              <w:rPr>
                <w:rFonts w:hint="default" w:ascii="Times New Roman" w:hAnsi="Times New Roman" w:cs="Times New Roman"/>
                <w:bCs/>
                <w:color w:val="auto"/>
                <w:spacing w:val="10"/>
                <w:sz w:val="24"/>
                <w:highlight w:val="none"/>
              </w:rPr>
            </w:pPr>
          </w:p>
          <w:p w14:paraId="5D1C4ACE">
            <w:pPr>
              <w:adjustRightInd w:val="0"/>
              <w:snapToGrid w:val="0"/>
              <w:ind w:firstLine="520"/>
              <w:rPr>
                <w:rFonts w:hint="default" w:ascii="Times New Roman" w:hAnsi="Times New Roman" w:cs="Times New Roman"/>
                <w:bCs/>
                <w:color w:val="auto"/>
                <w:spacing w:val="10"/>
                <w:sz w:val="24"/>
                <w:highlight w:val="none"/>
              </w:rPr>
            </w:pPr>
          </w:p>
          <w:p w14:paraId="41971744">
            <w:pPr>
              <w:adjustRightInd w:val="0"/>
              <w:snapToGrid w:val="0"/>
              <w:ind w:firstLine="520"/>
              <w:rPr>
                <w:rFonts w:hint="default" w:ascii="Times New Roman" w:hAnsi="Times New Roman" w:cs="Times New Roman"/>
                <w:bCs/>
                <w:color w:val="auto"/>
                <w:spacing w:val="10"/>
                <w:sz w:val="24"/>
                <w:highlight w:val="none"/>
              </w:rPr>
            </w:pPr>
          </w:p>
          <w:p w14:paraId="700AECD7">
            <w:pPr>
              <w:adjustRightInd w:val="0"/>
              <w:snapToGrid w:val="0"/>
              <w:ind w:firstLine="520"/>
              <w:rPr>
                <w:rFonts w:hint="default" w:ascii="Times New Roman" w:hAnsi="Times New Roman" w:cs="Times New Roman"/>
                <w:bCs/>
                <w:color w:val="auto"/>
                <w:spacing w:val="10"/>
                <w:sz w:val="24"/>
                <w:highlight w:val="none"/>
              </w:rPr>
            </w:pPr>
          </w:p>
        </w:tc>
      </w:tr>
    </w:tbl>
    <w:p w14:paraId="6B3BA6E5">
      <w:pPr>
        <w:widowControl/>
        <w:ind w:firstLine="480"/>
        <w:jc w:val="left"/>
        <w:rPr>
          <w:rFonts w:hint="default" w:ascii="Times New Roman" w:hAnsi="Times New Roman" w:cs="Times New Roman"/>
          <w:color w:val="auto"/>
          <w:highlight w:val="none"/>
        </w:rPr>
        <w:sectPr>
          <w:pgSz w:w="11907" w:h="16840"/>
          <w:pgMar w:top="1440" w:right="1797" w:bottom="1440" w:left="1797" w:header="851" w:footer="1077" w:gutter="0"/>
          <w:cols w:space="720" w:num="1"/>
        </w:sectPr>
      </w:pPr>
    </w:p>
    <w:p w14:paraId="136920CA">
      <w:pPr>
        <w:pStyle w:val="4"/>
        <w:bidi w:val="0"/>
        <w:jc w:val="center"/>
        <w:rPr>
          <w:rFonts w:hint="default" w:ascii="Times New Roman" w:hAnsi="Times New Roman" w:eastAsia="宋体" w:cs="Times New Roman"/>
          <w:highlight w:val="none"/>
        </w:rPr>
      </w:pPr>
      <w:bookmarkStart w:id="52" w:name="_Toc13352"/>
      <w:bookmarkStart w:id="53" w:name="_Toc6015"/>
      <w:r>
        <w:rPr>
          <w:rFonts w:hint="default" w:ascii="Times New Roman" w:hAnsi="Times New Roman" w:eastAsia="宋体" w:cs="Times New Roman"/>
          <w:highlight w:val="none"/>
        </w:rPr>
        <w:t>六、生态环境保护措施监督检查清单</w:t>
      </w:r>
      <w:bookmarkEnd w:id="52"/>
      <w:bookmarkEnd w:id="53"/>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3767"/>
        <w:gridCol w:w="2006"/>
        <w:gridCol w:w="769"/>
        <w:gridCol w:w="820"/>
      </w:tblGrid>
      <w:tr w14:paraId="31D770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vMerge w:val="restart"/>
            <w:tcBorders>
              <w:top w:val="single" w:color="auto" w:sz="8" w:space="0"/>
              <w:left w:val="single" w:color="auto" w:sz="8" w:space="0"/>
              <w:bottom w:val="single" w:color="auto" w:sz="4" w:space="0"/>
              <w:right w:val="single" w:color="auto" w:sz="4" w:space="0"/>
              <w:tl2br w:val="single" w:color="auto" w:sz="4" w:space="0"/>
            </w:tcBorders>
            <w:noWrap w:val="0"/>
            <w:vAlign w:val="center"/>
          </w:tcPr>
          <w:p w14:paraId="17517A8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07FD5C98">
            <w:pPr>
              <w:adjustRightInd w:val="0"/>
              <w:snapToGrid w:val="0"/>
              <w:spacing w:line="276" w:lineRule="auto"/>
              <w:jc w:val="center"/>
              <w:rPr>
                <w:rFonts w:hint="default" w:ascii="Times New Roman" w:hAnsi="Times New Roman" w:cs="Times New Roman"/>
                <w:color w:val="auto"/>
                <w:szCs w:val="21"/>
                <w:highlight w:val="none"/>
              </w:rPr>
            </w:pPr>
          </w:p>
          <w:p w14:paraId="6C29C30D">
            <w:pPr>
              <w:adjustRightInd w:val="0"/>
              <w:snapToGrid w:val="0"/>
              <w:spacing w:line="276" w:lineRule="auto"/>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3387" w:type="pct"/>
            <w:gridSpan w:val="2"/>
            <w:tcBorders>
              <w:top w:val="single" w:color="auto" w:sz="8" w:space="0"/>
              <w:left w:val="single" w:color="auto" w:sz="4" w:space="0"/>
              <w:bottom w:val="single" w:color="auto" w:sz="4" w:space="0"/>
              <w:right w:val="single" w:color="auto" w:sz="4" w:space="0"/>
            </w:tcBorders>
            <w:noWrap w:val="0"/>
            <w:vAlign w:val="center"/>
          </w:tcPr>
          <w:p w14:paraId="093FD8EB">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932" w:type="pct"/>
            <w:gridSpan w:val="2"/>
            <w:tcBorders>
              <w:top w:val="single" w:color="auto" w:sz="8" w:space="0"/>
              <w:left w:val="single" w:color="auto" w:sz="4" w:space="0"/>
              <w:bottom w:val="single" w:color="auto" w:sz="4" w:space="0"/>
              <w:right w:val="single" w:color="auto" w:sz="8" w:space="0"/>
            </w:tcBorders>
            <w:noWrap w:val="0"/>
            <w:vAlign w:val="center"/>
          </w:tcPr>
          <w:p w14:paraId="436E78CB">
            <w:pPr>
              <w:adjustRightInd w:val="0"/>
              <w:snapToGrid w:val="0"/>
              <w:spacing w:line="276"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运行期</w:t>
            </w:r>
          </w:p>
        </w:tc>
      </w:tr>
      <w:tr w14:paraId="59988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vMerge w:val="continue"/>
            <w:tcBorders>
              <w:top w:val="single" w:color="auto" w:sz="8" w:space="0"/>
              <w:left w:val="single" w:color="auto" w:sz="8" w:space="0"/>
              <w:bottom w:val="single" w:color="auto" w:sz="4" w:space="0"/>
              <w:right w:val="single" w:color="auto" w:sz="4" w:space="0"/>
            </w:tcBorders>
            <w:noWrap w:val="0"/>
            <w:vAlign w:val="center"/>
          </w:tcPr>
          <w:p w14:paraId="0DD9EFE9">
            <w:pPr>
              <w:widowControl/>
              <w:adjustRightInd w:val="0"/>
              <w:snapToGrid w:val="0"/>
              <w:jc w:val="left"/>
              <w:rPr>
                <w:rFonts w:hint="default" w:ascii="Times New Roman" w:hAnsi="Times New Roman" w:cs="Times New Roman"/>
                <w:color w:val="auto"/>
                <w:szCs w:val="21"/>
                <w:highlight w:val="none"/>
              </w:rPr>
            </w:pPr>
          </w:p>
        </w:tc>
        <w:tc>
          <w:tcPr>
            <w:tcW w:w="2210" w:type="pct"/>
            <w:tcBorders>
              <w:top w:val="single" w:color="auto" w:sz="4" w:space="0"/>
              <w:left w:val="single" w:color="auto" w:sz="4" w:space="0"/>
              <w:bottom w:val="single" w:color="auto" w:sz="4" w:space="0"/>
              <w:right w:val="single" w:color="auto" w:sz="4" w:space="0"/>
            </w:tcBorders>
            <w:noWrap w:val="0"/>
            <w:vAlign w:val="center"/>
          </w:tcPr>
          <w:p w14:paraId="0AB886E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ED2784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验收要求</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BC38B9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246F569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验收</w:t>
            </w:r>
          </w:p>
          <w:p w14:paraId="31540E0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要求</w:t>
            </w:r>
          </w:p>
        </w:tc>
      </w:tr>
      <w:tr w14:paraId="2F7A8F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6341551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陆生生态</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5D2FA065">
            <w:pPr>
              <w:adjustRightInd w:val="0"/>
              <w:snapToGrid w:val="0"/>
              <w:spacing w:line="276" w:lineRule="auto"/>
              <w:rPr>
                <w:rFonts w:hint="default" w:ascii="Times New Roman" w:hAnsi="Times New Roman" w:cs="Times New Roman"/>
                <w:color w:val="auto"/>
                <w:spacing w:val="-4"/>
                <w:szCs w:val="21"/>
                <w:highlight w:val="none"/>
              </w:rPr>
            </w:pPr>
            <w:r>
              <w:rPr>
                <w:rFonts w:hint="default" w:ascii="Times New Roman" w:hAnsi="Times New Roman" w:cs="Times New Roman"/>
                <w:color w:val="auto"/>
                <w:spacing w:val="-4"/>
                <w:szCs w:val="21"/>
                <w:highlight w:val="none"/>
              </w:rPr>
              <w:t>优化施工工艺，缩短施工工期；施工开始前，进行表土剥离，耕地剥离厚度30cm，草地和林地剥离厚度</w:t>
            </w:r>
            <w:r>
              <w:rPr>
                <w:rFonts w:hint="eastAsia" w:cs="Times New Roman"/>
                <w:color w:val="auto"/>
                <w:spacing w:val="-4"/>
                <w:szCs w:val="21"/>
                <w:highlight w:val="none"/>
                <w:lang w:val="en-US" w:eastAsia="zh-CN"/>
              </w:rPr>
              <w:t>2</w:t>
            </w:r>
            <w:r>
              <w:rPr>
                <w:rFonts w:hint="default" w:ascii="Times New Roman" w:hAnsi="Times New Roman" w:cs="Times New Roman"/>
                <w:color w:val="auto"/>
                <w:spacing w:val="-4"/>
                <w:szCs w:val="21"/>
                <w:highlight w:val="none"/>
              </w:rPr>
              <w:t>0cm，周边设置排水沟，堆置表土外表面采取密目网覆盖措施，布置编织袋土埂拦挡，施工结束后表土回填。施工结束后，临时占地全部恢复为原地类。施工中凡是土石方开采量大的项目应该避开暴雨期，减少暴雨冲刷，减轻水土流失。</w:t>
            </w:r>
          </w:p>
          <w:p w14:paraId="1DC38140">
            <w:pPr>
              <w:adjustRightInd w:val="0"/>
              <w:snapToGrid w:val="0"/>
              <w:spacing w:line="276" w:lineRule="auto"/>
              <w:rPr>
                <w:rFonts w:hint="default" w:ascii="Times New Roman" w:hAnsi="Times New Roman" w:cs="Times New Roman"/>
                <w:color w:val="auto"/>
                <w:spacing w:val="-4"/>
                <w:szCs w:val="21"/>
                <w:highlight w:val="none"/>
              </w:rPr>
            </w:pPr>
            <w:r>
              <w:rPr>
                <w:rFonts w:hint="default" w:ascii="Times New Roman" w:hAnsi="Times New Roman" w:cs="Times New Roman"/>
                <w:color w:val="auto"/>
                <w:spacing w:val="-4"/>
                <w:szCs w:val="21"/>
                <w:highlight w:val="none"/>
              </w:rPr>
              <w:t>尽量减少施工临时占用土地，按征地要求，不能超出征地界限；施工中注意保护施工区周围地面植被，禁止砍伐林木，保护施工区可能出现的野生动物。施工中凡是土石方开采量大的项目应该避开暴雨期，减少暴雨冲刷，减轻水土流失。对施工扰动区域采取临时防护措施和植物措施相结合的方式进行综合治理。</w:t>
            </w:r>
          </w:p>
          <w:p w14:paraId="7125D6DA">
            <w:pPr>
              <w:pStyle w:val="2"/>
              <w:ind w:left="0" w:leftChars="0" w:firstLine="0" w:firstLineChars="0"/>
              <w:rPr>
                <w:rFonts w:hint="default"/>
              </w:rPr>
            </w:pPr>
            <w:r>
              <w:rPr>
                <w:rFonts w:hint="default"/>
                <w:highlight w:val="yellow"/>
              </w:rPr>
              <w:t>工程临时占地待工程施工完毕后，将恢复原地类，破坏地表植被和影响土地类型是暂时的。施工结束后，通过土地复垦、撒播种草、恢复林地等措施恢复耕地和植被，可将其影响降到最小，改道后岸坡进行植被恢复，植被覆盖度大于原河道，对生态环境起到保护作用，更有利于生物栖息，优化景观协调性。</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75C53B0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临时设施已全部拆除，全部弃土得到有效利用，施工结束后对临时占地进行植被恢复和土地复垦。</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284C851F">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监督和管理工程运行对周围环境的影响变化</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391AACA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78916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4CDBC30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水生生态</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44AE9EC5">
            <w:pPr>
              <w:adjustRightInd w:val="0"/>
              <w:snapToGrid w:val="0"/>
              <w:spacing w:line="276" w:lineRule="auto"/>
              <w:rPr>
                <w:rFonts w:hint="default" w:ascii="Times New Roman" w:hAnsi="Times New Roman" w:cs="Times New Roman"/>
                <w:color w:val="auto"/>
                <w:szCs w:val="21"/>
                <w:highlight w:val="none"/>
                <w:lang w:val="en-US" w:eastAsia="zh-CN"/>
              </w:rPr>
            </w:pPr>
            <w:r>
              <w:rPr>
                <w:rFonts w:hint="default" w:ascii="Times New Roman" w:hAnsi="Times New Roman" w:cs="Times New Roman"/>
                <w:bCs/>
                <w:color w:val="auto"/>
                <w:spacing w:val="10"/>
                <w:szCs w:val="21"/>
                <w:highlight w:val="none"/>
              </w:rPr>
              <w:t>加强管理，杜绝污染物进入水体中，禁止向河水中排放废水、废渣，</w:t>
            </w:r>
            <w:r>
              <w:rPr>
                <w:rFonts w:hint="default" w:ascii="Times New Roman" w:hAnsi="Times New Roman" w:cs="Times New Roman"/>
                <w:color w:val="auto"/>
                <w:szCs w:val="21"/>
                <w:highlight w:val="none"/>
              </w:rPr>
              <w:t>施工期禁止捕捞鱼类。</w:t>
            </w:r>
            <w:r>
              <w:rPr>
                <w:rFonts w:hint="default" w:ascii="Times New Roman" w:hAnsi="Times New Roman" w:cs="Times New Roman"/>
                <w:color w:val="auto"/>
                <w:szCs w:val="21"/>
                <w:highlight w:val="none"/>
                <w:lang w:val="en-US" w:eastAsia="zh-CN"/>
              </w:rPr>
              <w:t>分段、分区域施工，优化施工工艺，缩短施工工期，避开鱼类产卵期进行施工，施工采用低噪声设备。</w:t>
            </w:r>
          </w:p>
          <w:p w14:paraId="72D00FE5">
            <w:pPr>
              <w:adjustRightInd w:val="0"/>
              <w:snapToGrid w:val="0"/>
              <w:spacing w:line="276" w:lineRule="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yellow"/>
                <w:lang w:val="en-US" w:eastAsia="zh-CN"/>
              </w:rPr>
              <w:t>本项目为自然岸线，本项目选择生态友好型护岸，采用格宾石笼形式，种植本土水生植物，恢复自然岸线的形态。</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C8B5097">
            <w:pPr>
              <w:adjustRightInd w:val="0"/>
              <w:snapToGrid w:val="0"/>
              <w:spacing w:line="276" w:lineRule="auto"/>
              <w:jc w:val="both"/>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yellow"/>
                <w:lang w:val="en-US" w:eastAsia="zh-CN"/>
              </w:rPr>
              <w:t>不影响区域水生生态，</w:t>
            </w:r>
            <w:r>
              <w:rPr>
                <w:rFonts w:hint="default" w:ascii="Times New Roman" w:hAnsi="Times New Roman" w:cs="Times New Roman"/>
                <w:color w:val="auto"/>
                <w:szCs w:val="21"/>
                <w:highlight w:val="yellow"/>
                <w:lang w:val="en-US" w:eastAsia="zh-CN"/>
              </w:rPr>
              <w:t>恢复自然岸线的形态。</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0B5D814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295FDC1A">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6F272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2C9D217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419488B5">
            <w:pPr>
              <w:adjustRightInd w:val="0"/>
              <w:snapToGrid w:val="0"/>
              <w:spacing w:line="276" w:lineRule="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pacing w:val="-4"/>
                <w:szCs w:val="21"/>
                <w:highlight w:val="none"/>
              </w:rPr>
              <w:t>生活区设置防渗旱厕，定期清掏，外运</w:t>
            </w:r>
            <w:r>
              <w:rPr>
                <w:rFonts w:hint="default" w:ascii="Times New Roman" w:hAnsi="Times New Roman" w:cs="Times New Roman"/>
                <w:color w:val="auto"/>
                <w:spacing w:val="-4"/>
                <w:szCs w:val="21"/>
                <w:highlight w:val="none"/>
                <w:lang w:val="en-US" w:eastAsia="zh-CN"/>
              </w:rPr>
              <w:t>堆肥</w:t>
            </w:r>
            <w:r>
              <w:rPr>
                <w:rFonts w:hint="default" w:ascii="Times New Roman" w:hAnsi="Times New Roman" w:cs="Times New Roman"/>
                <w:color w:val="auto"/>
                <w:spacing w:val="-4"/>
                <w:szCs w:val="21"/>
                <w:highlight w:val="none"/>
                <w:lang w:eastAsia="zh-CN"/>
              </w:rPr>
              <w:t>，生产废水沉淀处理后不外排。</w:t>
            </w:r>
            <w:r>
              <w:rPr>
                <w:rFonts w:hint="default" w:ascii="Times New Roman" w:hAnsi="Times New Roman" w:cs="Times New Roman"/>
                <w:color w:val="auto"/>
                <w:spacing w:val="-4"/>
                <w:szCs w:val="21"/>
                <w:highlight w:val="yellow"/>
                <w:lang w:eastAsia="zh-CN"/>
              </w:rPr>
              <w:t>围堰拆除采用机械分段拆除，减少单次扰动范围，尽量缩短工期。所有施工废水必须经处理回用，严禁直接排入河道。裸露土方、表土及时覆盖，设置排水沟，减少水土流失，严禁向河道弃土、弃渣。</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4DEE22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施工期废水无外排。施工结束后，旱厕全部拆除，占地全部恢复。</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947D77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92E2871">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779501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509640C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地下水及土壤环境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73DA10E1">
            <w:pPr>
              <w:adjustRightInd w:val="0"/>
              <w:snapToGrid w:val="0"/>
              <w:spacing w:line="276" w:lineRule="auto"/>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zCs w:val="21"/>
                <w:highlight w:val="none"/>
              </w:rPr>
              <w:t>/</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5EEE98D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7549FBDE">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01D0020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6DB62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4A89870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20469E02">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bCs/>
                <w:color w:val="auto"/>
                <w:spacing w:val="10"/>
                <w:szCs w:val="21"/>
                <w:highlight w:val="none"/>
              </w:rPr>
              <w:t>施工机械</w:t>
            </w:r>
            <w:r>
              <w:rPr>
                <w:rFonts w:hint="default" w:ascii="Times New Roman" w:hAnsi="Times New Roman" w:cs="Times New Roman"/>
                <w:color w:val="auto"/>
                <w:szCs w:val="21"/>
                <w:highlight w:val="none"/>
              </w:rPr>
              <w:t>选用正规厂家、噪声较低的环保型设备，</w:t>
            </w:r>
            <w:r>
              <w:rPr>
                <w:rFonts w:hint="default" w:ascii="Times New Roman" w:hAnsi="Times New Roman" w:cs="Times New Roman"/>
                <w:bCs/>
                <w:color w:val="auto"/>
                <w:spacing w:val="10"/>
                <w:szCs w:val="21"/>
                <w:highlight w:val="none"/>
              </w:rPr>
              <w:t>加强设备的维修和养护</w:t>
            </w:r>
            <w:r>
              <w:rPr>
                <w:rFonts w:hint="default" w:ascii="Times New Roman" w:hAnsi="Times New Roman" w:cs="Times New Roman"/>
                <w:color w:val="auto"/>
                <w:szCs w:val="21"/>
                <w:highlight w:val="none"/>
              </w:rPr>
              <w:t>。运输车辆</w:t>
            </w:r>
            <w:r>
              <w:rPr>
                <w:rFonts w:hint="default" w:ascii="Times New Roman" w:hAnsi="Times New Roman" w:cs="Times New Roman"/>
                <w:bCs/>
                <w:color w:val="auto"/>
                <w:spacing w:val="10"/>
                <w:szCs w:val="21"/>
                <w:highlight w:val="none"/>
              </w:rPr>
              <w:t>行经居民点时限速行驶，禁止使用高音喇叭，高噪声设备的操作人员发放防护用品，加强施工管理，合理安排作业时间，禁止夜间（22</w:t>
            </w:r>
            <w:r>
              <w:rPr>
                <w:rFonts w:hint="default" w:ascii="Times New Roman" w:hAnsi="Times New Roman" w:cs="Times New Roman"/>
                <w:bCs/>
                <w:color w:val="auto"/>
                <w:spacing w:val="10"/>
                <w:szCs w:val="21"/>
                <w:highlight w:val="none"/>
                <w:lang w:eastAsia="zh-CN"/>
              </w:rPr>
              <w:t>:</w:t>
            </w:r>
            <w:r>
              <w:rPr>
                <w:rFonts w:hint="default" w:ascii="Times New Roman" w:hAnsi="Times New Roman" w:cs="Times New Roman"/>
                <w:bCs/>
                <w:color w:val="auto"/>
                <w:spacing w:val="10"/>
                <w:szCs w:val="21"/>
                <w:highlight w:val="none"/>
              </w:rPr>
              <w:t>00～06</w:t>
            </w:r>
            <w:r>
              <w:rPr>
                <w:rFonts w:hint="default" w:ascii="Times New Roman" w:hAnsi="Times New Roman" w:cs="Times New Roman"/>
                <w:bCs/>
                <w:color w:val="auto"/>
                <w:spacing w:val="10"/>
                <w:szCs w:val="21"/>
                <w:highlight w:val="none"/>
                <w:lang w:eastAsia="zh-CN"/>
              </w:rPr>
              <w:t>:</w:t>
            </w:r>
            <w:r>
              <w:rPr>
                <w:rFonts w:hint="default" w:ascii="Times New Roman" w:hAnsi="Times New Roman" w:cs="Times New Roman"/>
                <w:bCs/>
                <w:color w:val="auto"/>
                <w:spacing w:val="10"/>
                <w:szCs w:val="21"/>
                <w:highlight w:val="none"/>
              </w:rPr>
              <w:t>00）施工。</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6F7471C6">
            <w:pPr>
              <w:adjustRightInd w:val="0"/>
              <w:snapToGrid w:val="0"/>
              <w:spacing w:line="276" w:lineRule="auto"/>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施工期施工噪声满足</w:t>
            </w:r>
            <w:r>
              <w:rPr>
                <w:rFonts w:hint="default" w:ascii="Times New Roman" w:hAnsi="Times New Roman" w:cs="Times New Roman"/>
                <w:color w:val="auto"/>
                <w:szCs w:val="21"/>
                <w:highlight w:val="none"/>
                <w:lang w:eastAsia="zh-CN"/>
              </w:rPr>
              <w:t>《建筑施工噪声排放标准》（GB12523—2025）</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14FE1A6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4669ADF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C64B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132EBB5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振动</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51A27309">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给噪声源的机械设备安装减振器</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64C6DB8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7089B18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0C0F9EC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54844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61223D1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3F775546">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定期洒水降尘，物料的运输、堆存全部</w:t>
            </w:r>
            <w:r>
              <w:rPr>
                <w:rFonts w:hint="default" w:ascii="Times New Roman" w:hAnsi="Times New Roman" w:cs="Times New Roman"/>
                <w:bCs/>
                <w:color w:val="auto"/>
                <w:spacing w:val="10"/>
                <w:szCs w:val="21"/>
                <w:highlight w:val="none"/>
              </w:rPr>
              <w:t>放入仓库或加盖</w:t>
            </w:r>
            <w:r>
              <w:rPr>
                <w:rFonts w:hint="default" w:ascii="Times New Roman" w:hAnsi="Times New Roman" w:cs="Times New Roman"/>
                <w:color w:val="auto"/>
                <w:szCs w:val="21"/>
                <w:highlight w:val="none"/>
              </w:rPr>
              <w:t>苫布，不得露天堆放。车辆设备定期检修。混凝土</w:t>
            </w:r>
            <w:r>
              <w:rPr>
                <w:rFonts w:hint="default" w:ascii="Times New Roman" w:hAnsi="Times New Roman" w:cs="Times New Roman"/>
                <w:color w:val="auto"/>
                <w:szCs w:val="21"/>
                <w:highlight w:val="none"/>
                <w:lang w:eastAsia="zh-CN"/>
              </w:rPr>
              <w:t>拌和</w:t>
            </w:r>
            <w:r>
              <w:rPr>
                <w:rFonts w:hint="default" w:ascii="Times New Roman" w:hAnsi="Times New Roman" w:cs="Times New Roman"/>
                <w:color w:val="auto"/>
                <w:szCs w:val="21"/>
                <w:highlight w:val="none"/>
              </w:rPr>
              <w:t>系统设置简易罩棚，周边洒水降尘，</w:t>
            </w:r>
            <w:r>
              <w:rPr>
                <w:rFonts w:hint="default" w:ascii="Times New Roman" w:hAnsi="Times New Roman" w:cs="Times New Roman"/>
                <w:color w:val="auto"/>
                <w:szCs w:val="21"/>
                <w:highlight w:val="none"/>
                <w:lang w:eastAsia="zh-CN"/>
              </w:rPr>
              <w:t>拌和</w:t>
            </w:r>
            <w:r>
              <w:rPr>
                <w:rFonts w:hint="default" w:ascii="Times New Roman" w:hAnsi="Times New Roman" w:cs="Times New Roman"/>
                <w:color w:val="auto"/>
                <w:szCs w:val="21"/>
                <w:highlight w:val="none"/>
              </w:rPr>
              <w:t>废气经系统自带除尘设施处理后排放</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水泥料仓顶部自带除尘设施处理后经仓顶排放</w:t>
            </w:r>
            <w:r>
              <w:rPr>
                <w:rFonts w:hint="default" w:ascii="Times New Roman" w:hAnsi="Times New Roman" w:cs="Times New Roman"/>
                <w:color w:val="auto"/>
                <w:szCs w:val="21"/>
                <w:highlight w:val="none"/>
              </w:rPr>
              <w:t>。风大天气禁止</w:t>
            </w:r>
            <w:r>
              <w:rPr>
                <w:rFonts w:hint="default" w:ascii="Times New Roman" w:hAnsi="Times New Roman" w:cs="Times New Roman"/>
                <w:bCs/>
                <w:color w:val="auto"/>
                <w:spacing w:val="10"/>
                <w:szCs w:val="21"/>
                <w:highlight w:val="none"/>
              </w:rPr>
              <w:t>土方开挖</w:t>
            </w:r>
            <w:r>
              <w:rPr>
                <w:rFonts w:hint="default" w:ascii="Times New Roman" w:hAnsi="Times New Roman" w:cs="Times New Roman"/>
                <w:color w:val="auto"/>
                <w:szCs w:val="21"/>
                <w:highlight w:val="none"/>
              </w:rPr>
              <w:t>。车辆路过村屯，车速低于20k</w:t>
            </w:r>
            <w:r>
              <w:rPr>
                <w:rFonts w:hint="default" w:ascii="Times New Roman" w:hAnsi="Times New Roman" w:cs="Times New Roman"/>
                <w:color w:val="auto"/>
                <w:szCs w:val="21"/>
                <w:highlight w:val="none"/>
                <w:lang w:eastAsia="zh-CN"/>
              </w:rPr>
              <w:t>m</w:t>
            </w:r>
            <w:r>
              <w:rPr>
                <w:rFonts w:hint="default" w:ascii="Times New Roman" w:hAnsi="Times New Roman" w:cs="Times New Roman"/>
                <w:color w:val="auto"/>
                <w:szCs w:val="21"/>
                <w:highlight w:val="none"/>
              </w:rPr>
              <w:t>/h。</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3D9A01B7">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r>
              <w:rPr>
                <w:rFonts w:hint="default" w:ascii="Times New Roman" w:hAnsi="Times New Roman" w:cs="Times New Roman"/>
                <w:color w:val="auto"/>
                <w:szCs w:val="21"/>
                <w:highlight w:val="none"/>
                <w:lang w:eastAsia="zh-CN"/>
              </w:rPr>
              <w:t>厂界</w:t>
            </w:r>
            <w:r>
              <w:rPr>
                <w:rFonts w:hint="default" w:ascii="Times New Roman" w:hAnsi="Times New Roman" w:cs="Times New Roman"/>
                <w:color w:val="auto"/>
                <w:szCs w:val="21"/>
                <w:highlight w:val="none"/>
              </w:rPr>
              <w:t>颗粒物满足《大气污染物综合排放标准》（GB16297</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1996）中无组织排放监控限值。</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601245D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A1807D3">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4F270C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7FB5295A">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2210" w:type="pct"/>
            <w:noWrap w:val="0"/>
            <w:vAlign w:val="top"/>
          </w:tcPr>
          <w:p w14:paraId="0DECEE3F">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开挖土方得到有效处置；</w:t>
            </w:r>
            <w:r>
              <w:rPr>
                <w:rFonts w:hint="default" w:ascii="Times New Roman" w:hAnsi="Times New Roman" w:cs="Times New Roman"/>
                <w:bCs/>
                <w:color w:val="auto"/>
                <w:szCs w:val="21"/>
                <w:highlight w:val="none"/>
              </w:rPr>
              <w:t>土方堆置时加强防护，坡脚用编织袋填筑土埂压盖并拦挡，表面密目网覆盖，施工结束后撒播种草恢复植被</w:t>
            </w:r>
            <w:r>
              <w:rPr>
                <w:rFonts w:hint="default" w:ascii="Times New Roman" w:hAnsi="Times New Roman" w:cs="Times New Roman"/>
                <w:color w:val="auto"/>
                <w:szCs w:val="21"/>
                <w:highlight w:val="none"/>
              </w:rPr>
              <w:t>。</w:t>
            </w:r>
          </w:p>
          <w:p w14:paraId="051F4CB9">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表土</w:t>
            </w:r>
            <w:r>
              <w:rPr>
                <w:rFonts w:hint="default" w:ascii="Times New Roman" w:hAnsi="Times New Roman" w:cs="Times New Roman"/>
                <w:color w:val="auto"/>
                <w:sz w:val="21"/>
                <w:szCs w:val="21"/>
                <w:highlight w:val="none"/>
              </w:rPr>
              <w:t>全部由</w:t>
            </w:r>
            <w:r>
              <w:rPr>
                <w:rFonts w:hint="default" w:ascii="Times New Roman" w:hAnsi="Times New Roman" w:cs="Times New Roman"/>
                <w:color w:val="auto"/>
                <w:sz w:val="21"/>
                <w:szCs w:val="21"/>
                <w:highlight w:val="none"/>
                <w:lang w:val="en-US" w:eastAsia="zh-CN"/>
              </w:rPr>
              <w:t>庆安县庆禾农业发展有限公司</w:t>
            </w:r>
            <w:r>
              <w:rPr>
                <w:rFonts w:hint="default" w:ascii="Times New Roman" w:hAnsi="Times New Roman" w:cs="Times New Roman"/>
                <w:color w:val="auto"/>
                <w:sz w:val="21"/>
                <w:szCs w:val="21"/>
                <w:highlight w:val="none"/>
              </w:rPr>
              <w:t>外运并进行综合利用，重点用于</w:t>
            </w:r>
            <w:r>
              <w:rPr>
                <w:rFonts w:hint="default" w:ascii="Times New Roman" w:hAnsi="Times New Roman" w:cs="Times New Roman"/>
                <w:color w:val="auto"/>
                <w:sz w:val="21"/>
                <w:szCs w:val="21"/>
                <w:highlight w:val="none"/>
                <w:lang w:val="en-US" w:eastAsia="zh-CN"/>
              </w:rPr>
              <w:t>土地改良。</w:t>
            </w:r>
          </w:p>
          <w:p w14:paraId="7D06EFD7">
            <w:pPr>
              <w:adjustRightInd w:val="0"/>
              <w:snapToGrid w:val="0"/>
              <w:spacing w:line="240"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在临时生活区布设垃圾箱，运输垃圾的设施要</w:t>
            </w:r>
            <w:r>
              <w:rPr>
                <w:rFonts w:hint="default" w:ascii="Times New Roman" w:hAnsi="Times New Roman" w:cs="Times New Roman"/>
                <w:color w:val="auto"/>
                <w:szCs w:val="21"/>
                <w:highlight w:val="none"/>
                <w:lang w:eastAsia="zh-CN"/>
              </w:rPr>
              <w:t>密闭</w:t>
            </w:r>
            <w:r>
              <w:rPr>
                <w:rFonts w:hint="default" w:ascii="Times New Roman" w:hAnsi="Times New Roman" w:cs="Times New Roman"/>
                <w:color w:val="auto"/>
                <w:szCs w:val="21"/>
                <w:highlight w:val="none"/>
              </w:rPr>
              <w:t>，以免对环境造成二次污染。</w:t>
            </w:r>
          </w:p>
          <w:p w14:paraId="5218E693">
            <w:pPr>
              <w:pStyle w:val="52"/>
              <w:spacing w:line="240" w:lineRule="auto"/>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定期收集清运建筑垃圾，能够回收利用的送交废旧物资回收站处理，其余的送市政部门指定地点堆存，以保护施工区环境卫生。</w:t>
            </w:r>
          </w:p>
          <w:p w14:paraId="1EF8DF7B">
            <w:pPr>
              <w:spacing w:line="240" w:lineRule="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沉淀池污泥施工结束后统一清出与弃土一同处置。</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091E6530">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施工期固废的处置率为100%。</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3B7BD527">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654578AC">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C956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22550B6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电磁环境</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697226A6">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4DA9BAE8">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55B86434">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780A675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5507EA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7081736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w:t>
            </w:r>
          </w:p>
        </w:tc>
        <w:tc>
          <w:tcPr>
            <w:tcW w:w="2210" w:type="pct"/>
            <w:tcBorders>
              <w:top w:val="single" w:color="auto" w:sz="8" w:space="0"/>
              <w:left w:val="single" w:color="auto" w:sz="8" w:space="0"/>
              <w:bottom w:val="single" w:color="auto" w:sz="8" w:space="0"/>
              <w:right w:val="single" w:color="auto" w:sz="4" w:space="0"/>
            </w:tcBorders>
            <w:noWrap w:val="0"/>
            <w:vAlign w:val="center"/>
          </w:tcPr>
          <w:p w14:paraId="566E2CAD">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本工程施工过程中，运输车辆和机械在指定运输路线行驶；</w:t>
            </w:r>
          </w:p>
          <w:p w14:paraId="03E42CA9">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在进出口加设限速、</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谨慎驾驶</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等标识牌，提醒工程周边社会车辆降低车速安全通行，减小交通事故发生概率；</w:t>
            </w:r>
          </w:p>
          <w:p w14:paraId="3131B9C8">
            <w:pPr>
              <w:adjustRightInd w:val="0"/>
              <w:snapToGrid w:val="0"/>
              <w:spacing w:line="273"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加强工程运输车</w:t>
            </w:r>
            <w:r>
              <w:rPr>
                <w:rFonts w:hint="default" w:ascii="Times New Roman" w:hAnsi="Times New Roman" w:cs="Times New Roman"/>
                <w:color w:val="auto"/>
                <w:szCs w:val="21"/>
                <w:highlight w:val="none"/>
                <w:lang w:val="en-US" w:eastAsia="zh-CN"/>
              </w:rPr>
              <w:t>辆</w:t>
            </w:r>
            <w:r>
              <w:rPr>
                <w:rFonts w:hint="default" w:ascii="Times New Roman" w:hAnsi="Times New Roman" w:cs="Times New Roman"/>
                <w:color w:val="auto"/>
                <w:szCs w:val="21"/>
                <w:highlight w:val="none"/>
              </w:rPr>
              <w:t>安全管理，定期检修相关车辆，保证上路车辆车况良好。每天检查机器是否有燃油和机油泄漏，并迅速清理任何溢出物。</w:t>
            </w:r>
          </w:p>
        </w:tc>
        <w:tc>
          <w:tcPr>
            <w:tcW w:w="1177" w:type="pct"/>
            <w:tcBorders>
              <w:top w:val="single" w:color="auto" w:sz="8" w:space="0"/>
              <w:left w:val="single" w:color="auto" w:sz="4" w:space="0"/>
              <w:bottom w:val="single" w:color="auto" w:sz="8" w:space="0"/>
              <w:right w:val="single" w:color="auto" w:sz="4" w:space="0"/>
            </w:tcBorders>
            <w:noWrap w:val="0"/>
            <w:vAlign w:val="center"/>
          </w:tcPr>
          <w:p w14:paraId="7435D26D">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8" w:space="0"/>
              <w:left w:val="single" w:color="auto" w:sz="4" w:space="0"/>
              <w:bottom w:val="single" w:color="auto" w:sz="8" w:space="0"/>
              <w:right w:val="single" w:color="auto" w:sz="4" w:space="0"/>
            </w:tcBorders>
            <w:noWrap w:val="0"/>
            <w:vAlign w:val="center"/>
          </w:tcPr>
          <w:p w14:paraId="5BA93DB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8" w:space="0"/>
              <w:left w:val="single" w:color="auto" w:sz="4" w:space="0"/>
              <w:bottom w:val="single" w:color="auto" w:sz="8" w:space="0"/>
              <w:right w:val="single" w:color="auto" w:sz="8" w:space="0"/>
            </w:tcBorders>
            <w:noWrap w:val="0"/>
            <w:vAlign w:val="center"/>
          </w:tcPr>
          <w:p w14:paraId="6C3C281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02D9F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1" w:type="pct"/>
            <w:tcBorders>
              <w:top w:val="single" w:color="auto" w:sz="4" w:space="0"/>
              <w:left w:val="single" w:color="auto" w:sz="8" w:space="0"/>
              <w:bottom w:val="single" w:color="auto" w:sz="4" w:space="0"/>
              <w:right w:val="single" w:color="auto" w:sz="4" w:space="0"/>
            </w:tcBorders>
            <w:noWrap w:val="0"/>
            <w:vAlign w:val="center"/>
          </w:tcPr>
          <w:p w14:paraId="5CE9F03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环境监测</w:t>
            </w:r>
          </w:p>
        </w:tc>
        <w:tc>
          <w:tcPr>
            <w:tcW w:w="2210" w:type="pct"/>
            <w:tcBorders>
              <w:top w:val="single" w:color="auto" w:sz="4" w:space="0"/>
              <w:left w:val="single" w:color="auto" w:sz="4" w:space="0"/>
              <w:bottom w:val="single" w:color="auto" w:sz="4" w:space="0"/>
              <w:right w:val="single" w:color="auto" w:sz="4" w:space="0"/>
            </w:tcBorders>
            <w:noWrap w:val="0"/>
            <w:vAlign w:val="center"/>
          </w:tcPr>
          <w:p w14:paraId="069CB436">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根据规定的监测点位、监测项目、监测时间及频次进行监测</w:t>
            </w:r>
          </w:p>
        </w:tc>
        <w:tc>
          <w:tcPr>
            <w:tcW w:w="1177" w:type="pct"/>
            <w:tcBorders>
              <w:top w:val="single" w:color="auto" w:sz="4" w:space="0"/>
              <w:left w:val="single" w:color="auto" w:sz="4" w:space="0"/>
              <w:bottom w:val="single" w:color="auto" w:sz="4" w:space="0"/>
              <w:right w:val="single" w:color="auto" w:sz="4" w:space="0"/>
            </w:tcBorders>
            <w:noWrap w:val="0"/>
            <w:vAlign w:val="center"/>
          </w:tcPr>
          <w:p w14:paraId="3DC85215">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出具符合C</w:t>
            </w:r>
            <w:r>
              <w:rPr>
                <w:rFonts w:hint="eastAsia" w:cs="Times New Roman"/>
                <w:color w:val="auto"/>
                <w:szCs w:val="21"/>
                <w:highlight w:val="none"/>
                <w:lang w:val="en-US" w:eastAsia="zh-CN"/>
              </w:rPr>
              <w:t>M</w:t>
            </w:r>
            <w:r>
              <w:rPr>
                <w:rFonts w:hint="default" w:ascii="Times New Roman" w:hAnsi="Times New Roman" w:cs="Times New Roman"/>
                <w:color w:val="auto"/>
                <w:szCs w:val="21"/>
                <w:highlight w:val="none"/>
              </w:rPr>
              <w:t>A认证监测报告</w:t>
            </w:r>
          </w:p>
        </w:tc>
        <w:tc>
          <w:tcPr>
            <w:tcW w:w="451" w:type="pct"/>
            <w:tcBorders>
              <w:top w:val="single" w:color="auto" w:sz="4" w:space="0"/>
              <w:left w:val="single" w:color="auto" w:sz="4" w:space="0"/>
              <w:bottom w:val="single" w:color="auto" w:sz="4" w:space="0"/>
              <w:right w:val="single" w:color="auto" w:sz="4" w:space="0"/>
            </w:tcBorders>
            <w:noWrap w:val="0"/>
            <w:vAlign w:val="center"/>
          </w:tcPr>
          <w:p w14:paraId="4D025031">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4" w:space="0"/>
              <w:right w:val="single" w:color="auto" w:sz="8" w:space="0"/>
            </w:tcBorders>
            <w:noWrap w:val="0"/>
            <w:vAlign w:val="center"/>
          </w:tcPr>
          <w:p w14:paraId="407EF66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1FE3C4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681" w:type="pct"/>
            <w:tcBorders>
              <w:top w:val="single" w:color="auto" w:sz="4" w:space="0"/>
              <w:left w:val="single" w:color="auto" w:sz="8" w:space="0"/>
              <w:bottom w:val="single" w:color="auto" w:sz="8" w:space="0"/>
              <w:right w:val="single" w:color="auto" w:sz="4" w:space="0"/>
            </w:tcBorders>
            <w:noWrap w:val="0"/>
            <w:vAlign w:val="center"/>
          </w:tcPr>
          <w:p w14:paraId="54C38760">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w:t>
            </w:r>
          </w:p>
        </w:tc>
        <w:tc>
          <w:tcPr>
            <w:tcW w:w="2210" w:type="pct"/>
            <w:tcBorders>
              <w:top w:val="single" w:color="auto" w:sz="4" w:space="0"/>
              <w:left w:val="single" w:color="auto" w:sz="4" w:space="0"/>
              <w:bottom w:val="single" w:color="auto" w:sz="8" w:space="0"/>
              <w:right w:val="single" w:color="auto" w:sz="4" w:space="0"/>
            </w:tcBorders>
            <w:noWrap w:val="0"/>
            <w:vAlign w:val="center"/>
          </w:tcPr>
          <w:p w14:paraId="48C0397B">
            <w:pPr>
              <w:adjustRightInd w:val="0"/>
              <w:snapToGrid w:val="0"/>
              <w:spacing w:line="276" w:lineRule="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施工期临时设施及环保设施需留有影像资料。</w:t>
            </w:r>
          </w:p>
        </w:tc>
        <w:tc>
          <w:tcPr>
            <w:tcW w:w="1177" w:type="pct"/>
            <w:tcBorders>
              <w:top w:val="single" w:color="auto" w:sz="4" w:space="0"/>
              <w:left w:val="single" w:color="auto" w:sz="4" w:space="0"/>
              <w:bottom w:val="single" w:color="auto" w:sz="8" w:space="0"/>
              <w:right w:val="single" w:color="auto" w:sz="4" w:space="0"/>
            </w:tcBorders>
            <w:noWrap w:val="0"/>
            <w:vAlign w:val="center"/>
          </w:tcPr>
          <w:p w14:paraId="053EBC02">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51" w:type="pct"/>
            <w:tcBorders>
              <w:top w:val="single" w:color="auto" w:sz="4" w:space="0"/>
              <w:left w:val="single" w:color="auto" w:sz="4" w:space="0"/>
              <w:bottom w:val="single" w:color="auto" w:sz="8" w:space="0"/>
              <w:right w:val="single" w:color="auto" w:sz="4" w:space="0"/>
            </w:tcBorders>
            <w:noWrap w:val="0"/>
            <w:vAlign w:val="center"/>
          </w:tcPr>
          <w:p w14:paraId="547BDC4F">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481" w:type="pct"/>
            <w:tcBorders>
              <w:top w:val="single" w:color="auto" w:sz="4" w:space="0"/>
              <w:left w:val="single" w:color="auto" w:sz="4" w:space="0"/>
              <w:bottom w:val="single" w:color="auto" w:sz="8" w:space="0"/>
              <w:right w:val="single" w:color="auto" w:sz="8" w:space="0"/>
            </w:tcBorders>
            <w:noWrap w:val="0"/>
            <w:vAlign w:val="center"/>
          </w:tcPr>
          <w:p w14:paraId="1B8AA195">
            <w:pPr>
              <w:adjustRightInd w:val="0"/>
              <w:snapToGrid w:val="0"/>
              <w:spacing w:line="276"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14:paraId="5E6A0E7C">
      <w:pPr>
        <w:widowControl/>
        <w:ind w:firstLine="600"/>
        <w:jc w:val="left"/>
        <w:rPr>
          <w:rFonts w:hint="default" w:ascii="Times New Roman" w:hAnsi="Times New Roman" w:cs="Times New Roman"/>
          <w:snapToGrid w:val="0"/>
          <w:color w:val="auto"/>
          <w:kern w:val="0"/>
          <w:sz w:val="30"/>
          <w:szCs w:val="30"/>
          <w:highlight w:val="none"/>
        </w:rPr>
        <w:sectPr>
          <w:pgSz w:w="11906" w:h="16838"/>
          <w:pgMar w:top="1440" w:right="1800" w:bottom="1440" w:left="1800" w:header="851" w:footer="1077" w:gutter="0"/>
          <w:cols w:space="720" w:num="1"/>
        </w:sectPr>
      </w:pPr>
    </w:p>
    <w:p w14:paraId="752B946E">
      <w:pPr>
        <w:pStyle w:val="4"/>
        <w:bidi w:val="0"/>
        <w:jc w:val="center"/>
        <w:rPr>
          <w:rFonts w:hint="default" w:ascii="Times New Roman" w:hAnsi="Times New Roman" w:eastAsia="宋体" w:cs="Times New Roman"/>
          <w:highlight w:val="none"/>
        </w:rPr>
      </w:pPr>
      <w:bookmarkStart w:id="54" w:name="_Toc32359"/>
      <w:bookmarkStart w:id="55" w:name="_Toc17399"/>
      <w:r>
        <w:rPr>
          <w:rFonts w:hint="default" w:ascii="Times New Roman" w:hAnsi="Times New Roman" w:eastAsia="宋体" w:cs="Times New Roman"/>
          <w:highlight w:val="none"/>
        </w:rPr>
        <w:t>七、结论</w:t>
      </w:r>
      <w:bookmarkEnd w:id="54"/>
      <w:bookmarkEnd w:id="55"/>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2918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4" w:hRule="atLeast"/>
          <w:jc w:val="center"/>
        </w:trPr>
        <w:tc>
          <w:tcPr>
            <w:tcW w:w="5000" w:type="pct"/>
            <w:tcBorders>
              <w:top w:val="single" w:color="auto" w:sz="8" w:space="0"/>
              <w:left w:val="single" w:color="auto" w:sz="8" w:space="0"/>
              <w:bottom w:val="single" w:color="auto" w:sz="8" w:space="0"/>
              <w:right w:val="single" w:color="auto" w:sz="8" w:space="0"/>
            </w:tcBorders>
            <w:noWrap w:val="0"/>
            <w:vAlign w:val="center"/>
          </w:tcPr>
          <w:p w14:paraId="0746332A">
            <w:pPr>
              <w:adjustRightInd w:val="0"/>
              <w:snapToGrid w:val="0"/>
              <w:spacing w:line="500" w:lineRule="atLeas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是防洪除涝项目，工程实施后，社会效益、生态环境效益、经济效益显著。工程对环境的有利影响远大于不利影响，本项目的建设在严格落实本报告表所提出的各项环保措施的前提下，各类污染物排放均可得到有效控制，对环境的影响较小，可以被周围环境所接受。从环境保护角度分析，该建设项目可行。</w:t>
            </w:r>
          </w:p>
          <w:p w14:paraId="6055B5B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0FAFC34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10A52FE7">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C671FCD">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32E5AEE">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E0D198E">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3DE36987">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2BE57321">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4B19B0F3">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6822AD44">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88974A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ED1094B">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9AF22AF">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1734BE20">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5FE9FED">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66B20435">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07F9409">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5D5E2A29">
            <w:pPr>
              <w:adjustRightInd w:val="0"/>
              <w:snapToGrid w:val="0"/>
              <w:spacing w:line="500" w:lineRule="atLeast"/>
              <w:ind w:firstLine="480" w:firstLineChars="200"/>
              <w:rPr>
                <w:rFonts w:hint="default" w:ascii="Times New Roman" w:hAnsi="Times New Roman" w:cs="Times New Roman"/>
                <w:color w:val="auto"/>
                <w:sz w:val="24"/>
                <w:highlight w:val="none"/>
              </w:rPr>
            </w:pPr>
          </w:p>
          <w:p w14:paraId="7A96EEDD">
            <w:pPr>
              <w:adjustRightInd w:val="0"/>
              <w:snapToGrid w:val="0"/>
              <w:spacing w:line="500" w:lineRule="atLeast"/>
              <w:ind w:firstLine="480" w:firstLineChars="200"/>
              <w:rPr>
                <w:rFonts w:hint="default" w:ascii="Times New Roman" w:hAnsi="Times New Roman" w:cs="Times New Roman"/>
                <w:color w:val="auto"/>
                <w:sz w:val="24"/>
                <w:highlight w:val="none"/>
              </w:rPr>
            </w:pPr>
          </w:p>
        </w:tc>
      </w:tr>
    </w:tbl>
    <w:p w14:paraId="2CE8AF97">
      <w:pPr>
        <w:widowControl/>
        <w:spacing w:line="648" w:lineRule="auto"/>
        <w:ind w:firstLine="640"/>
        <w:jc w:val="left"/>
        <w:rPr>
          <w:rFonts w:hint="default" w:ascii="Times New Roman" w:hAnsi="Times New Roman" w:cs="Times New Roman"/>
          <w:snapToGrid w:val="0"/>
          <w:color w:val="auto"/>
          <w:kern w:val="0"/>
          <w:sz w:val="32"/>
          <w:szCs w:val="32"/>
          <w:highlight w:val="none"/>
        </w:rPr>
        <w:sectPr>
          <w:pgSz w:w="11906" w:h="16838"/>
          <w:pgMar w:top="1440" w:right="1800" w:bottom="1440" w:left="1800" w:header="851" w:footer="1077" w:gutter="0"/>
          <w:cols w:space="720" w:num="1"/>
        </w:sectPr>
      </w:pPr>
    </w:p>
    <w:p w14:paraId="1E896284">
      <w:pPr>
        <w:pStyle w:val="4"/>
        <w:bidi w:val="0"/>
        <w:rPr>
          <w:rFonts w:hint="default" w:ascii="Times New Roman" w:hAnsi="Times New Roman" w:eastAsia="宋体" w:cs="Times New Roman"/>
          <w:highlight w:val="none"/>
        </w:rPr>
      </w:pPr>
      <w:bookmarkStart w:id="56" w:name="_Toc10244"/>
      <w:bookmarkStart w:id="57" w:name="_Toc25876"/>
      <w:r>
        <w:rPr>
          <w:rFonts w:hint="default" w:ascii="Times New Roman" w:hAnsi="Times New Roman" w:eastAsia="宋体" w:cs="Times New Roman"/>
          <w:highlight w:val="none"/>
        </w:rPr>
        <w:t>附图</w:t>
      </w:r>
      <w:bookmarkEnd w:id="56"/>
      <w:bookmarkEnd w:id="57"/>
    </w:p>
    <w:p w14:paraId="05DD6BDE">
      <w:pPr>
        <w:keepNext w:val="0"/>
        <w:keepLines w:val="0"/>
        <w:pageBreakBefore w:val="0"/>
        <w:widowControl w:val="0"/>
        <w:kinsoku/>
        <w:wordWrap/>
        <w:overflowPunct/>
        <w:topLinePunct w:val="0"/>
        <w:autoSpaceDE/>
        <w:autoSpaceDN/>
        <w:bidi w:val="0"/>
        <w:adjustRightInd/>
        <w:snapToGrid/>
        <w:ind w:firstLine="0"/>
        <w:textAlignment w:val="auto"/>
        <w:rPr>
          <w:rFonts w:hint="default" w:ascii="Times New Roman" w:hAnsi="Times New Roman" w:cs="Times New Roman"/>
          <w:color w:val="auto"/>
          <w:highlight w:val="none"/>
        </w:rPr>
      </w:pPr>
      <w:r>
        <w:rPr>
          <w:rFonts w:hint="default" w:ascii="Times New Roman" w:hAnsi="Times New Roman" w:cs="Times New Roman"/>
          <w:sz w:val="24"/>
          <w:highlight w:val="none"/>
        </w:rPr>
        <mc:AlternateContent>
          <mc:Choice Requires="wps">
            <w:drawing>
              <wp:anchor distT="0" distB="0" distL="114300" distR="114300" simplePos="0" relativeHeight="251665408" behindDoc="0" locked="0" layoutInCell="1" allowOverlap="1">
                <wp:simplePos x="0" y="0"/>
                <wp:positionH relativeFrom="column">
                  <wp:posOffset>1789430</wp:posOffset>
                </wp:positionH>
                <wp:positionV relativeFrom="paragraph">
                  <wp:posOffset>4749165</wp:posOffset>
                </wp:positionV>
                <wp:extent cx="905510" cy="342900"/>
                <wp:effectExtent l="661670" t="127000" r="13970" b="6350"/>
                <wp:wrapNone/>
                <wp:docPr id="11" name="自选图形 226"/>
                <wp:cNvGraphicFramePr/>
                <a:graphic xmlns:a="http://schemas.openxmlformats.org/drawingml/2006/main">
                  <a:graphicData uri="http://schemas.microsoft.com/office/word/2010/wordprocessingShape">
                    <wps:wsp>
                      <wps:cNvSpPr/>
                      <wps:spPr>
                        <a:xfrm>
                          <a:off x="0" y="0"/>
                          <a:ext cx="905510" cy="342900"/>
                        </a:xfrm>
                        <a:prstGeom prst="wedgeRectCallout">
                          <a:avLst>
                            <a:gd name="adj1" fmla="val -119000"/>
                            <a:gd name="adj2" fmla="val -82773"/>
                          </a:avLst>
                        </a:prstGeom>
                        <a:solidFill>
                          <a:srgbClr val="FFFFFF"/>
                        </a:solidFill>
                        <a:ln w="9525" cap="flat" cmpd="sng">
                          <a:solidFill>
                            <a:srgbClr val="000000"/>
                          </a:solidFill>
                          <a:prstDash val="solid"/>
                          <a:miter/>
                          <a:headEnd type="none" w="med" len="med"/>
                          <a:tailEnd type="none" w="med" len="med"/>
                        </a:ln>
                      </wps:spPr>
                      <wps:txbx>
                        <w:txbxContent>
                          <w:p w14:paraId="1B6DD766">
                            <w:pPr>
                              <w:jc w:val="center"/>
                              <w:rPr>
                                <w:rFonts w:hint="eastAsia" w:eastAsia="宋体"/>
                                <w:lang w:val="en-US" w:eastAsia="zh-CN"/>
                              </w:rPr>
                            </w:pPr>
                            <w:r>
                              <w:rPr>
                                <w:rFonts w:hint="eastAsia"/>
                                <w:lang w:val="en-US" w:eastAsia="zh-CN"/>
                              </w:rPr>
                              <w:t>项目位置</w:t>
                            </w:r>
                          </w:p>
                        </w:txbxContent>
                      </wps:txbx>
                      <wps:bodyPr vert="horz" wrap="square" anchor="t" anchorCtr="0" upright="1"/>
                    </wps:wsp>
                  </a:graphicData>
                </a:graphic>
              </wp:anchor>
            </w:drawing>
          </mc:Choice>
          <mc:Fallback>
            <w:pict>
              <v:shape id="自选图形 226" o:spid="_x0000_s1026" o:spt="61" type="#_x0000_t61" style="position:absolute;left:0pt;margin-left:140.9pt;margin-top:373.95pt;height:27pt;width:71.3pt;z-index:251665408;mso-width-relative:page;mso-height-relative:page;" fillcolor="#FFFFFF" filled="t" stroked="t" coordsize="21600,21600" o:gfxdata="UEsDBAoAAAAAAIdO4kAAAAAAAAAAAAAAAAAEAAAAZHJzL1BLAwQUAAAACACHTuJAhk0PE9sAAAAL&#10;AQAADwAAAGRycy9kb3ducmV2LnhtbE2PMU/DMBSEdyT+g/WQ2KidKKVpyEuHICQWJFpQYXTiRxyI&#10;7RC7bfj3uBOMpzvdfVduZjOwI02+dxYhWQhgZFunetshvL483OTAfJBWycFZQvghD5vq8qKUhXIn&#10;u6XjLnQsllhfSAQdwlhw7ltNRvqFG8lG78NNRoYop46rSZ5iuRl4KsQtN7K3cUHLkWpN7dfuYBA+&#10;VV3fP2fvzfJbb+fl05uZH/d7xOurRNwBCzSHvzCc8SM6VJGpcQerPBsQ0jyJ6AFhla3WwGIiS7MM&#10;WIOQi2QNvCr5/w/VL1BLAwQUAAAACACHTuJAlSFfWl0CAADEBAAADgAAAGRycy9lMm9Eb2MueG1s&#10;rVRLktMwEN1TxR1U2s849pD5uMaZRcKwoWCKgQN0LNkWpR+SEies2FGcYXYsuQPcZqrgFrRkzyfD&#10;JguycFpW6/V7r9U+v9goSdbceWF0RfPDCSVc14YJ3Vb0w/vLg1NKfADNQBrNK7rlnl7Mnj87723J&#10;C9MZybgjCKJ92duKdiHYMst83XEF/tBYrnGzMU5BwKVrM+agR3Qls2IyOc5645h1pube49vFsElH&#10;RLcPoGkaUfOFqVeK6zCgOi4hoCTfCevpLLFtGl6Ht03jeSCyoqg0pCcWwXgZn9nsHMrWge1EPVKA&#10;fSg80aRAaCx6D7WAAGTlxD9QStTOeNOEw9qobBCSHEEV+eSJN9cdWJ60oNXe3pvu/x9s/WZ95Yhg&#10;eBNySjQo7Pjvrz/+fPl2e/Pr9ud3UhTH0aTe+hJzr+2VG1cew6h40zgV/1EL2SRjt/fG8k0gNb48&#10;m0ynOVpe49bRi+JskozPHg5b58MrbhSJQUV7zlr+Dps3BynNKiRrYf3ah+QxG4kC+4ikGyWxZWuQ&#10;5CDPEfquqY+yip2s0+Lk5CiKQgIjKEZ3FGIFb6Rgl0LKtHDtci4dwQoVvUy/8fBOmtSkR6XTYoo6&#10;AQejwQuJobJortdt0rBzwj8GRt4jdeSykxaJLcB3A4G0FetDqUTgsRtQdhzYS81I2Frsn8a5pZGM&#10;4owSyXHMY5QyAwi5TyaSkBodin0fOh2jsFluECaGS8O2eHPwQ4L96oz7jBVxjFDqpxU4rA+6xtcV&#10;RQ+GcB6GuVtZJ9oOT+XJxgiGlzt1YxzEOD2P14nHw8dn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GTQ8T2wAAAAsBAAAPAAAAAAAAAAEAIAAAACIAAABkcnMvZG93bnJldi54bWxQSwECFAAUAAAA&#10;CACHTuJAlSFfWl0CAADEBAAADgAAAAAAAAABACAAAAAqAQAAZHJzL2Uyb0RvYy54bWxQSwUGAAAA&#10;AAYABgBZAQAA+QUAAAAA&#10;" adj="-14904,-7079">
                <v:fill on="t" focussize="0,0"/>
                <v:stroke color="#000000" joinstyle="miter"/>
                <v:imagedata o:title=""/>
                <o:lock v:ext="edit" aspectratio="f"/>
                <v:textbox>
                  <w:txbxContent>
                    <w:p w14:paraId="1B6DD766">
                      <w:pPr>
                        <w:jc w:val="center"/>
                        <w:rPr>
                          <w:rFonts w:hint="eastAsia"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highlight w:val="none"/>
        </w:rPr>
        <w:drawing>
          <wp:anchor distT="0" distB="0" distL="114300" distR="114300" simplePos="0" relativeHeight="251666432" behindDoc="0" locked="0" layoutInCell="1" allowOverlap="1">
            <wp:simplePos x="0" y="0"/>
            <wp:positionH relativeFrom="column">
              <wp:posOffset>4229100</wp:posOffset>
            </wp:positionH>
            <wp:positionV relativeFrom="paragraph">
              <wp:posOffset>141605</wp:posOffset>
            </wp:positionV>
            <wp:extent cx="790575" cy="838200"/>
            <wp:effectExtent l="0" t="0" r="9525" b="0"/>
            <wp:wrapNone/>
            <wp:docPr id="12"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27"/>
                    <pic:cNvPicPr>
                      <a:picLocks noChangeAspect="1"/>
                    </pic:cNvPicPr>
                  </pic:nvPicPr>
                  <pic:blipFill>
                    <a:blip r:embed="rId17"/>
                    <a:stretch>
                      <a:fillRect/>
                    </a:stretch>
                  </pic:blipFill>
                  <pic:spPr>
                    <a:xfrm>
                      <a:off x="0" y="0"/>
                      <a:ext cx="790575" cy="838200"/>
                    </a:xfrm>
                    <a:prstGeom prst="rect">
                      <a:avLst/>
                    </a:prstGeom>
                    <a:noFill/>
                    <a:ln>
                      <a:noFill/>
                    </a:ln>
                  </pic:spPr>
                </pic:pic>
              </a:graphicData>
            </a:graphic>
          </wp:anchor>
        </w:drawing>
      </w:r>
      <w:r>
        <w:rPr>
          <w:rFonts w:hint="default" w:ascii="Times New Roman" w:hAnsi="Times New Roman" w:cs="Times New Roman"/>
          <w:b/>
          <w:color w:val="auto"/>
          <w:sz w:val="24"/>
          <w:highlight w:val="none"/>
        </w:rPr>
        <w:drawing>
          <wp:inline distT="0" distB="0" distL="114300" distR="114300">
            <wp:extent cx="5273040" cy="7037705"/>
            <wp:effectExtent l="0" t="0" r="3810" b="10795"/>
            <wp:docPr id="71" name="图片 425" descr="0b55b319ebc4b745c635f346c8fc1e178a8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25" descr="0b55b319ebc4b745c635f346c8fc1e178a821538"/>
                    <pic:cNvPicPr>
                      <a:picLocks noChangeAspect="1"/>
                    </pic:cNvPicPr>
                  </pic:nvPicPr>
                  <pic:blipFill>
                    <a:blip r:embed="rId21"/>
                    <a:stretch>
                      <a:fillRect/>
                    </a:stretch>
                  </pic:blipFill>
                  <pic:spPr>
                    <a:xfrm>
                      <a:off x="0" y="0"/>
                      <a:ext cx="5273040" cy="7037705"/>
                    </a:xfrm>
                    <a:prstGeom prst="rect">
                      <a:avLst/>
                    </a:prstGeom>
                    <a:noFill/>
                    <a:ln>
                      <a:noFill/>
                    </a:ln>
                  </pic:spPr>
                </pic:pic>
              </a:graphicData>
            </a:graphic>
          </wp:inline>
        </w:drawing>
      </w:r>
    </w:p>
    <w:p w14:paraId="32E915BB">
      <w:pPr>
        <w:ind w:firstLine="0"/>
        <w:jc w:val="left"/>
        <w:outlineLvl w:val="9"/>
        <w:rPr>
          <w:rFonts w:hint="default" w:ascii="Times New Roman" w:hAnsi="Times New Roman" w:cs="Times New Roman"/>
          <w:highlight w:val="none"/>
        </w:rPr>
      </w:pPr>
      <w:bookmarkStart w:id="58" w:name="_Toc82120803"/>
    </w:p>
    <w:bookmarkEnd w:id="58"/>
    <w:p w14:paraId="23284CFD">
      <w:pPr>
        <w:pStyle w:val="5"/>
        <w:bidi w:val="0"/>
        <w:jc w:val="center"/>
        <w:rPr>
          <w:rFonts w:hint="default" w:ascii="Times New Roman" w:hAnsi="Times New Roman" w:cs="Times New Roman"/>
          <w:b/>
          <w:bCs/>
          <w:szCs w:val="21"/>
          <w:highlight w:val="none"/>
        </w:rPr>
        <w:sectPr>
          <w:pgSz w:w="11906" w:h="16838"/>
          <w:pgMar w:top="1440" w:right="1800" w:bottom="1440" w:left="1800" w:header="851" w:footer="1077" w:gutter="0"/>
          <w:cols w:space="720" w:num="1"/>
          <w:docGrid w:linePitch="312" w:charSpace="0"/>
        </w:sectPr>
      </w:pPr>
      <w:bookmarkStart w:id="59" w:name="_Toc898"/>
      <w:r>
        <w:rPr>
          <w:rFonts w:hint="default" w:ascii="Times New Roman" w:hAnsi="Times New Roman" w:cs="Times New Roman"/>
          <w:sz w:val="21"/>
          <w:szCs w:val="21"/>
          <w:highlight w:val="none"/>
        </w:rPr>
        <w:t>附图1</w:t>
      </w:r>
      <w:r>
        <w:rPr>
          <w:rFonts w:hint="default" w:ascii="Times New Roman" w:hAnsi="Times New Roman" w:cs="Times New Roman"/>
          <w:sz w:val="21"/>
          <w:szCs w:val="21"/>
          <w:highlight w:val="none"/>
          <w:lang w:val="en-US" w:eastAsia="zh-CN"/>
        </w:rPr>
        <w:t xml:space="preserve">  </w:t>
      </w:r>
      <w:r>
        <w:rPr>
          <w:rFonts w:hint="default" w:ascii="Times New Roman" w:hAnsi="Times New Roman" w:cs="Times New Roman"/>
          <w:sz w:val="21"/>
          <w:szCs w:val="21"/>
          <w:highlight w:val="none"/>
        </w:rPr>
        <w:t>地理位置示意图</w:t>
      </w:r>
      <w:bookmarkEnd w:id="59"/>
    </w:p>
    <w:p w14:paraId="2F8C5307">
      <w:pPr>
        <w:jc w:val="center"/>
        <w:rPr>
          <w:highlight w:val="none"/>
        </w:rPr>
      </w:pPr>
      <w:r>
        <w:rPr>
          <w:sz w:val="21"/>
          <w:highlight w:val="none"/>
        </w:rPr>
        <mc:AlternateContent>
          <mc:Choice Requires="wps">
            <w:drawing>
              <wp:anchor distT="0" distB="0" distL="114300" distR="114300" simplePos="0" relativeHeight="251691008" behindDoc="0" locked="0" layoutInCell="1" allowOverlap="1">
                <wp:simplePos x="0" y="0"/>
                <wp:positionH relativeFrom="column">
                  <wp:posOffset>2999105</wp:posOffset>
                </wp:positionH>
                <wp:positionV relativeFrom="paragraph">
                  <wp:posOffset>2691130</wp:posOffset>
                </wp:positionV>
                <wp:extent cx="971550" cy="361950"/>
                <wp:effectExtent l="0" t="0" r="0" b="0"/>
                <wp:wrapNone/>
                <wp:docPr id="30" name="矩形标注 30"/>
                <wp:cNvGraphicFramePr/>
                <a:graphic xmlns:a="http://schemas.openxmlformats.org/drawingml/2006/main">
                  <a:graphicData uri="http://schemas.microsoft.com/office/word/2010/wordprocessingShape">
                    <wps:wsp>
                      <wps:cNvSpPr/>
                      <wps:spPr>
                        <a:xfrm>
                          <a:off x="0" y="0"/>
                          <a:ext cx="971550" cy="361950"/>
                        </a:xfrm>
                        <a:prstGeom prst="wedgeRectCallout">
                          <a:avLst>
                            <a:gd name="adj1" fmla="val 36993"/>
                            <a:gd name="adj2" fmla="val 20350"/>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62D0AB6">
                            <w:pPr>
                              <w:jc w:val="center"/>
                              <w:rPr>
                                <w:rFonts w:hint="default" w:eastAsia="宋体"/>
                                <w:b/>
                                <w:bCs/>
                                <w:color w:val="FF0000"/>
                                <w:lang w:val="en-US" w:eastAsia="zh-CN"/>
                              </w:rPr>
                            </w:pPr>
                            <w:r>
                              <w:rPr>
                                <w:rFonts w:hint="eastAsia"/>
                                <w:b/>
                                <w:bCs/>
                                <w:color w:val="FF000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6.15pt;margin-top:211.9pt;height:28.5pt;width:76.5pt;z-index:251691008;v-text-anchor:middle;mso-width-relative:page;mso-height-relative:page;" filled="f" stroked="f" coordsize="21600,21600" o:gfxdata="UEsDBAoAAAAAAIdO4kAAAAAAAAAAAAAAAAAEAAAAZHJzL1BLAwQUAAAACACHTuJA5T2ObdcAAAAL&#10;AQAADwAAAGRycy9kb3ducmV2LnhtbE2PwU7DMBBE70j8g7VI3KjdBEIIcXqoBBwqIbXwAZvYJFHt&#10;dRS7afl7lhPcdmdHs2/qzcU7sdg5joE0rFcKhKUumJF6DZ8fL3cliJiQDLpAVsO3jbBprq9qrEw4&#10;094uh9QLDqFYoYYhpamSMnaD9RhXYbLEt68we0y8zr00M5453DuZKVVIjyPxhwEnux1sdzycvIbX&#10;3fs27+OE8xF37SLp7alwpPXtzVo9g0j2kv7M8IvP6NAwUxtOZKJwGu4fs5ytPGQ5d2BHkT2w0rJS&#10;qhJkU8v/HZofUEsDBBQAAAAIAIdO4kBDGDxbhQIAAPoEAAAOAAAAZHJzL2Uyb0RvYy54bWytVM1u&#10;EzEQviPxDpbvdPPbkqibKmpUhFTRiII4O15vdpH/sJ1sygvwGCBOcObM41Beg8/ebRoVDj1w2Z3x&#10;zH4z3+eZPT3bKUm2wvna6Jz2j3qUCM1NUet1Tt++uXj2nBIfmC6YNFrk9EZ4ejZ7+uS0sVMxMJWR&#10;hXAEINpPG5vTKgQ7zTLPK6GYPzJWaARL4xQLcN06KxxrgK5kNuj1jrPGuMI6w4X3OF20QdohuscA&#10;mrKsuVgYvlFChxbVCckCKPmqtp7OUrdlKXi4KksvApE5BdOQnigCexWf2eyUTdeO2armXQvsMS08&#10;4KRYrVF0D7VggZGNq/+CUjV3xpsyHHGjspZIUgQs+r0H2lxXzIrEBVJ7uxfd/z9Y/mq7dKQucjqE&#10;JJop3Pjvz99//fx6++XT7Y9vBMfQqLF+itRru3Sd52FGwrvSqfgGFbJLut7sdRW7QDgOJyf98Rjw&#10;HKHhcX8CGyjZ/cfW+fBCGEWikdNGFGvxGnd3zqQ0m5CUZdtLH5LERdcnK973KSmVxI1tmSTD48lk&#10;2N3oQc7gMGfQG+6rd4jo465+hNfmopYyzYXUpMnpYDzqxeYZhr3EkMFUFoJ5vaaEyTW2iAeXejz4&#10;NkIumK8IOkOukXXRkZYa3KOgrYTRCrvVrtN1ZYob3Igz7ah6yy9qQF0yH5bMgSlawfaGKzxKadCf&#10;6SxKKuM+/us85mNkEKWkwayjnw8b5gQl8qXGME36oxFgQ3JG45MBHHcYWR1G9EadG3CC9ugumTE/&#10;yDuzdEa9w5LPY1WEmOao3arUOeeh3UH8JriYz1MaFsKycKmvLY/g7V3MN8GUdYjjEoVq1ekcrESa&#10;om59484d+inr/pc1+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lPY5t1wAAAAsBAAAPAAAAAAAA&#10;AAEAIAAAACIAAABkcnMvZG93bnJldi54bWxQSwECFAAUAAAACACHTuJAQxg8W4UCAAD6BAAADgAA&#10;AAAAAAABACAAAAAmAQAAZHJzL2Uyb0RvYy54bWxQSwUGAAAAAAYABgBZAQAAHQYAAAAA&#10;" adj="18790,15196">
                <v:fill on="f" focussize="0,0"/>
                <v:stroke on="f" weight="2pt"/>
                <v:imagedata o:title=""/>
                <o:lock v:ext="edit" aspectratio="f"/>
                <v:textbox>
                  <w:txbxContent>
                    <w:p w14:paraId="362D0AB6">
                      <w:pPr>
                        <w:jc w:val="center"/>
                        <w:rPr>
                          <w:rFonts w:hint="default" w:eastAsia="宋体"/>
                          <w:b/>
                          <w:bCs/>
                          <w:color w:val="FF0000"/>
                          <w:lang w:val="en-US" w:eastAsia="zh-CN"/>
                        </w:rPr>
                      </w:pPr>
                      <w:r>
                        <w:rPr>
                          <w:rFonts w:hint="eastAsia"/>
                          <w:b/>
                          <w:bCs/>
                          <w:color w:val="FF0000"/>
                          <w:lang w:val="en-US" w:eastAsia="zh-CN"/>
                        </w:rPr>
                        <w:t>农田</w:t>
                      </w:r>
                    </w:p>
                  </w:txbxContent>
                </v:textbox>
              </v:shape>
            </w:pict>
          </mc:Fallback>
        </mc:AlternateContent>
      </w:r>
      <w:r>
        <w:rPr>
          <w:sz w:val="21"/>
          <w:highlight w:val="none"/>
        </w:rPr>
        <mc:AlternateContent>
          <mc:Choice Requires="wps">
            <w:drawing>
              <wp:anchor distT="0" distB="0" distL="114300" distR="114300" simplePos="0" relativeHeight="251689984" behindDoc="0" locked="0" layoutInCell="1" allowOverlap="1">
                <wp:simplePos x="0" y="0"/>
                <wp:positionH relativeFrom="column">
                  <wp:posOffset>3237230</wp:posOffset>
                </wp:positionH>
                <wp:positionV relativeFrom="paragraph">
                  <wp:posOffset>3796030</wp:posOffset>
                </wp:positionV>
                <wp:extent cx="971550" cy="361950"/>
                <wp:effectExtent l="0" t="0" r="0" b="0"/>
                <wp:wrapNone/>
                <wp:docPr id="29" name="矩形标注 29"/>
                <wp:cNvGraphicFramePr/>
                <a:graphic xmlns:a="http://schemas.openxmlformats.org/drawingml/2006/main">
                  <a:graphicData uri="http://schemas.microsoft.com/office/word/2010/wordprocessingShape">
                    <wps:wsp>
                      <wps:cNvSpPr/>
                      <wps:spPr>
                        <a:xfrm>
                          <a:off x="0" y="0"/>
                          <a:ext cx="971550" cy="361950"/>
                        </a:xfrm>
                        <a:prstGeom prst="wedgeRectCallout">
                          <a:avLst>
                            <a:gd name="adj1" fmla="val 36993"/>
                            <a:gd name="adj2" fmla="val 20350"/>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E046DBC">
                            <w:pPr>
                              <w:jc w:val="center"/>
                              <w:rPr>
                                <w:rFonts w:hint="default" w:eastAsia="宋体"/>
                                <w:b/>
                                <w:bCs/>
                                <w:color w:val="FF0000"/>
                                <w:lang w:val="en-US" w:eastAsia="zh-CN"/>
                              </w:rPr>
                            </w:pPr>
                            <w:r>
                              <w:rPr>
                                <w:rFonts w:hint="eastAsia"/>
                                <w:b/>
                                <w:bCs/>
                                <w:color w:val="FF000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4.9pt;margin-top:298.9pt;height:28.5pt;width:76.5pt;z-index:251689984;v-text-anchor:middle;mso-width-relative:page;mso-height-relative:page;" filled="f" stroked="f" coordsize="21600,21600" o:gfxdata="UEsDBAoAAAAAAIdO4kAAAAAAAAAAAAAAAAAEAAAAZHJzL1BLAwQUAAAACACHTuJA7EDaJtYAAAAL&#10;AQAADwAAAGRycy9kb3ducmV2LnhtbE2PwU7DMAyG70i8Q2QkbizZYGUtTXeYBBwmITF4ALcJbbXE&#10;qZKsG2+POcHts/zr9+d6e/FOzDamMZCG5UKBsNQFM1Kv4fPj+W4DImUkgy6Q1fBtE2yb66saKxPO&#10;9G7nQ+4Fl1CqUMOQ81RJmbrBekyLMFni3VeIHjOPsZcm4pnLvZMrpQrpcSS+MOBkd4PtjoeT1/Cy&#10;f9vd92nCeMR9O0t6LQtHWt/eLNUTiGwv+S8Mv/qsDg07teFEJgmnYa1KVs8M5SMDJ4pixdAyrB82&#10;IJta/v+h+QFQSwMEFAAAAAgAh07iQD25lt2FAgAA+gQAAA4AAABkcnMvZTJvRG9jLnhtbK1UzW4T&#10;MRC+I/EOlu9089uSqJsqalSEVNGIgjg7Xju7yH/YTjblBXgMECc4c+ZxKK/B591tGhUOPXDZnfHM&#10;fjPf55k9PdtpRbbCh8qanPaPepQIw21RmXVO3765ePackhCZKZiyRuT0RgR6Nnv65LR2UzGwpVWF&#10;8AQgJkxrl9MyRjfNssBLoVk4sk4YBKX1mkW4fp0VntVA1yob9HrHWW194bzlIgScLtog7RD9YwCt&#10;lBUXC8s3WpjYonqhWASlUFYu0FnTrZSCxyspg4hE5RRMY/NEEdir9Mxmp2y69syVFe9aYI9p4QEn&#10;zSqDonuoBYuMbHz1F5SuuLfBynjErc5aIo0iYNHvPdDmumRONFwgdXB70cP/g+WvtktPqiKngwkl&#10;hmnc+O/P33/9/Hr75dPtj28Ex9CodmGK1Gu39J0XYCbCO+l1eoMK2TW63ux1FbtIOA4nJ/3xGIpz&#10;hIbH/QlsoGT3Hzsf4gthNUlGTmtRrMVr3N05U8puYqMs216G2EhcdH2y4n2fEqkVbmzLFBkeTybD&#10;7kYPcgaHOYPecF+9Q0Qfd/UTvLEXlVLNXChDaggzHvVS8wzDLjFkMLWDYMGsKWFqjS3i0Tc9Hnyb&#10;IBcslASdIdeqquhIKwPuSdBWwmTF3WrX6bqyxQ1uxNt2VIPjFxWgLlmIS+bBFK1ge+MVHlJZ9Gc7&#10;i5LS+o//Ok/5GBlEKakx6+jnw4Z5QYl6aTBMk/5oBNjYOKPxyQCOP4ysDiNmo88tOEF7dNeYKT+q&#10;O1N6q99hyeepKkLMcNRuVeqc89juIH4TXMznTRoWwrF4aa4dT+DtXcw30coqpnFJQrXqdA5Wopmi&#10;bn3Tzh36Tdb9L2v2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xA2ibWAAAACwEAAA8AAAAAAAAA&#10;AQAgAAAAIgAAAGRycy9kb3ducmV2LnhtbFBLAQIUABQAAAAIAIdO4kA9uZbdhQIAAPoEAAAOAAAA&#10;AAAAAAEAIAAAACUBAABkcnMvZTJvRG9jLnhtbFBLBQYAAAAABgAGAFkBAAAcBgAAAAA=&#10;" adj="18790,15196">
                <v:fill on="f" focussize="0,0"/>
                <v:stroke on="f" weight="2pt"/>
                <v:imagedata o:title=""/>
                <o:lock v:ext="edit" aspectratio="f"/>
                <v:textbox>
                  <w:txbxContent>
                    <w:p w14:paraId="6E046DBC">
                      <w:pPr>
                        <w:jc w:val="center"/>
                        <w:rPr>
                          <w:rFonts w:hint="default" w:eastAsia="宋体"/>
                          <w:b/>
                          <w:bCs/>
                          <w:color w:val="FF0000"/>
                          <w:lang w:val="en-US" w:eastAsia="zh-CN"/>
                        </w:rPr>
                      </w:pPr>
                      <w:r>
                        <w:rPr>
                          <w:rFonts w:hint="eastAsia"/>
                          <w:b/>
                          <w:bCs/>
                          <w:color w:val="FF0000"/>
                          <w:lang w:val="en-US" w:eastAsia="zh-CN"/>
                        </w:rPr>
                        <w:t>农田</w:t>
                      </w:r>
                    </w:p>
                  </w:txbxContent>
                </v:textbox>
              </v:shape>
            </w:pict>
          </mc:Fallback>
        </mc:AlternateContent>
      </w:r>
      <w:r>
        <w:rPr>
          <w:sz w:val="21"/>
          <w:highlight w:val="none"/>
        </w:rPr>
        <mc:AlternateContent>
          <mc:Choice Requires="wps">
            <w:drawing>
              <wp:anchor distT="0" distB="0" distL="114300" distR="114300" simplePos="0" relativeHeight="251688960" behindDoc="0" locked="0" layoutInCell="1" allowOverlap="1">
                <wp:simplePos x="0" y="0"/>
                <wp:positionH relativeFrom="column">
                  <wp:posOffset>3475355</wp:posOffset>
                </wp:positionH>
                <wp:positionV relativeFrom="paragraph">
                  <wp:posOffset>2519680</wp:posOffset>
                </wp:positionV>
                <wp:extent cx="971550" cy="361950"/>
                <wp:effectExtent l="0" t="0" r="0" b="0"/>
                <wp:wrapNone/>
                <wp:docPr id="28" name="矩形标注 28"/>
                <wp:cNvGraphicFramePr/>
                <a:graphic xmlns:a="http://schemas.openxmlformats.org/drawingml/2006/main">
                  <a:graphicData uri="http://schemas.microsoft.com/office/word/2010/wordprocessingShape">
                    <wps:wsp>
                      <wps:cNvSpPr/>
                      <wps:spPr>
                        <a:xfrm>
                          <a:off x="0" y="0"/>
                          <a:ext cx="971550" cy="361950"/>
                        </a:xfrm>
                        <a:prstGeom prst="wedgeRectCallout">
                          <a:avLst>
                            <a:gd name="adj1" fmla="val 36993"/>
                            <a:gd name="adj2" fmla="val 20350"/>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D3D0A58">
                            <w:pPr>
                              <w:jc w:val="center"/>
                              <w:rPr>
                                <w:rFonts w:hint="default" w:eastAsia="宋体"/>
                                <w:b/>
                                <w:bCs/>
                                <w:color w:val="FF0000"/>
                                <w:lang w:val="en-US" w:eastAsia="zh-CN"/>
                              </w:rPr>
                            </w:pPr>
                            <w:r>
                              <w:rPr>
                                <w:rFonts w:hint="eastAsia"/>
                                <w:b/>
                                <w:bCs/>
                                <w:color w:val="FF0000"/>
                                <w:lang w:val="en-US" w:eastAsia="zh-CN"/>
                              </w:rPr>
                              <w:t>林地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3.65pt;margin-top:198.4pt;height:28.5pt;width:76.5pt;z-index:251688960;v-text-anchor:middle;mso-width-relative:page;mso-height-relative:page;" filled="f" stroked="f" coordsize="21600,21600" o:gfxdata="UEsDBAoAAAAAAIdO4kAAAAAAAAAAAAAAAAAEAAAAZHJzL1BLAwQUAAAACACHTuJAAemaENgAAAAL&#10;AQAADwAAAGRycy9kb3ducmV2LnhtbE2PwU7DMAyG70i8Q+RJ3FgyunVb13SHScBhEhKDB3Cb0FZL&#10;nKrJuvH2mBMcbX/6/f3l/uadmOwY+0AaFnMFwlITTE+ths+P58cNiJiQDLpAVsO3jbCv7u9KLEy4&#10;0rudTqkVHEKxQA1dSkMhZWw66zHOw2CJb19h9Jh4HFtpRrxyuHfySalceuyJP3Q42ENnm/Pp4jW8&#10;HN8OWRsHHM94rCdJr9vckdYPs4XagUj2lv5g+NVndajYqQ4XMlE4DavlOmNUQ7bNuQMTa6V4U2tY&#10;rrINyKqU/ztUP1BLAwQUAAAACACHTuJAska5d4UCAAD6BAAADgAAAGRycy9lMm9Eb2MueG1srVTN&#10;bhMxEL4j8Q6W73Tz25KomypqVIRU0YiCODteb3aR/7CdbMoL8BggTnDmzONQXoPP3m0aFQ49cNmd&#10;8cx+nu+bmT092ylJtsL52uic9o96lAjNTVHrdU7fvrl49pwSH5gumDRa5PRGeHo2e/rktLFTMTCV&#10;kYVwBCDaTxub0yoEO80yzyuhmD8yVmgES+MUC3DdOisca4CuZDbo9Y6zxrjCOsOF9zhdtEHaIbrH&#10;AJqyrLlYGL5RQocW1QnJAij5qraezlK1ZSl4uCpLLwKROQXTkJ64BPYqPrPZKZuuHbNVzbsS2GNK&#10;eMBJsVrj0j3UggVGNq7+C0rV3BlvynDEjcpaIkkRsOj3HmhzXTErEhdI7e1edP//YPmr7dKRusjp&#10;AH3XTKHjvz9///Xz6+2XT7c/vhEcQ6PG+ilSr+3SdZ6HGQnvSqfiG1TILul6s9dV7ALhOJyc9Mdj&#10;KM4RGh73J7CBkt1/bJ0PL4RRJBo5bUSxFq/Ru3MmpdmEpCzbXvqQJC66Olnxvk9JqSQ6tmWSDI8n&#10;k2HX0YOcwWHOoDfc394hoo67+yO8Nhe1lGkupCYNhBmPerF4hmEvMWQwlYVgXq8pYXKNLeLBpRoP&#10;vo2QC+YrgsqQa2RddKSlBvcoaCthtMJutet0XZniBh1xph1Vb/lFDahL5sOSOTBFKdjecIVHKQ3q&#10;M51FSWXcx3+dx3yMDKKUNJh11PNhw5ygRL7UGKZJfzQCbEjOaHwygOMOI6vDiN6ocwNO0B7VJTPm&#10;B3lnls6od1jyebwVIaY57m5V6pzz0O4gfhNczOcpDQthWbjU15ZH8LYX800wZR3iuEShWnU6ByuR&#10;pqhb37hzh37Kuv9lzf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emaENgAAAALAQAADwAAAAAA&#10;AAABACAAAAAiAAAAZHJzL2Rvd25yZXYueG1sUEsBAhQAFAAAAAgAh07iQLJGuXeFAgAA+gQAAA4A&#10;AAAAAAAAAQAgAAAAJwEAAGRycy9lMm9Eb2MueG1sUEsFBgAAAAAGAAYAWQEAAB4GAAAAAA==&#10;" adj="18790,15196">
                <v:fill on="f" focussize="0,0"/>
                <v:stroke on="f" weight="2pt"/>
                <v:imagedata o:title=""/>
                <o:lock v:ext="edit" aspectratio="f"/>
                <v:textbox>
                  <w:txbxContent>
                    <w:p w14:paraId="0D3D0A58">
                      <w:pPr>
                        <w:jc w:val="center"/>
                        <w:rPr>
                          <w:rFonts w:hint="default" w:eastAsia="宋体"/>
                          <w:b/>
                          <w:bCs/>
                          <w:color w:val="FF0000"/>
                          <w:lang w:val="en-US" w:eastAsia="zh-CN"/>
                        </w:rPr>
                      </w:pPr>
                      <w:r>
                        <w:rPr>
                          <w:rFonts w:hint="eastAsia"/>
                          <w:b/>
                          <w:bCs/>
                          <w:color w:val="FF0000"/>
                          <w:lang w:val="en-US" w:eastAsia="zh-CN"/>
                        </w:rPr>
                        <w:t>林地</w:t>
                      </w:r>
                    </w:p>
                  </w:txbxContent>
                </v:textbox>
              </v:shape>
            </w:pict>
          </mc:Fallback>
        </mc:AlternateContent>
      </w:r>
      <w:r>
        <w:rPr>
          <w:sz w:val="21"/>
          <w:highlight w:val="none"/>
        </w:rPr>
        <mc:AlternateContent>
          <mc:Choice Requires="wps">
            <w:drawing>
              <wp:anchor distT="0" distB="0" distL="114300" distR="114300" simplePos="0" relativeHeight="251687936" behindDoc="0" locked="0" layoutInCell="1" allowOverlap="1">
                <wp:simplePos x="0" y="0"/>
                <wp:positionH relativeFrom="column">
                  <wp:posOffset>5561330</wp:posOffset>
                </wp:positionH>
                <wp:positionV relativeFrom="paragraph">
                  <wp:posOffset>3119755</wp:posOffset>
                </wp:positionV>
                <wp:extent cx="971550" cy="361950"/>
                <wp:effectExtent l="367665" t="12700" r="13335" b="273050"/>
                <wp:wrapNone/>
                <wp:docPr id="23" name="矩形标注 23"/>
                <wp:cNvGraphicFramePr/>
                <a:graphic xmlns:a="http://schemas.openxmlformats.org/drawingml/2006/main">
                  <a:graphicData uri="http://schemas.microsoft.com/office/word/2010/wordprocessingShape">
                    <wps:wsp>
                      <wps:cNvSpPr/>
                      <wps:spPr>
                        <a:xfrm>
                          <a:off x="0" y="0"/>
                          <a:ext cx="971550" cy="361950"/>
                        </a:xfrm>
                        <a:prstGeom prst="wedgeRectCallout">
                          <a:avLst>
                            <a:gd name="adj1" fmla="val -86535"/>
                            <a:gd name="adj2" fmla="val 117719"/>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FDF6114">
                            <w:pPr>
                              <w:jc w:val="center"/>
                              <w:rPr>
                                <w:rFonts w:hint="default" w:eastAsia="宋体"/>
                                <w:b/>
                                <w:bCs/>
                                <w:color w:val="FF0000"/>
                                <w:lang w:val="en-US" w:eastAsia="zh-CN"/>
                              </w:rPr>
                            </w:pPr>
                            <w:r>
                              <w:rPr>
                                <w:rFonts w:hint="eastAsia"/>
                                <w:b/>
                                <w:bCs/>
                                <w:color w:val="FF0000"/>
                                <w:lang w:val="en-US" w:eastAsia="zh-CN"/>
                              </w:rPr>
                              <w:t>工程起点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7.9pt;margin-top:245.65pt;height:28.5pt;width:76.5pt;z-index:251687936;v-text-anchor:middle;mso-width-relative:page;mso-height-relative:page;" filled="f" stroked="t" coordsize="21600,21600" o:gfxdata="UEsDBAoAAAAAAIdO4kAAAAAAAAAAAAAAAAAEAAAAZHJzL1BLAwQUAAAACACHTuJA2NhqsdwAAAAM&#10;AQAADwAAAGRycy9kb3ducmV2LnhtbE2PwU7DMBBE70j8g7VIXBC106TFhGyqgoRET4jCgaMbmyQi&#10;XofYSdO/xz3BcWdHM2+KzWw7NpnBt44QkoUAZqhyuqUa4eP9+VYC80GRVp0jg3AyHjbl5UWhcu2O&#10;9GamfahZDCGfK4QmhD7n3FeNscovXG8o/r7cYFWI51BzPahjDLcdXwqx5la1FBsa1ZunxlTf+9Ei&#10;rMfHm7HZZulWzj8vu9cT15/9hHh9lYgHYMHM4c8MZ/yIDmVkOriRtGcdgrxbRfSAkN0nKbCzQyxl&#10;lA4Iq0ymwMuC/x9R/gJQSwMEFAAAAAgAh07iQK+VkwqeAgAAJQUAAA4AAABkcnMvZTJvRG9jLnht&#10;bK1UwW4TMRC9I/EPlu/tZtOkaaJuqihREFJFKwri7Hi92UVe29hONuUH+IwiTnDmzOdQfoNn77YN&#10;hUMP5ODMeGbfzLyZ8enZrpZkK6yrtMpoetijRCiu80qtM/r2zfLghBLnmcqZ1Epk9Fo4ejZ9/uy0&#10;MRPR16WWubAEIMpNGpPR0nszSRLHS1Ezd6iNUDAW2tbMQ7XrJLesAXotk36vd5w02ubGai6cw+2i&#10;NdIO0T4FUBdFxcVC800tlG9RrZDMoyRXVsbRacy2KAT3F0XhhCcyo6jUxxNBIK/CmUxP2WRtmSkr&#10;3qXAnpLCo5pqVikEvYdaMM/IxlZ/QdUVt9rpwh9yXSdtIZERVJH2HnFzVTIjYi2g2pl70t3/g+Wv&#10;tpeWVHlG+0eUKFaj479uvv388eX286fb718JrsFRY9wErlfm0naagxgK3hW2Dv8ohewir9f3vIqd&#10;JxyX41E6HIJxDtPRcTqGDJTk4WNjnX8hdE2CkNFG5GvxGr2bMyn1xkdm2fbc+Uhx3uXJ8vcpJUUt&#10;0bEtk+Tg5Hh4NOxauufU33dK09EoHXfxO0xkcpdBCKD0spIyToZUpAE1w0EvpM8w7gXGDGJtQJlT&#10;a0qYXGOPuLcxS6dllYfPA5Cz69VcWoLkMrpc9vDrAv/hFmIvmCtbv2jq3KQCTYH7lu0g+d1q17Vg&#10;pfNrNM/qdqqd4csKUOfM+UtmQQpyxqL7CxyF1ChEdxIlpbYf/3Uf/DFdsFLSYC1Q5IcNs4IS+VJh&#10;7sbpYABYH5XBcNSHYvctq32L2tRzjdrRJmQXxeDv5Z1YWF2/w3swC1FhYoojdktnp8x9u654UbiY&#10;zaIbdscwf66uDA/gbdNmG6+LyofJCkS17HQKticOXLfpYT339ej18Lp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Y2Gqx3AAAAAwBAAAPAAAAAAAAAAEAIAAAACIAAABkcnMvZG93bnJldi54bWxQ&#10;SwECFAAUAAAACACHTuJAr5WTCp4CAAAlBQAADgAAAAAAAAABACAAAAArAQAAZHJzL2Uyb0RvYy54&#10;bWxQSwUGAAAAAAYABgBZAQAAOwYAAAAA&#10;" adj="-7892,36227">
                <v:fill on="f" focussize="0,0"/>
                <v:stroke weight="2pt" color="#FF0000 [2404]" joinstyle="round"/>
                <v:imagedata o:title=""/>
                <o:lock v:ext="edit" aspectratio="f"/>
                <v:textbox>
                  <w:txbxContent>
                    <w:p w14:paraId="7FDF6114">
                      <w:pPr>
                        <w:jc w:val="center"/>
                        <w:rPr>
                          <w:rFonts w:hint="default" w:eastAsia="宋体"/>
                          <w:b/>
                          <w:bCs/>
                          <w:color w:val="FF0000"/>
                          <w:lang w:val="en-US" w:eastAsia="zh-CN"/>
                        </w:rPr>
                      </w:pPr>
                      <w:r>
                        <w:rPr>
                          <w:rFonts w:hint="eastAsia"/>
                          <w:b/>
                          <w:bCs/>
                          <w:color w:val="FF0000"/>
                          <w:lang w:val="en-US" w:eastAsia="zh-CN"/>
                        </w:rPr>
                        <w:t>工程起点</w:t>
                      </w:r>
                    </w:p>
                  </w:txbxContent>
                </v:textbox>
              </v:shape>
            </w:pict>
          </mc:Fallback>
        </mc:AlternateContent>
      </w:r>
      <w:r>
        <w:rPr>
          <w:sz w:val="21"/>
          <w:highlight w:val="none"/>
        </w:rPr>
        <mc:AlternateContent>
          <mc:Choice Requires="wps">
            <w:drawing>
              <wp:anchor distT="0" distB="0" distL="114300" distR="114300" simplePos="0" relativeHeight="251686912" behindDoc="0" locked="0" layoutInCell="1" allowOverlap="1">
                <wp:simplePos x="0" y="0"/>
                <wp:positionH relativeFrom="column">
                  <wp:posOffset>2008505</wp:posOffset>
                </wp:positionH>
                <wp:positionV relativeFrom="paragraph">
                  <wp:posOffset>1452880</wp:posOffset>
                </wp:positionV>
                <wp:extent cx="971550" cy="361950"/>
                <wp:effectExtent l="12700" t="12700" r="425450" b="158750"/>
                <wp:wrapNone/>
                <wp:docPr id="9" name="矩形标注 9"/>
                <wp:cNvGraphicFramePr/>
                <a:graphic xmlns:a="http://schemas.openxmlformats.org/drawingml/2006/main">
                  <a:graphicData uri="http://schemas.microsoft.com/office/word/2010/wordprocessingShape">
                    <wps:wsp>
                      <wps:cNvSpPr/>
                      <wps:spPr>
                        <a:xfrm>
                          <a:off x="2970530" y="2510155"/>
                          <a:ext cx="971550" cy="361950"/>
                        </a:xfrm>
                        <a:prstGeom prst="wedgeRectCallout">
                          <a:avLst>
                            <a:gd name="adj1" fmla="val 91895"/>
                            <a:gd name="adj2" fmla="val 8614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7EC3DF5">
                            <w:pPr>
                              <w:jc w:val="center"/>
                              <w:rPr>
                                <w:rFonts w:hint="default" w:eastAsia="宋体"/>
                                <w:b/>
                                <w:bCs/>
                                <w:color w:val="FF0000"/>
                                <w:lang w:val="en-US" w:eastAsia="zh-CN"/>
                              </w:rPr>
                            </w:pPr>
                            <w:r>
                              <w:rPr>
                                <w:rFonts w:hint="eastAsia"/>
                                <w:b/>
                                <w:bCs/>
                                <w:color w:val="FF0000"/>
                                <w:lang w:val="en-US" w:eastAsia="zh-CN"/>
                              </w:rPr>
                              <w:t>工程终点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8.15pt;margin-top:114.4pt;height:28.5pt;width:76.5pt;z-index:251686912;v-text-anchor:middle;mso-width-relative:page;mso-height-relative:page;" filled="f" stroked="t" coordsize="21600,21600" o:gfxdata="UEsDBAoAAAAAAIdO4kAAAAAAAAAAAAAAAAAEAAAAZHJzL1BLAwQUAAAACACHTuJAv4f6cNgAAAAL&#10;AQAADwAAAGRycy9kb3ducmV2LnhtbE2Py07DMBBF90j8gzVI7KiTtA1piNMFEkisEAWp22lsnED8&#10;kO2k6d8zrGA5d47uo9kvZmSzCnFwVkC+yoAp2zk5WC3g4/3prgIWE1qJo7NKwEVF2LfXVw3W0p3t&#10;m5oPSTMysbFGAX1KvuY8dr0yGFfOK0u/TxcMJjqD5jLgmczNyIssK7nBwVJCj1499qr7PkxGgH89&#10;3oflGb/0/HLcTDu9vUT0Qtze5NkDsKSW9AfDb32qDi11OrnJyshGAeu8XBMqoCgq2kDEptyRciKl&#10;2lbA24b/39D+AFBLAwQUAAAACACHTuJAFReUNaQCAAAtBQAADgAAAGRycy9lMm9Eb2MueG1srVTN&#10;btNAEL4j8Q6rvVPbadLWUZ0qShSEVNGKgjhv1usftN5ddjdxygvwGCBOcObM41Beg29ttw2FQw/0&#10;4M54Jt/M982MT892jSRbYV2tVUaTg5gSobjOa1Vm9M3r1bMTSpxnKmdSK5HRa+Ho2ezpk9PWTMVI&#10;V1rmwhKAKDdtTUYr7800ihyvRMPcgTZCIVho2zAP15ZRblkL9EZGozg+ilptc2M1F87h7bIP0gHR&#10;PgZQF0XNxVLzTSOU71GtkMyDkqtq4+is67YoBPcXReGEJzKjYOq7J4rAXodnNDtl09IyU9V8aIE9&#10;poUHnBpWKxS9g1oyz8jG1n9BNTW32unCH3DdRD2RThGwSOIH2lxVzIiOC6R25k509/9g+cvtpSV1&#10;ntGUEsUaDPzXp28/f3y5+fzx5vtXkgaFWuOmSLwyl3bwHMxAd1fYJvwHEbLL6Cg9jieH0PYa9iSJ&#10;k8mkV1jsPOFISI/xCnGOhMOjJIUNxOgeyFjnnwvdkGBktBV5KV5higsmpd74TmO2PXe+EzsfWmb5&#10;u4SSopGY3ZZJkiYn6VC53MsZ7eecHCXj2+oDIvq4rR/glV7VUnYbIhVpA6VxHJpnWPsC6wazMZDO&#10;qZISJkvcE/e269FpWefh5wHI2XK9kJagtYyuVjH+Btp/pIXaS+aqPq8LDWlSQaQwhV73YPndejcM&#10;Y63zawzR6n67neGrGlDnzPlLZiEJesbB+ws8CqlBRA8WJZW2H/71PuRjyxClpMV5gOT7DbOCEvlC&#10;Yf/SZAz1iO+c8eR4BMfuR9b7EbVpFhrcMSR015kh38tbs7C6eYvvwjxURYgpjtq9nIOz8P3Z4svC&#10;xXzepeGGDPPn6srwAN4Pbb7xuqh92KsgVK/O4OCKunUbLj6c6b7fZd1/5W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H+nDYAAAACwEAAA8AAAAAAAAAAQAgAAAAIgAAAGRycy9kb3ducmV2Lnht&#10;bFBLAQIUABQAAAAIAIdO4kAVF5Q1pAIAAC0FAAAOAAAAAAAAAAEAIAAAACcBAABkcnMvZTJvRG9j&#10;LnhtbFBLBQYAAAAABgAGAFkBAAA9BgAAAAA=&#10;" adj="30649,29406">
                <v:fill on="f" focussize="0,0"/>
                <v:stroke weight="2pt" color="#FF0000 [2404]" joinstyle="round"/>
                <v:imagedata o:title=""/>
                <o:lock v:ext="edit" aspectratio="f"/>
                <v:textbox>
                  <w:txbxContent>
                    <w:p w14:paraId="07EC3DF5">
                      <w:pPr>
                        <w:jc w:val="center"/>
                        <w:rPr>
                          <w:rFonts w:hint="default" w:eastAsia="宋体"/>
                          <w:b/>
                          <w:bCs/>
                          <w:color w:val="FF0000"/>
                          <w:lang w:val="en-US" w:eastAsia="zh-CN"/>
                        </w:rPr>
                      </w:pPr>
                      <w:r>
                        <w:rPr>
                          <w:rFonts w:hint="eastAsia"/>
                          <w:b/>
                          <w:bCs/>
                          <w:color w:val="FF0000"/>
                          <w:lang w:val="en-US" w:eastAsia="zh-CN"/>
                        </w:rPr>
                        <w:t>工程终点</w:t>
                      </w:r>
                    </w:p>
                  </w:txbxContent>
                </v:textbox>
              </v:shape>
            </w:pict>
          </mc:Fallback>
        </mc:AlternateContent>
      </w:r>
      <w:r>
        <w:rPr>
          <w:rFonts w:hint="default" w:ascii="Times New Roman" w:hAnsi="Times New Roman" w:cs="Times New Roman"/>
          <w:highlight w:val="none"/>
        </w:rPr>
        <w:drawing>
          <wp:anchor distT="0" distB="0" distL="114300" distR="114300" simplePos="0" relativeHeight="251667456" behindDoc="0" locked="0" layoutInCell="1" allowOverlap="1">
            <wp:simplePos x="0" y="0"/>
            <wp:positionH relativeFrom="column">
              <wp:posOffset>6838950</wp:posOffset>
            </wp:positionH>
            <wp:positionV relativeFrom="paragraph">
              <wp:posOffset>-18415</wp:posOffset>
            </wp:positionV>
            <wp:extent cx="568325" cy="603250"/>
            <wp:effectExtent l="0" t="0" r="3175" b="6350"/>
            <wp:wrapNone/>
            <wp:docPr id="13"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28"/>
                    <pic:cNvPicPr>
                      <a:picLocks noChangeAspect="1"/>
                    </pic:cNvPicPr>
                  </pic:nvPicPr>
                  <pic:blipFill>
                    <a:blip r:embed="rId17"/>
                    <a:stretch>
                      <a:fillRect/>
                    </a:stretch>
                  </pic:blipFill>
                  <pic:spPr>
                    <a:xfrm>
                      <a:off x="0" y="0"/>
                      <a:ext cx="568325" cy="603250"/>
                    </a:xfrm>
                    <a:prstGeom prst="rect">
                      <a:avLst/>
                    </a:prstGeom>
                    <a:noFill/>
                    <a:ln>
                      <a:noFill/>
                    </a:ln>
                  </pic:spPr>
                </pic:pic>
              </a:graphicData>
            </a:graphic>
          </wp:anchor>
        </w:drawing>
      </w:r>
      <w:r>
        <w:rPr>
          <w:highlight w:val="none"/>
        </w:rPr>
        <w:drawing>
          <wp:inline distT="0" distB="0" distL="114300" distR="114300">
            <wp:extent cx="6426200" cy="5259070"/>
            <wp:effectExtent l="0" t="0" r="12700" b="1778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2"/>
                    <a:stretch>
                      <a:fillRect/>
                    </a:stretch>
                  </pic:blipFill>
                  <pic:spPr>
                    <a:xfrm>
                      <a:off x="0" y="0"/>
                      <a:ext cx="6426200" cy="5259070"/>
                    </a:xfrm>
                    <a:prstGeom prst="rect">
                      <a:avLst/>
                    </a:prstGeom>
                    <a:noFill/>
                    <a:ln>
                      <a:noFill/>
                    </a:ln>
                  </pic:spPr>
                </pic:pic>
              </a:graphicData>
            </a:graphic>
          </wp:inline>
        </w:drawing>
      </w:r>
    </w:p>
    <w:p w14:paraId="3762DCFE">
      <w:pPr>
        <w:jc w:val="center"/>
        <w:outlineLvl w:val="1"/>
        <w:rPr>
          <w:rFonts w:hint="default" w:ascii="Times New Roman" w:hAnsi="Times New Roman" w:cs="Times New Roman"/>
          <w:highlight w:val="none"/>
        </w:rPr>
      </w:pPr>
      <w:bookmarkStart w:id="60" w:name="_Toc2250"/>
      <w:r>
        <w:rPr>
          <w:rStyle w:val="36"/>
          <w:rFonts w:hint="default" w:ascii="Times New Roman" w:hAnsi="Times New Roman" w:cs="Times New Roman"/>
          <w:highlight w:val="none"/>
        </w:rPr>
        <w:t>附图2</w:t>
      </w:r>
      <w:r>
        <w:rPr>
          <w:rStyle w:val="36"/>
          <w:rFonts w:hint="default" w:ascii="Times New Roman" w:hAnsi="Times New Roman" w:cs="Times New Roman"/>
          <w:highlight w:val="none"/>
          <w:lang w:val="en-US" w:eastAsia="zh-CN"/>
        </w:rPr>
        <w:t xml:space="preserve">  </w:t>
      </w:r>
      <w:r>
        <w:rPr>
          <w:rStyle w:val="36"/>
          <w:rFonts w:hint="eastAsia" w:cs="Times New Roman"/>
          <w:highlight w:val="none"/>
          <w:lang w:val="en-US" w:eastAsia="zh-CN"/>
        </w:rPr>
        <w:t>周边关系</w:t>
      </w:r>
      <w:r>
        <w:rPr>
          <w:rStyle w:val="36"/>
          <w:rFonts w:hint="default" w:ascii="Times New Roman" w:hAnsi="Times New Roman" w:cs="Times New Roman"/>
          <w:highlight w:val="none"/>
        </w:rPr>
        <w:t>图</w:t>
      </w:r>
      <w:bookmarkEnd w:id="60"/>
    </w:p>
    <w:p w14:paraId="2DB642C5">
      <w:pPr>
        <w:bidi w:val="0"/>
        <w:rPr>
          <w:rFonts w:hint="default" w:ascii="Times New Roman" w:hAnsi="Times New Roman" w:cs="Times New Roman"/>
          <w:highlight w:val="none"/>
        </w:rPr>
      </w:pPr>
    </w:p>
    <w:p w14:paraId="2D907286">
      <w:pPr>
        <w:jc w:val="center"/>
        <w:rPr>
          <w:rFonts w:hint="default" w:ascii="Times New Roman" w:hAnsi="Times New Roman" w:eastAsia="宋体" w:cs="Times New Roman"/>
          <w:b/>
          <w:color w:val="auto"/>
          <w:sz w:val="28"/>
          <w:szCs w:val="28"/>
          <w:highlight w:val="none"/>
          <w:lang w:eastAsia="zh-CN"/>
        </w:rPr>
      </w:pPr>
      <w:r>
        <w:rPr>
          <w:rFonts w:hint="default" w:ascii="Times New Roman" w:hAnsi="Times New Roman" w:cs="Times New Roman"/>
          <w:highlight w:val="none"/>
        </w:rPr>
        <w:drawing>
          <wp:inline distT="0" distB="0" distL="114300" distR="114300">
            <wp:extent cx="7298055" cy="5390515"/>
            <wp:effectExtent l="0" t="0" r="17145" b="635"/>
            <wp:docPr id="31" name="图片 31" descr="1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平面布置图"/>
                    <pic:cNvPicPr>
                      <a:picLocks noChangeAspect="1"/>
                    </pic:cNvPicPr>
                  </pic:nvPicPr>
                  <pic:blipFill>
                    <a:blip r:embed="rId23"/>
                    <a:stretch>
                      <a:fillRect/>
                    </a:stretch>
                  </pic:blipFill>
                  <pic:spPr>
                    <a:xfrm>
                      <a:off x="0" y="0"/>
                      <a:ext cx="7298055" cy="5390515"/>
                    </a:xfrm>
                    <a:prstGeom prst="rect">
                      <a:avLst/>
                    </a:prstGeom>
                  </pic:spPr>
                </pic:pic>
              </a:graphicData>
            </a:graphic>
          </wp:inline>
        </w:drawing>
      </w:r>
    </w:p>
    <w:p w14:paraId="5924788D">
      <w:pPr>
        <w:ind w:firstLine="482"/>
        <w:jc w:val="center"/>
        <w:outlineLvl w:val="1"/>
        <w:rPr>
          <w:rFonts w:hint="default" w:ascii="Times New Roman" w:hAnsi="Times New Roman" w:cs="Times New Roman"/>
          <w:b/>
          <w:color w:val="auto"/>
          <w:sz w:val="21"/>
          <w:szCs w:val="21"/>
          <w:highlight w:val="none"/>
        </w:rPr>
      </w:pPr>
      <w:bookmarkStart w:id="61" w:name="_Toc3953"/>
      <w:r>
        <w:rPr>
          <w:rFonts w:hint="default" w:ascii="Times New Roman" w:hAnsi="Times New Roman" w:cs="Times New Roman"/>
          <w:b/>
          <w:bCs/>
          <w:sz w:val="21"/>
          <w:szCs w:val="21"/>
          <w:highlight w:val="none"/>
        </w:rPr>
        <w:t>附图</w:t>
      </w:r>
      <w:r>
        <w:rPr>
          <w:rFonts w:hint="default" w:ascii="Times New Roman" w:hAnsi="Times New Roman" w:cs="Times New Roman"/>
          <w:b/>
          <w:bCs/>
          <w:sz w:val="21"/>
          <w:szCs w:val="21"/>
          <w:highlight w:val="none"/>
          <w:lang w:val="en-US" w:eastAsia="zh-CN"/>
        </w:rPr>
        <w:t>3</w:t>
      </w:r>
      <w:r>
        <w:rPr>
          <w:rFonts w:hint="eastAsia" w:cs="Times New Roman"/>
          <w:b/>
          <w:bCs/>
          <w:sz w:val="21"/>
          <w:szCs w:val="21"/>
          <w:highlight w:val="none"/>
          <w:lang w:val="en-US" w:eastAsia="zh-CN"/>
        </w:rPr>
        <w:t xml:space="preserve"> </w:t>
      </w:r>
      <w:r>
        <w:rPr>
          <w:rFonts w:hint="default" w:ascii="Times New Roman" w:hAnsi="Times New Roman" w:cs="Times New Roman"/>
          <w:b/>
          <w:bCs/>
          <w:sz w:val="21"/>
          <w:szCs w:val="21"/>
          <w:highlight w:val="none"/>
        </w:rPr>
        <w:t>平面布置图</w:t>
      </w:r>
      <w:bookmarkEnd w:id="61"/>
    </w:p>
    <w:p w14:paraId="3D0A7CC8">
      <w:pPr>
        <w:bidi w:val="0"/>
        <w:jc w:val="center"/>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lang w:eastAsia="zh-CN"/>
        </w:rPr>
        <w:drawing>
          <wp:inline distT="0" distB="0" distL="114300" distR="114300">
            <wp:extent cx="6840220" cy="4967605"/>
            <wp:effectExtent l="0" t="0" r="17780" b="4445"/>
            <wp:docPr id="32" name="图片 32" descr="2纵横断面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纵横断面图 "/>
                    <pic:cNvPicPr>
                      <a:picLocks noChangeAspect="1"/>
                    </pic:cNvPicPr>
                  </pic:nvPicPr>
                  <pic:blipFill>
                    <a:blip r:embed="rId24"/>
                    <a:stretch>
                      <a:fillRect/>
                    </a:stretch>
                  </pic:blipFill>
                  <pic:spPr>
                    <a:xfrm>
                      <a:off x="0" y="0"/>
                      <a:ext cx="6840220" cy="4967605"/>
                    </a:xfrm>
                    <a:prstGeom prst="rect">
                      <a:avLst/>
                    </a:prstGeom>
                  </pic:spPr>
                </pic:pic>
              </a:graphicData>
            </a:graphic>
          </wp:inline>
        </w:drawing>
      </w:r>
    </w:p>
    <w:p w14:paraId="219E8886">
      <w:pPr>
        <w:bidi w:val="0"/>
        <w:rPr>
          <w:rFonts w:hint="default" w:ascii="Times New Roman" w:hAnsi="Times New Roman" w:cs="Times New Roman"/>
          <w:highlight w:val="none"/>
        </w:rPr>
      </w:pPr>
    </w:p>
    <w:p w14:paraId="4D9CD5D4">
      <w:pPr>
        <w:ind w:firstLine="482"/>
        <w:jc w:val="center"/>
        <w:outlineLvl w:val="1"/>
        <w:rPr>
          <w:rFonts w:hint="default" w:ascii="Times New Roman" w:hAnsi="Times New Roman" w:cs="Times New Roman"/>
          <w:b/>
          <w:bCs/>
          <w:sz w:val="21"/>
          <w:szCs w:val="21"/>
          <w:highlight w:val="none"/>
          <w:lang w:val="en-US" w:eastAsia="zh-CN"/>
        </w:rPr>
      </w:pPr>
      <w:bookmarkStart w:id="62" w:name="_Toc20334"/>
      <w:r>
        <w:rPr>
          <w:rFonts w:hint="default" w:ascii="Times New Roman" w:hAnsi="Times New Roman" w:cs="Times New Roman"/>
          <w:b/>
          <w:bCs/>
          <w:sz w:val="21"/>
          <w:szCs w:val="21"/>
          <w:highlight w:val="none"/>
        </w:rPr>
        <w:drawing>
          <wp:anchor distT="0" distB="0" distL="114300" distR="114300" simplePos="0" relativeHeight="251668480" behindDoc="0" locked="0" layoutInCell="1" allowOverlap="1">
            <wp:simplePos x="0" y="0"/>
            <wp:positionH relativeFrom="column">
              <wp:posOffset>6845935</wp:posOffset>
            </wp:positionH>
            <wp:positionV relativeFrom="paragraph">
              <wp:posOffset>3314700</wp:posOffset>
            </wp:positionV>
            <wp:extent cx="1036320" cy="1258570"/>
            <wp:effectExtent l="0" t="0" r="11430" b="17780"/>
            <wp:wrapNone/>
            <wp:docPr id="1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2"/>
                    <pic:cNvPicPr>
                      <a:picLocks noChangeAspect="1"/>
                    </pic:cNvPicPr>
                  </pic:nvPicPr>
                  <pic:blipFill>
                    <a:blip r:embed="rId25"/>
                    <a:stretch>
                      <a:fillRect/>
                    </a:stretch>
                  </pic:blipFill>
                  <pic:spPr>
                    <a:xfrm>
                      <a:off x="0" y="0"/>
                      <a:ext cx="1036320" cy="1258570"/>
                    </a:xfrm>
                    <a:prstGeom prst="rect">
                      <a:avLst/>
                    </a:prstGeom>
                    <a:noFill/>
                    <a:ln>
                      <a:noFill/>
                    </a:ln>
                  </pic:spPr>
                </pic:pic>
              </a:graphicData>
            </a:graphic>
          </wp:anchor>
        </w:drawing>
      </w:r>
      <w:r>
        <w:rPr>
          <w:rFonts w:hint="default" w:ascii="Times New Roman" w:hAnsi="Times New Roman" w:cs="Times New Roman"/>
          <w:b/>
          <w:bCs/>
          <w:sz w:val="21"/>
          <w:szCs w:val="21"/>
          <w:highlight w:val="none"/>
        </w:rPr>
        <w:t>附图</w:t>
      </w:r>
      <w:r>
        <w:rPr>
          <w:rFonts w:hint="eastAsia" w:ascii="Times New Roman" w:hAnsi="Times New Roman" w:cs="Times New Roman"/>
          <w:b/>
          <w:bCs/>
          <w:sz w:val="21"/>
          <w:szCs w:val="21"/>
          <w:highlight w:val="none"/>
          <w:lang w:val="en-US" w:eastAsia="zh-CN"/>
        </w:rPr>
        <w:t xml:space="preserve">4 </w:t>
      </w:r>
      <w:r>
        <w:rPr>
          <w:rFonts w:hint="default" w:ascii="Times New Roman" w:hAnsi="Times New Roman" w:cs="Times New Roman"/>
          <w:b/>
          <w:bCs/>
          <w:sz w:val="21"/>
          <w:szCs w:val="21"/>
          <w:highlight w:val="none"/>
          <w:lang w:val="en-US" w:eastAsia="zh-CN"/>
        </w:rPr>
        <w:t xml:space="preserve"> </w:t>
      </w:r>
      <w:r>
        <w:rPr>
          <w:rFonts w:hint="eastAsia" w:ascii="Times New Roman" w:hAnsi="Times New Roman" w:cs="Times New Roman"/>
          <w:b/>
          <w:bCs/>
          <w:sz w:val="21"/>
          <w:szCs w:val="21"/>
          <w:highlight w:val="none"/>
          <w:lang w:val="en-US" w:eastAsia="zh-CN"/>
        </w:rPr>
        <w:t>纵断面</w:t>
      </w:r>
      <w:r>
        <w:rPr>
          <w:rFonts w:hint="default" w:ascii="Times New Roman" w:hAnsi="Times New Roman" w:cs="Times New Roman"/>
          <w:b/>
          <w:bCs/>
          <w:sz w:val="21"/>
          <w:szCs w:val="21"/>
          <w:highlight w:val="none"/>
        </w:rPr>
        <w:t>图</w:t>
      </w:r>
      <w:bookmarkEnd w:id="62"/>
    </w:p>
    <w:p w14:paraId="3F91CE19">
      <w:pPr>
        <w:bidi w:val="0"/>
        <w:rPr>
          <w:rFonts w:hint="default" w:ascii="Times New Roman" w:hAnsi="Times New Roman" w:cs="Times New Roman"/>
          <w:highlight w:val="none"/>
          <w:lang w:eastAsia="zh-CN"/>
        </w:rPr>
      </w:pPr>
    </w:p>
    <w:p w14:paraId="74D09013">
      <w:pPr>
        <w:bidi w:val="0"/>
        <w:jc w:val="center"/>
        <w:rPr>
          <w:rFonts w:hint="default" w:ascii="Times New Roman" w:hAnsi="Times New Roman" w:cs="Times New Roman"/>
          <w:highlight w:val="none"/>
        </w:rPr>
      </w:pPr>
      <w:r>
        <w:rPr>
          <w:rFonts w:hint="default" w:ascii="Times New Roman" w:hAnsi="Times New Roman" w:cs="Times New Roman"/>
          <w:sz w:val="21"/>
          <w:highlight w:val="none"/>
        </w:rPr>
        <w:drawing>
          <wp:inline distT="0" distB="0" distL="114300" distR="114300">
            <wp:extent cx="6840220" cy="5012690"/>
            <wp:effectExtent l="0" t="0" r="17780" b="16510"/>
            <wp:docPr id="35" name="图片 35" descr="2纵横断面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纵横断面图 1"/>
                    <pic:cNvPicPr>
                      <a:picLocks noChangeAspect="1"/>
                    </pic:cNvPicPr>
                  </pic:nvPicPr>
                  <pic:blipFill>
                    <a:blip r:embed="rId26"/>
                    <a:stretch>
                      <a:fillRect/>
                    </a:stretch>
                  </pic:blipFill>
                  <pic:spPr>
                    <a:xfrm>
                      <a:off x="0" y="0"/>
                      <a:ext cx="6840220" cy="5012690"/>
                    </a:xfrm>
                    <a:prstGeom prst="rect">
                      <a:avLst/>
                    </a:prstGeom>
                  </pic:spPr>
                </pic:pic>
              </a:graphicData>
            </a:graphic>
          </wp:inline>
        </w:drawing>
      </w:r>
    </w:p>
    <w:p w14:paraId="073C375F">
      <w:pPr>
        <w:ind w:firstLine="482"/>
        <w:jc w:val="center"/>
        <w:outlineLvl w:val="1"/>
        <w:rPr>
          <w:rFonts w:hint="default" w:ascii="Times New Roman" w:hAnsi="Times New Roman" w:cs="Times New Roman"/>
          <w:b/>
          <w:bCs/>
          <w:sz w:val="21"/>
          <w:szCs w:val="21"/>
          <w:highlight w:val="none"/>
        </w:rPr>
      </w:pPr>
      <w:bookmarkStart w:id="63" w:name="_Toc3406"/>
      <w:r>
        <w:rPr>
          <w:rFonts w:hint="default" w:ascii="Times New Roman" w:hAnsi="Times New Roman" w:cs="Times New Roman"/>
          <w:b/>
          <w:bCs/>
          <w:sz w:val="21"/>
          <w:szCs w:val="21"/>
          <w:highlight w:val="none"/>
        </w:rPr>
        <w:drawing>
          <wp:anchor distT="0" distB="0" distL="114300" distR="114300" simplePos="0" relativeHeight="251692032" behindDoc="0" locked="0" layoutInCell="1" allowOverlap="1">
            <wp:simplePos x="0" y="0"/>
            <wp:positionH relativeFrom="column">
              <wp:posOffset>6845935</wp:posOffset>
            </wp:positionH>
            <wp:positionV relativeFrom="paragraph">
              <wp:posOffset>3314700</wp:posOffset>
            </wp:positionV>
            <wp:extent cx="1036320" cy="1258570"/>
            <wp:effectExtent l="0" t="0" r="11430" b="17780"/>
            <wp:wrapNone/>
            <wp:docPr id="3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2"/>
                    <pic:cNvPicPr>
                      <a:picLocks noChangeAspect="1"/>
                    </pic:cNvPicPr>
                  </pic:nvPicPr>
                  <pic:blipFill>
                    <a:blip r:embed="rId25"/>
                    <a:stretch>
                      <a:fillRect/>
                    </a:stretch>
                  </pic:blipFill>
                  <pic:spPr>
                    <a:xfrm>
                      <a:off x="0" y="0"/>
                      <a:ext cx="1036320" cy="1258570"/>
                    </a:xfrm>
                    <a:prstGeom prst="rect">
                      <a:avLst/>
                    </a:prstGeom>
                    <a:noFill/>
                    <a:ln>
                      <a:noFill/>
                    </a:ln>
                  </pic:spPr>
                </pic:pic>
              </a:graphicData>
            </a:graphic>
          </wp:anchor>
        </w:drawing>
      </w:r>
      <w:r>
        <w:rPr>
          <w:rFonts w:hint="default" w:ascii="Times New Roman" w:hAnsi="Times New Roman" w:cs="Times New Roman"/>
          <w:b/>
          <w:bCs/>
          <w:sz w:val="21"/>
          <w:szCs w:val="21"/>
          <w:highlight w:val="none"/>
        </w:rPr>
        <w:t>附图</w:t>
      </w:r>
      <w:r>
        <w:rPr>
          <w:rFonts w:hint="eastAsia" w:ascii="Times New Roman" w:hAnsi="Times New Roman" w:cs="Times New Roman"/>
          <w:b/>
          <w:bCs/>
          <w:sz w:val="21"/>
          <w:szCs w:val="21"/>
          <w:highlight w:val="none"/>
          <w:lang w:val="en-US" w:eastAsia="zh-CN"/>
        </w:rPr>
        <w:t xml:space="preserve">5（1） </w:t>
      </w:r>
      <w:r>
        <w:rPr>
          <w:rFonts w:hint="default" w:ascii="Times New Roman" w:hAnsi="Times New Roman" w:cs="Times New Roman"/>
          <w:b/>
          <w:bCs/>
          <w:sz w:val="21"/>
          <w:szCs w:val="21"/>
          <w:highlight w:val="none"/>
          <w:lang w:val="en-US" w:eastAsia="zh-CN"/>
        </w:rPr>
        <w:t xml:space="preserve"> </w:t>
      </w:r>
      <w:r>
        <w:rPr>
          <w:rFonts w:hint="eastAsia" w:ascii="Times New Roman" w:hAnsi="Times New Roman" w:cs="Times New Roman"/>
          <w:b/>
          <w:bCs/>
          <w:sz w:val="21"/>
          <w:szCs w:val="21"/>
          <w:highlight w:val="none"/>
          <w:lang w:val="en-US" w:eastAsia="zh-CN"/>
        </w:rPr>
        <w:t>横断面</w:t>
      </w:r>
      <w:r>
        <w:rPr>
          <w:rFonts w:hint="default" w:ascii="Times New Roman" w:hAnsi="Times New Roman" w:cs="Times New Roman"/>
          <w:b/>
          <w:bCs/>
          <w:sz w:val="21"/>
          <w:szCs w:val="21"/>
          <w:highlight w:val="none"/>
        </w:rPr>
        <w:t>图</w:t>
      </w:r>
      <w:bookmarkEnd w:id="63"/>
    </w:p>
    <w:p w14:paraId="1BE65220">
      <w:pPr>
        <w:pStyle w:val="2"/>
        <w:rPr>
          <w:rFonts w:hint="default" w:ascii="Times New Roman" w:hAnsi="Times New Roman" w:cs="Times New Roman"/>
          <w:b/>
          <w:bCs/>
          <w:highlight w:val="none"/>
        </w:rPr>
      </w:pPr>
    </w:p>
    <w:p w14:paraId="551498D2">
      <w:pPr>
        <w:bidi w:val="0"/>
        <w:jc w:val="center"/>
        <w:rPr>
          <w:rFonts w:hint="eastAsia" w:ascii="Times New Roman" w:hAnsi="Times New Roman" w:eastAsia="宋体" w:cs="Times New Roman"/>
          <w:b/>
          <w:bCs/>
          <w:highlight w:val="none"/>
          <w:lang w:eastAsia="zh-CN"/>
        </w:rPr>
      </w:pPr>
      <w:r>
        <w:rPr>
          <w:rFonts w:hint="eastAsia" w:ascii="Times New Roman" w:hAnsi="Times New Roman" w:eastAsia="宋体" w:cs="Times New Roman"/>
          <w:b/>
          <w:bCs/>
          <w:highlight w:val="none"/>
          <w:lang w:eastAsia="zh-CN"/>
        </w:rPr>
        <w:drawing>
          <wp:inline distT="0" distB="0" distL="114300" distR="114300">
            <wp:extent cx="6840220" cy="5046980"/>
            <wp:effectExtent l="0" t="0" r="17780" b="1270"/>
            <wp:docPr id="36" name="图片 36" descr="2纵横断面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纵横断面图 3"/>
                    <pic:cNvPicPr>
                      <a:picLocks noChangeAspect="1"/>
                    </pic:cNvPicPr>
                  </pic:nvPicPr>
                  <pic:blipFill>
                    <a:blip r:embed="rId27"/>
                    <a:stretch>
                      <a:fillRect/>
                    </a:stretch>
                  </pic:blipFill>
                  <pic:spPr>
                    <a:xfrm>
                      <a:off x="0" y="0"/>
                      <a:ext cx="6840220" cy="5046980"/>
                    </a:xfrm>
                    <a:prstGeom prst="rect">
                      <a:avLst/>
                    </a:prstGeom>
                  </pic:spPr>
                </pic:pic>
              </a:graphicData>
            </a:graphic>
          </wp:inline>
        </w:drawing>
      </w:r>
    </w:p>
    <w:p w14:paraId="3377B821">
      <w:pPr>
        <w:ind w:firstLine="482"/>
        <w:jc w:val="center"/>
        <w:outlineLvl w:val="1"/>
        <w:rPr>
          <w:rFonts w:hint="default" w:ascii="Times New Roman" w:hAnsi="Times New Roman" w:cs="Times New Roman"/>
          <w:b/>
          <w:bCs/>
          <w:sz w:val="21"/>
          <w:szCs w:val="21"/>
          <w:highlight w:val="none"/>
        </w:rPr>
      </w:pPr>
      <w:bookmarkStart w:id="64" w:name="_Toc11541"/>
      <w:r>
        <w:rPr>
          <w:rFonts w:hint="default" w:ascii="Times New Roman" w:hAnsi="Times New Roman" w:cs="Times New Roman"/>
          <w:b/>
          <w:bCs/>
          <w:sz w:val="21"/>
          <w:szCs w:val="21"/>
          <w:highlight w:val="none"/>
        </w:rPr>
        <w:t>附图</w:t>
      </w:r>
      <w:r>
        <w:rPr>
          <w:rFonts w:hint="eastAsia" w:ascii="Times New Roman" w:hAnsi="Times New Roman" w:cs="Times New Roman"/>
          <w:b/>
          <w:bCs/>
          <w:sz w:val="21"/>
          <w:szCs w:val="21"/>
          <w:highlight w:val="none"/>
          <w:lang w:val="en-US" w:eastAsia="zh-CN"/>
        </w:rPr>
        <w:t xml:space="preserve">5（2） </w:t>
      </w:r>
      <w:r>
        <w:rPr>
          <w:rFonts w:hint="default" w:ascii="Times New Roman" w:hAnsi="Times New Roman" w:cs="Times New Roman"/>
          <w:b/>
          <w:bCs/>
          <w:sz w:val="21"/>
          <w:szCs w:val="21"/>
          <w:highlight w:val="none"/>
          <w:lang w:val="en-US" w:eastAsia="zh-CN"/>
        </w:rPr>
        <w:t xml:space="preserve"> </w:t>
      </w:r>
      <w:r>
        <w:rPr>
          <w:rFonts w:hint="eastAsia" w:ascii="Times New Roman" w:hAnsi="Times New Roman" w:cs="Times New Roman"/>
          <w:b/>
          <w:bCs/>
          <w:sz w:val="21"/>
          <w:szCs w:val="21"/>
          <w:highlight w:val="none"/>
          <w:lang w:val="en-US" w:eastAsia="zh-CN"/>
        </w:rPr>
        <w:t>横断面</w:t>
      </w:r>
      <w:r>
        <w:rPr>
          <w:rFonts w:hint="default" w:ascii="Times New Roman" w:hAnsi="Times New Roman" w:cs="Times New Roman"/>
          <w:b/>
          <w:bCs/>
          <w:sz w:val="21"/>
          <w:szCs w:val="21"/>
          <w:highlight w:val="none"/>
        </w:rPr>
        <w:t>图</w:t>
      </w:r>
      <w:bookmarkEnd w:id="64"/>
    </w:p>
    <w:p w14:paraId="5CF2BB83">
      <w:pPr>
        <w:pStyle w:val="2"/>
        <w:jc w:val="center"/>
        <w:rPr>
          <w:rFonts w:hint="eastAsia" w:ascii="Times New Roman" w:hAnsi="Times New Roman" w:eastAsia="宋体" w:cs="Times New Roman"/>
          <w:b/>
          <w:bCs/>
          <w:highlight w:val="none"/>
          <w:lang w:eastAsia="zh-CN"/>
        </w:rPr>
      </w:pPr>
      <w:r>
        <w:rPr>
          <w:rFonts w:hint="eastAsia" w:ascii="Times New Roman" w:hAnsi="Times New Roman" w:eastAsia="宋体" w:cs="Times New Roman"/>
          <w:b/>
          <w:bCs/>
          <w:highlight w:val="none"/>
          <w:lang w:eastAsia="zh-CN"/>
        </w:rPr>
        <w:drawing>
          <wp:inline distT="0" distB="0" distL="114300" distR="114300">
            <wp:extent cx="6840220" cy="5049520"/>
            <wp:effectExtent l="0" t="0" r="17780" b="17780"/>
            <wp:docPr id="37" name="图片 37" descr="2纵横断面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纵横断面图 4"/>
                    <pic:cNvPicPr>
                      <a:picLocks noChangeAspect="1"/>
                    </pic:cNvPicPr>
                  </pic:nvPicPr>
                  <pic:blipFill>
                    <a:blip r:embed="rId28"/>
                    <a:stretch>
                      <a:fillRect/>
                    </a:stretch>
                  </pic:blipFill>
                  <pic:spPr>
                    <a:xfrm>
                      <a:off x="0" y="0"/>
                      <a:ext cx="6840220" cy="5049520"/>
                    </a:xfrm>
                    <a:prstGeom prst="rect">
                      <a:avLst/>
                    </a:prstGeom>
                  </pic:spPr>
                </pic:pic>
              </a:graphicData>
            </a:graphic>
          </wp:inline>
        </w:drawing>
      </w:r>
    </w:p>
    <w:p w14:paraId="0E5469B9">
      <w:pPr>
        <w:ind w:firstLine="482"/>
        <w:jc w:val="center"/>
        <w:outlineLvl w:val="1"/>
        <w:rPr>
          <w:rFonts w:hint="default" w:ascii="Times New Roman" w:hAnsi="Times New Roman" w:cs="Times New Roman"/>
          <w:b/>
          <w:bCs/>
          <w:sz w:val="21"/>
          <w:szCs w:val="21"/>
          <w:highlight w:val="none"/>
        </w:rPr>
      </w:pPr>
      <w:bookmarkStart w:id="65" w:name="_Toc2231"/>
      <w:r>
        <w:rPr>
          <w:rFonts w:hint="default" w:ascii="Times New Roman" w:hAnsi="Times New Roman" w:cs="Times New Roman"/>
          <w:b/>
          <w:bCs/>
          <w:sz w:val="21"/>
          <w:szCs w:val="21"/>
          <w:highlight w:val="none"/>
        </w:rPr>
        <w:t>附图</w:t>
      </w:r>
      <w:r>
        <w:rPr>
          <w:rFonts w:hint="eastAsia" w:ascii="Times New Roman" w:hAnsi="Times New Roman" w:cs="Times New Roman"/>
          <w:b/>
          <w:bCs/>
          <w:sz w:val="21"/>
          <w:szCs w:val="21"/>
          <w:highlight w:val="none"/>
          <w:lang w:val="en-US" w:eastAsia="zh-CN"/>
        </w:rPr>
        <w:t xml:space="preserve">5（3） </w:t>
      </w:r>
      <w:r>
        <w:rPr>
          <w:rFonts w:hint="default" w:ascii="Times New Roman" w:hAnsi="Times New Roman" w:cs="Times New Roman"/>
          <w:b/>
          <w:bCs/>
          <w:sz w:val="21"/>
          <w:szCs w:val="21"/>
          <w:highlight w:val="none"/>
          <w:lang w:val="en-US" w:eastAsia="zh-CN"/>
        </w:rPr>
        <w:t xml:space="preserve"> </w:t>
      </w:r>
      <w:r>
        <w:rPr>
          <w:rFonts w:hint="eastAsia" w:ascii="Times New Roman" w:hAnsi="Times New Roman" w:cs="Times New Roman"/>
          <w:b/>
          <w:bCs/>
          <w:sz w:val="21"/>
          <w:szCs w:val="21"/>
          <w:highlight w:val="none"/>
          <w:lang w:val="en-US" w:eastAsia="zh-CN"/>
        </w:rPr>
        <w:t>横断面</w:t>
      </w:r>
      <w:r>
        <w:rPr>
          <w:rFonts w:hint="default" w:ascii="Times New Roman" w:hAnsi="Times New Roman" w:cs="Times New Roman"/>
          <w:b/>
          <w:bCs/>
          <w:sz w:val="21"/>
          <w:szCs w:val="21"/>
          <w:highlight w:val="none"/>
        </w:rPr>
        <w:t>图</w:t>
      </w:r>
      <w:bookmarkEnd w:id="65"/>
    </w:p>
    <w:p w14:paraId="78936FA1">
      <w:pPr>
        <w:ind w:firstLine="0"/>
        <w:jc w:val="center"/>
        <w:outlineLvl w:val="9"/>
        <w:rPr>
          <w:rFonts w:hint="eastAsia"/>
          <w:highlight w:val="none"/>
          <w:lang w:eastAsia="zh-CN"/>
        </w:rPr>
      </w:pPr>
      <w:bookmarkStart w:id="66" w:name="_Toc12122"/>
      <w:r>
        <w:rPr>
          <w:rFonts w:hint="eastAsia"/>
          <w:highlight w:val="none"/>
          <w:lang w:eastAsia="zh-CN"/>
        </w:rPr>
        <w:drawing>
          <wp:inline distT="0" distB="0" distL="114300" distR="114300">
            <wp:extent cx="6840220" cy="5082540"/>
            <wp:effectExtent l="0" t="0" r="17780" b="3810"/>
            <wp:docPr id="59" name="图片 59" descr="2纵横断面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纵横断面图 5"/>
                    <pic:cNvPicPr>
                      <a:picLocks noChangeAspect="1"/>
                    </pic:cNvPicPr>
                  </pic:nvPicPr>
                  <pic:blipFill>
                    <a:blip r:embed="rId29"/>
                    <a:stretch>
                      <a:fillRect/>
                    </a:stretch>
                  </pic:blipFill>
                  <pic:spPr>
                    <a:xfrm>
                      <a:off x="0" y="0"/>
                      <a:ext cx="6840220" cy="5082540"/>
                    </a:xfrm>
                    <a:prstGeom prst="rect">
                      <a:avLst/>
                    </a:prstGeom>
                  </pic:spPr>
                </pic:pic>
              </a:graphicData>
            </a:graphic>
          </wp:inline>
        </w:drawing>
      </w:r>
      <w:bookmarkEnd w:id="66"/>
    </w:p>
    <w:p w14:paraId="64D038CD">
      <w:pPr>
        <w:ind w:firstLine="482"/>
        <w:jc w:val="center"/>
        <w:outlineLvl w:val="1"/>
        <w:rPr>
          <w:rFonts w:hint="default" w:ascii="Times New Roman" w:hAnsi="Times New Roman" w:cs="Times New Roman"/>
          <w:b/>
          <w:bCs/>
          <w:sz w:val="21"/>
          <w:szCs w:val="21"/>
          <w:highlight w:val="none"/>
        </w:rPr>
      </w:pPr>
      <w:bookmarkStart w:id="67" w:name="_Toc3978"/>
      <w:r>
        <w:rPr>
          <w:rFonts w:hint="default" w:ascii="Times New Roman" w:hAnsi="Times New Roman" w:cs="Times New Roman"/>
          <w:b/>
          <w:bCs/>
          <w:sz w:val="21"/>
          <w:szCs w:val="21"/>
          <w:highlight w:val="none"/>
        </w:rPr>
        <w:t>附图</w:t>
      </w:r>
      <w:r>
        <w:rPr>
          <w:rFonts w:hint="eastAsia" w:ascii="Times New Roman" w:hAnsi="Times New Roman" w:cs="Times New Roman"/>
          <w:b/>
          <w:bCs/>
          <w:sz w:val="21"/>
          <w:szCs w:val="21"/>
          <w:highlight w:val="none"/>
          <w:lang w:val="en-US" w:eastAsia="zh-CN"/>
        </w:rPr>
        <w:t xml:space="preserve">5（4） </w:t>
      </w:r>
      <w:r>
        <w:rPr>
          <w:rFonts w:hint="default" w:ascii="Times New Roman" w:hAnsi="Times New Roman" w:cs="Times New Roman"/>
          <w:b/>
          <w:bCs/>
          <w:sz w:val="21"/>
          <w:szCs w:val="21"/>
          <w:highlight w:val="none"/>
          <w:lang w:val="en-US" w:eastAsia="zh-CN"/>
        </w:rPr>
        <w:t xml:space="preserve"> </w:t>
      </w:r>
      <w:r>
        <w:rPr>
          <w:rFonts w:hint="eastAsia" w:ascii="Times New Roman" w:hAnsi="Times New Roman" w:cs="Times New Roman"/>
          <w:b/>
          <w:bCs/>
          <w:sz w:val="21"/>
          <w:szCs w:val="21"/>
          <w:highlight w:val="none"/>
          <w:lang w:val="en-US" w:eastAsia="zh-CN"/>
        </w:rPr>
        <w:t>横断面</w:t>
      </w:r>
      <w:r>
        <w:rPr>
          <w:rFonts w:hint="default" w:ascii="Times New Roman" w:hAnsi="Times New Roman" w:cs="Times New Roman"/>
          <w:b/>
          <w:bCs/>
          <w:sz w:val="21"/>
          <w:szCs w:val="21"/>
          <w:highlight w:val="none"/>
        </w:rPr>
        <w:t>图</w:t>
      </w:r>
      <w:bookmarkEnd w:id="67"/>
    </w:p>
    <w:p w14:paraId="03B861A4">
      <w:pPr>
        <w:bidi w:val="0"/>
        <w:jc w:val="center"/>
        <w:rPr>
          <w:rFonts w:hint="eastAsia" w:ascii="Times New Roman" w:hAnsi="Times New Roman" w:eastAsia="宋体" w:cs="Times New Roman"/>
          <w:b/>
          <w:bCs/>
          <w:highlight w:val="none"/>
          <w:lang w:eastAsia="zh-CN"/>
        </w:rPr>
      </w:pPr>
      <w:r>
        <w:rPr>
          <w:rFonts w:hint="eastAsia" w:ascii="Times New Roman" w:hAnsi="Times New Roman" w:eastAsia="宋体" w:cs="Times New Roman"/>
          <w:b/>
          <w:bCs/>
          <w:highlight w:val="none"/>
          <w:lang w:eastAsia="zh-CN"/>
        </w:rPr>
        <w:drawing>
          <wp:inline distT="0" distB="0" distL="114300" distR="114300">
            <wp:extent cx="6840220" cy="5052060"/>
            <wp:effectExtent l="0" t="0" r="17780" b="15240"/>
            <wp:docPr id="60" name="图片 60" descr="2纵横断面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纵横断面图 6"/>
                    <pic:cNvPicPr>
                      <a:picLocks noChangeAspect="1"/>
                    </pic:cNvPicPr>
                  </pic:nvPicPr>
                  <pic:blipFill>
                    <a:blip r:embed="rId30"/>
                    <a:stretch>
                      <a:fillRect/>
                    </a:stretch>
                  </pic:blipFill>
                  <pic:spPr>
                    <a:xfrm>
                      <a:off x="0" y="0"/>
                      <a:ext cx="6840220" cy="5052060"/>
                    </a:xfrm>
                    <a:prstGeom prst="rect">
                      <a:avLst/>
                    </a:prstGeom>
                  </pic:spPr>
                </pic:pic>
              </a:graphicData>
            </a:graphic>
          </wp:inline>
        </w:drawing>
      </w:r>
    </w:p>
    <w:p w14:paraId="147CD816">
      <w:pPr>
        <w:bidi w:val="0"/>
        <w:jc w:val="center"/>
        <w:rPr>
          <w:rFonts w:hint="default" w:ascii="Times New Roman" w:hAnsi="Times New Roman" w:cs="Times New Roman"/>
          <w:b/>
          <w:bCs/>
          <w:highlight w:val="none"/>
        </w:rPr>
      </w:pPr>
      <w:r>
        <w:rPr>
          <w:rFonts w:hint="default" w:ascii="Times New Roman" w:hAnsi="Times New Roman" w:cs="Times New Roman"/>
          <w:b/>
          <w:bCs/>
          <w:highlight w:val="none"/>
        </w:rPr>
        <w:t>附图</w:t>
      </w:r>
      <w:r>
        <w:rPr>
          <w:rFonts w:hint="eastAsia" w:cs="Times New Roman"/>
          <w:b/>
          <w:bCs/>
          <w:highlight w:val="none"/>
          <w:lang w:val="en-US" w:eastAsia="zh-CN"/>
        </w:rPr>
        <w:t>5（5）</w:t>
      </w:r>
      <w:r>
        <w:rPr>
          <w:rFonts w:hint="eastAsia" w:ascii="Times New Roman" w:hAnsi="Times New Roman" w:cs="Times New Roman"/>
          <w:b/>
          <w:bCs/>
          <w:highlight w:val="none"/>
          <w:lang w:val="en-US" w:eastAsia="zh-CN"/>
        </w:rPr>
        <w:t xml:space="preserve"> </w:t>
      </w:r>
      <w:r>
        <w:rPr>
          <w:rFonts w:hint="default" w:ascii="Times New Roman" w:hAnsi="Times New Roman" w:cs="Times New Roman"/>
          <w:b/>
          <w:bCs/>
          <w:highlight w:val="none"/>
          <w:lang w:val="en-US" w:eastAsia="zh-CN"/>
        </w:rPr>
        <w:t xml:space="preserve"> </w:t>
      </w:r>
      <w:r>
        <w:rPr>
          <w:rFonts w:hint="eastAsia" w:cs="Times New Roman"/>
          <w:b/>
          <w:bCs/>
          <w:highlight w:val="none"/>
          <w:lang w:val="en-US" w:eastAsia="zh-CN"/>
        </w:rPr>
        <w:t>横断面</w:t>
      </w:r>
      <w:r>
        <w:rPr>
          <w:rFonts w:hint="default" w:ascii="Times New Roman" w:hAnsi="Times New Roman" w:cs="Times New Roman"/>
          <w:b/>
          <w:bCs/>
          <w:highlight w:val="none"/>
        </w:rPr>
        <w:t>图</w:t>
      </w:r>
    </w:p>
    <w:p w14:paraId="43618F86">
      <w:pPr>
        <w:pStyle w:val="2"/>
        <w:jc w:val="center"/>
        <w:rPr>
          <w:rFonts w:hint="eastAsia" w:ascii="Times New Roman" w:hAnsi="Times New Roman" w:eastAsia="宋体" w:cs="Times New Roman"/>
          <w:b/>
          <w:bCs/>
          <w:highlight w:val="none"/>
          <w:lang w:eastAsia="zh-CN"/>
        </w:rPr>
      </w:pPr>
    </w:p>
    <w:p w14:paraId="7B4B413F">
      <w:pPr>
        <w:pStyle w:val="2"/>
        <w:rPr>
          <w:rFonts w:hint="default" w:ascii="Times New Roman" w:hAnsi="Times New Roman" w:cs="Times New Roman"/>
          <w:b/>
          <w:bCs/>
          <w:highlight w:val="none"/>
        </w:rPr>
      </w:pPr>
    </w:p>
    <w:p w14:paraId="18E75404">
      <w:pPr>
        <w:pStyle w:val="2"/>
        <w:ind w:left="0" w:leftChars="0" w:firstLine="0" w:firstLineChars="0"/>
        <w:jc w:val="center"/>
        <w:rPr>
          <w:rFonts w:hint="default" w:ascii="Times New Roman" w:hAnsi="Times New Roman" w:cs="Times New Roman"/>
          <w:b/>
          <w:bCs/>
          <w:highlight w:val="none"/>
        </w:rPr>
      </w:pPr>
      <w:r>
        <w:rPr>
          <w:sz w:val="21"/>
          <w:highlight w:val="none"/>
        </w:rPr>
        <mc:AlternateContent>
          <mc:Choice Requires="wps">
            <w:drawing>
              <wp:anchor distT="0" distB="0" distL="114300" distR="114300" simplePos="0" relativeHeight="251706368" behindDoc="0" locked="0" layoutInCell="1" allowOverlap="1">
                <wp:simplePos x="0" y="0"/>
                <wp:positionH relativeFrom="column">
                  <wp:posOffset>3875405</wp:posOffset>
                </wp:positionH>
                <wp:positionV relativeFrom="paragraph">
                  <wp:posOffset>2856230</wp:posOffset>
                </wp:positionV>
                <wp:extent cx="76200" cy="76200"/>
                <wp:effectExtent l="0" t="0" r="0" b="0"/>
                <wp:wrapNone/>
                <wp:docPr id="97" name="矩形 97"/>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15pt;margin-top:224.9pt;height:6pt;width:6pt;z-index:251706368;v-text-anchor:middle;mso-width-relative:page;mso-height-relative:page;" fillcolor="#FF0000" filled="t" stroked="f" coordsize="21600,21600" o:gfxdata="UEsDBAoAAAAAAIdO4kAAAAAAAAAAAAAAAAAEAAAAZHJzL1BLAwQUAAAACACHTuJACuk4YtYAAAAL&#10;AQAADwAAAGRycy9kb3ducmV2LnhtbE2PMU/DMBCFdyT+g3VIbNRu0lgojdMBlQE2CojVid04EJ8j&#10;203Lv+eYYHt37+ndd83u4ie22JjGgArWKwHMYh/MiIOCt9fHu3tgKWs0egpoFXzbBLv2+qrRtQln&#10;fLHLIQ+MSjDVWoHLea45T72zXqdVmC2SdwzR60xjHLiJ+kzlfuKFEJJ7PSJdcHq2D872X4eTV/Dx&#10;lHW3uLAX+/g+PH9Wriq8U+r2Zi22wLK95L8w/OITOrTE1IUTmsQmBbLclBRVUFWCBCXkRpLoaCOL&#10;Enjb8P8/tD9QSwMEFAAAAAgAh07iQCQFhcRbAgAAswQAAA4AAABkcnMvZTJvRG9jLnhtbK1UzW4T&#10;MRC+I/EOlu90kyhtadRNFTUKQqpopYI4O147a8l/2E425WWQuPEQPE7Fa/DZu21K4dADe/DOeGa/&#10;mflmZs8v9kaTnQhROVvT8dGIEmG5a5Td1PTTx9Wbt5TExGzDtLOipnci0ov561fnnZ+JiWudbkQg&#10;ALFx1vmatin5WVVF3grD4pHzwsIoXTAsQQ2bqgmsA7rR1WQ0Oqk6FxofHBcx4nbZG+mAGF4C6KRU&#10;XCwd3xphU48ahGYJJcVW+UjnJVspBU/XUkaRiK4pKk3lRBDI63xW83M22wTmW8WHFNhLUnhWk2HK&#10;Iugj1JIlRrZB/QVlFA8uOpmOuDNVX0hhBFWMR8+4uW2ZF6UWUB39I+nx/8HyD7ubQFRT07NTSiwz&#10;6Pivbz/uf34nuAA7nY8zON36mzBoEWIudS+DyW8UQfaF0btHRsU+EY7L0xO0nBIOSy8Cozp86kNM&#10;74QzJAs1DWhXYZHtrmLqXR9ccqTotGpWSuuihM36UgeyY2jtajXCk/MF+h9u2pKuppPjacmDYWAl&#10;BgUpGY+io91QwvQGm8BTKLGtyxGAxGY59pLFto9RYIcQ2iJSpqYnI0tr19yByuD6GYuerxS+v2Ix&#10;3bCAoQIPWLt0jUNqh6TcIFHSuvD1X/fZH72GlZIOQ4qEv2xZEJTo9xZTcDaeTvNUF2V6fDqBEp5a&#10;1k8tdmsuHcgaY8E9L2L2T/pBlMGZz9jORY4KE7McsXtqBuUy9cuD/eZisShumGTP0pW99TyDZ+as&#10;W2yTk6o08cDOQBpmuTRq2Lu8LE/14nX418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rpOGLW&#10;AAAACwEAAA8AAAAAAAAAAQAgAAAAIgAAAGRycy9kb3ducmV2LnhtbFBLAQIUABQAAAAIAIdO4kAk&#10;BYXEWwIAALMEAAAOAAAAAAAAAAEAIAAAACUBAABkcnMvZTJvRG9jLnhtbFBLBQYAAAAABgAGAFkB&#10;AADyBQ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05344" behindDoc="0" locked="0" layoutInCell="1" allowOverlap="1">
                <wp:simplePos x="0" y="0"/>
                <wp:positionH relativeFrom="column">
                  <wp:posOffset>3903980</wp:posOffset>
                </wp:positionH>
                <wp:positionV relativeFrom="paragraph">
                  <wp:posOffset>2941955</wp:posOffset>
                </wp:positionV>
                <wp:extent cx="76200" cy="76200"/>
                <wp:effectExtent l="0" t="0" r="0" b="0"/>
                <wp:wrapNone/>
                <wp:docPr id="82" name="矩形 82"/>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806F6"/>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4pt;margin-top:231.65pt;height:6pt;width:6pt;z-index:251705344;v-text-anchor:middle;mso-width-relative:page;mso-height-relative:page;" fillcolor="#F806F6" filled="t" stroked="f" coordsize="21600,21600" o:gfxdata="UEsDBAoAAAAAAIdO4kAAAAAAAAAAAAAAAAAEAAAAZHJzL1BLAwQUAAAACACHTuJARM+aP9gAAAAL&#10;AQAADwAAAGRycy9kb3ducmV2LnhtbE2PPU/DMBCGdyT+g3VIbNROQ6M2xOmAhGBCInRgdONrHIjP&#10;Ueyk5d9zTDDee4/ej2p/8YNYcIp9IA3ZSoFAaoPtqdNweH+624KIyZA1QyDU8I0R9vX1VWVKG870&#10;hkuTOsEmFEujwaU0llLG1qE3cRVGJP6dwuRN4nPqpJ3Mmc39INdKFdKbnjjBmREfHbZfzew1LJsm&#10;Laedaw7j88vHZ/Oaz32ea317k6kHEAkv6Q+G3/pcHWrudAwz2SgGDcX9LmdUw0Yp3sBEUWSsHFnJ&#10;1luQdSX/b6h/AFBLAwQUAAAACACHTuJAxdS+cFsCAACzBAAADgAAAGRycy9lMm9Eb2MueG1srVTN&#10;bhMxEL4j8Q6W73STKE1L1E0VNQpCqmilgjg7XjtryX/YTjblZZC48RA8TsVr8Nm7/aFw6IGLd8Yz&#10;/mbmm5k9Oz8YTfYiROVsTcdHI0qE5a5RdlvTTx/Xb04piYnZhmlnRU1vRaTni9evzjo/FxPXOt2I&#10;QABi47zzNW1T8vOqirwVhsUj54WFUbpgWIIatlUTWAd0o6vJaDSrOhcaHxwXMeJ21RvpgBheAuik&#10;VFysHN8ZYVOPGoRmCSXFVvlIFyVbKQVPV1JGkYiuKSpN5UQQyJt8VoszNt8G5lvFhxTYS1J4VpNh&#10;yiLoA9SKJUZ2Qf0FZRQPLjqZjrgzVV9IYQRVjEfPuLlpmRelFlAd/QPp8f/B8g/760BUU9PTCSWW&#10;GXT817cfdz+/E1yAnc7HOZxu/HUYtAgxl3qQweQviiCHwujtA6PikAjH5ckMLaeEw9KLwKgen/oQ&#10;0zvhDMlCTQPaVVhk+8uYetd7lxwpOq2atdK6KGG7udCB7Blauz4dzdaznC/Q/3DTlnQ1nRxPSx4M&#10;AysxKEjJeBQd7ZYSprfYBJ5CiW1djgAkNs+xVyy2fYwCO4TQFpEyNT0ZWdq45hZUBtfPWPR8rfD+&#10;ksV0zQKGCjxg7dIVDqkdknKDREnrwtd/3Wd/9BpWSjoMKRL+smNBUKLfW0zB2/F0mqe6KNPjkwmU&#10;8NSyeWqxO3PhQNYYC+55EbN/0veiDM58xnYuc1SYmOWI3VMzKBepXx7sNxfLZXHDJHuWLu2N5xk8&#10;M2fdcpecVKWJj+wMpGGWS6OGvcvL8lQvXo//ms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M+a&#10;P9gAAAALAQAADwAAAAAAAAABACAAAAAiAAAAZHJzL2Rvd25yZXYueG1sUEsBAhQAFAAAAAgAh07i&#10;QMXUvnBbAgAAswQAAA4AAAAAAAAAAQAgAAAAJwEAAGRycy9lMm9Eb2MueG1sUEsFBgAAAAAGAAYA&#10;WQEAAPQFA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01248" behindDoc="0" locked="0" layoutInCell="1" allowOverlap="1">
                <wp:simplePos x="0" y="0"/>
                <wp:positionH relativeFrom="column">
                  <wp:posOffset>4189730</wp:posOffset>
                </wp:positionH>
                <wp:positionV relativeFrom="paragraph">
                  <wp:posOffset>2837180</wp:posOffset>
                </wp:positionV>
                <wp:extent cx="85725" cy="104775"/>
                <wp:effectExtent l="12700" t="12700" r="15875" b="15875"/>
                <wp:wrapNone/>
                <wp:docPr id="78" name="矩形 78"/>
                <wp:cNvGraphicFramePr/>
                <a:graphic xmlns:a="http://schemas.openxmlformats.org/drawingml/2006/main">
                  <a:graphicData uri="http://schemas.microsoft.com/office/word/2010/wordprocessingShape">
                    <wps:wsp>
                      <wps:cNvSpPr/>
                      <wps:spPr>
                        <a:xfrm>
                          <a:off x="5666105" y="4675505"/>
                          <a:ext cx="85725" cy="104775"/>
                        </a:xfrm>
                        <a:prstGeom prst="rect">
                          <a:avLst/>
                        </a:prstGeom>
                        <a:solidFill>
                          <a:srgbClr val="FFC000"/>
                        </a:solidFill>
                        <a:ln>
                          <a:solidFill>
                            <a:srgbClr val="FFC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9pt;margin-top:223.4pt;height:8.25pt;width:6.75pt;z-index:251701248;v-text-anchor:middle;mso-width-relative:page;mso-height-relative:page;" fillcolor="#FFC000" filled="t" stroked="t" coordsize="21600,21600" o:gfxdata="UEsDBAoAAAAAAIdO4kAAAAAAAAAAAAAAAAAEAAAAZHJzL1BLAwQUAAAACACHTuJAUOs7fdsAAAAL&#10;AQAADwAAAGRycy9kb3ducmV2LnhtbE2Py07DMBBF90j8gzVI7KjzUBoImXQBYsGjQgQ23bnxNImI&#10;7Sh205avZ7qC3Yzm6M655epoBjHT5HtnEeJFBIJs43RvW4Svz6ebWxA+KKvV4CwhnMjDqrq8KFWh&#10;3cF+0FyHVnCI9YVC6EIYCyl905FRfuFGsnzbucmowOvUSj2pA4ebQSZRtJRG9ZY/dGqkh46a73pv&#10;EDb1j3xNkje1oXx3el6b9/TxZUa8voqjexCBjuEPhrM+q0PFTlu3t9qLASGPk5RRhOzuPDCRZxmX&#10;2SIskywFWZXyf4fqF1BLAwQUAAAACACHTuJAreOt/2oCAADqBAAADgAAAGRycy9lMm9Eb2MueG1s&#10;rVRLbtswEN0X6B0I7hvJgj+NETkwbLgoEDQB0qJrmqIsAfyVpC2nlynQXQ/R4xS9Rh8pOb92kUU3&#10;1Axn9GbmzQwvLo9KkoNwvjW6pKOznBKhualavSvpp4+bN28p8YHpikmjRUnvhKeXi9evLjo7F4Vp&#10;jKyEIwDRft7ZkjYh2HmWed4IxfyZsULDWBunWIDqdlnlWAd0JbMiz6dZZ1xlneHCe9yueyMdEN1L&#10;AE1dt1ysDd8roUOP6oRkASX5prWeLlK2dS14uK5rLwKRJUWlIZ0IAnkbz2xxweY7x2zT8iEF9pIU&#10;ntWkWKsR9B5qzQIje9f+BaVa7ow3dTjjRmV9IYkRVDHKn3Fz2zArUi2g2tt70v3/g+UfDjeOtFVJ&#10;Z+i7Zgod//3tx6+f3wkuwE5n/RxOt/bGDZqHGEs91k7FL4ogx5JOptPpKJ9QclfS8XQ2mUBO7Ipj&#10;IBwOxWxaFLBzOBT5ORyiPXsAss6Hd8IoEoWSOjQvccoOVz70rieXGNcb2VabVsqkuN12JR05MDR6&#10;s1nl+Qn9iZvUpEP0yRhmwhnGt8bYQFQWFHi9o4TJHfaCB5diP/nbvyxITHLNfNMnkxCGSqVGwZHR&#10;nsMobU11hw4404+mt3zT4v8r5sMNc5hFJIptDdc4ammQvRkkShrjvv7rPvpjRGClpMNso7Ive+YE&#10;JfK9xvCcj8bjuAxJGU9mBRT32LJ9bNF7tTJgdYR3wfIkRv8gT2LtjPqMpV7GqDAxzRG753BQVqHf&#10;OTwLXCyXyQ0LYFm40reWR/DYRW2W+2DqNnX7gZ2BNKxAmpdhXeOOPdaT18MTtf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Os7fdsAAAALAQAADwAAAAAAAAABACAAAAAiAAAAZHJzL2Rvd25yZXYu&#10;eG1sUEsBAhQAFAAAAAgAh07iQK3jrf9qAgAA6gQAAA4AAAAAAAAAAQAgAAAAKgEAAGRycy9lMm9E&#10;b2MueG1sUEsFBgAAAAAGAAYAWQEAAAYGAAAAAA==&#10;">
                <v:fill on="t" focussize="0,0"/>
                <v:stroke weight="2pt" color="#FFC000 [2404]" joinstyle="round"/>
                <v:imagedata o:title=""/>
                <o:lock v:ext="edit" aspectratio="f"/>
              </v:rect>
            </w:pict>
          </mc:Fallback>
        </mc:AlternateContent>
      </w:r>
      <w:r>
        <w:rPr>
          <w:sz w:val="21"/>
          <w:highlight w:val="none"/>
        </w:rPr>
        <mc:AlternateContent>
          <mc:Choice Requires="wps">
            <w:drawing>
              <wp:anchor distT="0" distB="0" distL="114300" distR="114300" simplePos="0" relativeHeight="251704320" behindDoc="0" locked="0" layoutInCell="1" allowOverlap="1">
                <wp:simplePos x="0" y="0"/>
                <wp:positionH relativeFrom="column">
                  <wp:posOffset>2237105</wp:posOffset>
                </wp:positionH>
                <wp:positionV relativeFrom="paragraph">
                  <wp:posOffset>2465705</wp:posOffset>
                </wp:positionV>
                <wp:extent cx="76200" cy="76200"/>
                <wp:effectExtent l="12700" t="12700" r="25400" b="25400"/>
                <wp:wrapNone/>
                <wp:docPr id="81" name="矩形 81"/>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15pt;margin-top:194.15pt;height:6pt;width:6pt;z-index:251704320;v-text-anchor:middle;mso-width-relative:page;mso-height-relative:page;" fillcolor="#FFFF00" filled="t" stroked="t" coordsize="21600,21600" o:gfxdata="UEsDBAoAAAAAAIdO4kAAAAAAAAAAAAAAAAAEAAAAZHJzL1BLAwQUAAAACACHTuJAvrrRmtYAAAAL&#10;AQAADwAAAGRycy9kb3ducmV2LnhtbE2PQUvDQBCF74L/YRnBm91tCmmI2RQUWih60Frxus2O2WB2&#10;NmS3bfz3jiDY2xvex5v3qtXke3HCMXaBNMxnCgRSE2xHrYb92/quABGTIWv6QKjhGyOs6uurypQ2&#10;nOkVT7vUCg6hWBoNLqWhlDI2Dr2JszAgsfcZRm8Sn2Mr7WjOHO57mSmVS2864g/ODPjosPnaHb2G&#10;zdq9bOm5eOgWk/vYu+3mfXrKtL69mat7EAmn9A/Db32uDjV3OoQj2Sh6DXmRLRhlsVQsmFiqnMXh&#10;z5J1JS831D9QSwMEFAAAAAgAh07iQHpZwK9ZAgAA3QQAAA4AAABkcnMvZTJvRG9jLnhtbK1Uy24T&#10;MRTdI/EPlvd0kih9EHVSRY2CkCpaqSDWjsfOWPIL28mk/AwSOz6Cz0H8BseeafqARRdk4dzre30f&#10;55475xd7o8lOhKicren4aESJsNw1ym5q+unj6s0ZJTEx2zDtrKjpnYj0Yv761XnnZ2LiWqcbEQiC&#10;2DjrfE3blPysqiJvhWHxyHlhYZQuGJaghk3VBNYhutHVZDQ6qToXGh8cFzHidtkb6RAxvCSgk1Jx&#10;sXR8a4RNfdQgNEtoKbbKRzov1UopeLqWMopEdE3RaSonkkBe57Oan7PZJjDfKj6UwF5SwrOeDFMW&#10;SQ+hliwxsg3qr1BG8eCik+mIO1P1jRRE0MV49Ayb25Z5UXoB1NEfQI//Lyz/sLsJRDU1PRtTYpnB&#10;xH9/+/Hr53eCC6DT+TiD062/CYMWIeZW9zKY/I8myL4gendAVOwT4bgcH0+mI2DNYTo9wfhzyOrh&#10;rQ8xvRPOkCzUNGBeBUa2u4qpd713yami06pZKa2LEjbrSx3IjmG2K/wO0Z+4aUu6mk6O+zoYGCvB&#10;FJRkPLqOdkMJ0xusAk+h5H7yOr4sSS5yyWLbF1MiDJ1qi4YziD1sWVq75g6gB9ezMXq+Unh/xWK6&#10;YQH0A2BY0HSNQ2qH6t0gUdK68PVf99kfrICVkg50RmdftiwISvR7C768HU+nmf9FmR6fTqCEx5b1&#10;Y4vdmksHVEEJVFfE7J/0vSiDM5+xx4ucFSZmOXL3GA7KZerXDF8CLhaL4gbOe5au7K3nOXieonWL&#10;bXJSlWk/oDOABtYXvgwbmtfqsV68Hr5K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utGa1gAA&#10;AAsBAAAPAAAAAAAAAAEAIAAAACIAAABkcnMvZG93bnJldi54bWxQSwECFAAUAAAACACHTuJAelnA&#10;r1kCAADdBAAADgAAAAAAAAABACAAAAAlAQAAZHJzL2Uyb0RvYy54bWxQSwUGAAAAAAYABgBZAQAA&#10;8AUAAAAA&#10;">
                <v:fill on="t" focussize="0,0"/>
                <v:stroke weight="2pt" color="#FFFF00 [2404]" joinstyle="round"/>
                <v:imagedata o:title=""/>
                <o:lock v:ext="edit" aspectratio="f"/>
              </v:rect>
            </w:pict>
          </mc:Fallback>
        </mc:AlternateContent>
      </w:r>
      <w:r>
        <w:rPr>
          <w:highlight w:val="none"/>
        </w:rPr>
        <w:drawing>
          <wp:inline distT="0" distB="0" distL="114300" distR="114300">
            <wp:extent cx="6731635" cy="5284470"/>
            <wp:effectExtent l="0" t="0" r="12065" b="1143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31"/>
                    <a:stretch>
                      <a:fillRect/>
                    </a:stretch>
                  </pic:blipFill>
                  <pic:spPr>
                    <a:xfrm>
                      <a:off x="0" y="0"/>
                      <a:ext cx="6731635" cy="5284470"/>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703296" behindDoc="0" locked="0" layoutInCell="1" allowOverlap="1">
                <wp:simplePos x="0" y="0"/>
                <wp:positionH relativeFrom="column">
                  <wp:posOffset>3484880</wp:posOffset>
                </wp:positionH>
                <wp:positionV relativeFrom="paragraph">
                  <wp:posOffset>3027680</wp:posOffset>
                </wp:positionV>
                <wp:extent cx="409575" cy="190500"/>
                <wp:effectExtent l="5080" t="11430" r="23495" b="26670"/>
                <wp:wrapNone/>
                <wp:docPr id="80" name="直接连接符 80"/>
                <wp:cNvGraphicFramePr/>
                <a:graphic xmlns:a="http://schemas.openxmlformats.org/drawingml/2006/main">
                  <a:graphicData uri="http://schemas.microsoft.com/office/word/2010/wordprocessingShape">
                    <wps:wsp>
                      <wps:cNvCnPr/>
                      <wps:spPr>
                        <a:xfrm flipV="1">
                          <a:off x="0" y="0"/>
                          <a:ext cx="409575" cy="19050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74.4pt;margin-top:238.4pt;height:15pt;width:32.25pt;z-index:251703296;mso-width-relative:page;mso-height-relative:page;" filled="f" stroked="t" coordsize="21600,21600" o:gfxdata="UEsDBAoAAAAAAIdO4kAAAAAAAAAAAAAAAAAEAAAAZHJzL1BLAwQUAAAACACHTuJA60PaQdsAAAAL&#10;AQAADwAAAGRycy9kb3ducmV2LnhtbE2PzU7DMBCE70i8g7VIXCJqh5YQhTgVoqoERSAofQA3XpKo&#10;8TqK3b+3ZznBbXdnNPtNOT+5XhxwDJ0nDelEgUCqve2o0bD5Wt7kIEI0ZE3vCTWcMcC8urwoTWH9&#10;kT7xsI6N4BAKhdHQxjgUUoa6RWfCxA9IrH370ZnI69hIO5ojh7te3iqVSWc64g+tGfCpxXq33jsN&#10;C3d+W+av74vnVUjs44vfJR/JRuvrq1Q9gIh4in9m+MVndKiYaev3ZIPoNdzNckaPGmb3GQ/syNLp&#10;FMSWJcUXWZXyf4fqB1BLAwQUAAAACACHTuJAjUhsq+oBAACrAwAADgAAAGRycy9lMm9Eb2MueG1s&#10;rVPNbhMxEL4j8Q6W72Sd0NB2lU2FGpULgkhQ7o7X3rXkP3ncbPISvAASNzhx5M7bUB6jY28aoFx6&#10;4DI7nhl/M9/n2cXFzhqylRG0dw2dThgl0gnfatc19Pr91bMzSiBx13LjnWzoXgK9WD59shhCLWe+&#10;96aVkSCIg3oIDe1TCnVVgeil5TDxQTpMKh8tT3iMXdVGPiC6NdWMsRfV4GMbohcSAKOrMUkPiPEx&#10;gF4pLeTKixsrXRpRozQ8ISXodQC6LNMqJUV6qxTIRExDkWkqFpugv8m2Wi543UUeei0OI/DHjPCA&#10;k+XaYdMj1IonTm6i/gfKahE9eJUmwttqJFIUQRZT9kCbdz0PsnBBqSEcRYf/ByvebNeR6LahZyiJ&#10;4xZf/PbT958fv/z68Rnt7bevBDMo0xCgxupLt46HE4R1zJx3KlqijA4fcJ+KCsiL7IrI+6PIcpeI&#10;wOAJO5+fzikRmJqeszkr6NUIk+FChPRKekuy01CjXdaA13z7GhK2xtL7khx2/kobU97RODI0dDY/&#10;QUwiOC6nwqVA1wYkCK6jhJsOt16kWCDBG93m6xkIYre5NJFsOe7KKXvOXt5P9ldZ7r3i0I91JZXl&#10;wamMw0+WaRQmexvf7oteJY5vWAoP+5aX5M9zuf37H1v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tD2kHbAAAACwEAAA8AAAAAAAAAAQAgAAAAIgAAAGRycy9kb3ducmV2LnhtbFBLAQIUABQAAAAI&#10;AIdO4kCNSGyr6gEAAKsDAAAOAAAAAAAAAAEAIAAAACoBAABkcnMvZTJvRG9jLnhtbFBLBQYAAAAA&#10;BgAGAFkBAACGBQAAAAA=&#10;">
                <v:fill on="f" focussize="0,0"/>
                <v:stroke weight="2pt" color="#7030A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02272" behindDoc="0" locked="0" layoutInCell="1" allowOverlap="1">
                <wp:simplePos x="0" y="0"/>
                <wp:positionH relativeFrom="column">
                  <wp:posOffset>3846830</wp:posOffset>
                </wp:positionH>
                <wp:positionV relativeFrom="paragraph">
                  <wp:posOffset>2684780</wp:posOffset>
                </wp:positionV>
                <wp:extent cx="47625" cy="361950"/>
                <wp:effectExtent l="12700" t="1905" r="15875" b="17145"/>
                <wp:wrapNone/>
                <wp:docPr id="79" name="直接连接符 79"/>
                <wp:cNvGraphicFramePr/>
                <a:graphic xmlns:a="http://schemas.openxmlformats.org/drawingml/2006/main">
                  <a:graphicData uri="http://schemas.microsoft.com/office/word/2010/wordprocessingShape">
                    <wps:wsp>
                      <wps:cNvCnPr/>
                      <wps:spPr>
                        <a:xfrm flipH="1" flipV="1">
                          <a:off x="0" y="0"/>
                          <a:ext cx="47625" cy="36195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02.9pt;margin-top:211.4pt;height:28.5pt;width:3.75pt;z-index:251702272;mso-width-relative:page;mso-height-relative:page;" filled="f" stroked="t" coordsize="21600,21600" o:gfxdata="UEsDBAoAAAAAAIdO4kAAAAAAAAAAAAAAAAAEAAAAZHJzL1BLAwQUAAAACACHTuJAr8yGyNsAAAAL&#10;AQAADwAAAGRycy9kb3ducmV2LnhtbE2PzU7DMBCE70i8g7VI3KidNIQQ4vSA4MAFqQUVjk68TdLG&#10;dmS7P3l7lhPcdmdHM99Wq4sZ2Ql9GJyVkCwEMLSt04PtJHx+vN4VwEJUVqvRWZQwY4BVfX1VqVK7&#10;s13jaRM7RiE2lEpCH+NUch7aHo0KCzehpdvOeaMirb7j2qszhZuRp0Lk3KjBUkOvJnzusT1sjkbC&#10;Ltt/bb/nZt4fxJt/eV+7othmUt7eJOIJWMRL/DPDLz6hQ01MjTtaHdgoIRf3hB4lZGlKAznyZLkE&#10;1pDy8FgAryv+/4f6B1BLAwQUAAAACACHTuJAmNp5b+8BAAC0AwAADgAAAGRycy9lMm9Eb2MueG1s&#10;rVPLbhMxFN0j9R8s78lM0iaho0wq1KhlgSASj73jsWcs+SVfN5P8BD+AxA5WLNn3b1o+g2tPGqBs&#10;umDjuS8f33PuncXFzmiyFQGUszUdj0pKhOWuUbat6Yf3V89fUAKR2YZpZ0VN9wLoxfLk2aL3lZi4&#10;zulGBIIgFqre17SL0VdFAbwThsHIeWExKV0wLKIb2qIJrEd0o4tJWc6K3oXGB8cFAEZXQ5IeEMNT&#10;AJ2UiouV4zdG2DigBqFZRErQKQ90mbuVUvD4VkoQkeiaItOYT3wE7U06i+WCVW1gvlP80AJ7SguP&#10;OBmmLD56hFqxyMhNUP9AGcWDAyfjiDtTDESyIshiXD7S5l3HvMhcUGrwR9Hh/8HyN9t1IKqp6fyc&#10;EssMTvz+84+7T19/3n7B8/77N4IZlKn3UGH1pV2Hgwd+HRLnnQyGSK38K9wnmq2PyUo5ZEh2We79&#10;UW6xi4Rj8Gw+m0wp4Zg5nY3Pp3kaxYCX7voA8Vo4Q5JRU61sEoNVbPsaIvaApQ8lKWzdldI6D1Rb&#10;0td0Mj0rcc6c4ZZK3A40jUemYFtKmG5x/XkMGRKcVk26noAgtJtLHciW4dLMy9Py5UNnf5Wlt1cM&#10;uqEup5JO2JW2+El6DQola+OafRYux3GYufCweGlb/vTz7d8/2/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8yGyNsAAAALAQAADwAAAAAAAAABACAAAAAiAAAAZHJzL2Rvd25yZXYueG1sUEsBAhQA&#10;FAAAAAgAh07iQJjaeW/vAQAAtAMAAA4AAAAAAAAAAQAgAAAAKgEAAGRycy9lMm9Eb2MueG1sUEsF&#10;BgAAAAAGAAYAWQEAAIsFAAAAAA==&#10;">
                <v:fill on="f" focussize="0,0"/>
                <v:stroke weight="2pt" color="#7030A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9200" behindDoc="0" locked="0" layoutInCell="1" allowOverlap="1">
                <wp:simplePos x="0" y="0"/>
                <wp:positionH relativeFrom="column">
                  <wp:posOffset>6342380</wp:posOffset>
                </wp:positionH>
                <wp:positionV relativeFrom="paragraph">
                  <wp:posOffset>4989830</wp:posOffset>
                </wp:positionV>
                <wp:extent cx="152400" cy="0"/>
                <wp:effectExtent l="0" t="12700" r="0" b="15875"/>
                <wp:wrapNone/>
                <wp:docPr id="75" name="直接连接符 75"/>
                <wp:cNvGraphicFramePr/>
                <a:graphic xmlns:a="http://schemas.openxmlformats.org/drawingml/2006/main">
                  <a:graphicData uri="http://schemas.microsoft.com/office/word/2010/wordprocessingShape">
                    <wps:wsp>
                      <wps:cNvCnPr/>
                      <wps:spPr>
                        <a:xfrm flipH="1">
                          <a:off x="0" y="0"/>
                          <a:ext cx="152400"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9.4pt;margin-top:392.9pt;height:0pt;width:12pt;z-index:251699200;mso-width-relative:page;mso-height-relative:page;" filled="f" stroked="t" coordsize="21600,21600" o:gfxdata="UEsDBAoAAAAAAIdO4kAAAAAAAAAAAAAAAAAEAAAAZHJzL1BLAwQUAAAACACHTuJAjQNngtgAAAAM&#10;AQAADwAAAGRycy9kb3ducmV2LnhtbE2PQU/DMAyF70j8h8hIXNCWrBLQlaYTIHHgBgOmHbPGtNUa&#10;p0qytfx7PAlp3J79np4/l6vJ9eKIIXaeNCzmCgRS7W1HjYbPj5dZDiImQ9b0nlDDD0ZYVZcXpSms&#10;H+kdj+vUCC6hWBgNbUpDIWWsW3Qmzv2AxN63D84kHkMjbTAjl7teZkrdSWc64gutGfC5xXq/PjgN&#10;3mwfn0J6nb7ewmZby7zZ082o9fXVQj2ASDilcxhO+IwOFTPt/IFsFL2G5TJn9KThPr9lcUqoLGO1&#10;+1vJqpT/n6h+AVBLAwQUAAAACACHTuJA/f/cjeABAACmAwAADgAAAGRycy9lMm9Eb2MueG1srVNL&#10;jhMxEN0jcQfLe9JJRAC10pnFRIEFgkjAARy33W3JP1V50skluAASO1ixZM9tmDkGZXcmMDObWdAL&#10;y64qv6r3/Hp5cXCW7RWgCb7hs8mUM+VlaI3vGv7p4+bZK84wCd8KG7xq+FEhv1g9fbIcYq3moQ+2&#10;VcAIxGM9xIb3KcW6qlD2ygmchKg8JXUAJxIdoataEAOhO1vNp9MX1RCgjRCkQqToekzyEyI8BjBo&#10;baRaB3nllE8jKigrElHC3kTkqzKt1kqm91qjSsw2nJimslIT2u/yWq2Wou5AxN7I0wjiMSPc4+SE&#10;8dT0DLUWSbArMA+gnJEQMOg0kcFVI5GiCLGYTe9p86EXURUuJDXGs+j4/2Dlu/0WmGkb/nLBmReO&#10;Xvz6y8/fn7/d/PpK6/WP74wyJNMQsabqS7+F0wnjFjLngwbHtDXxDfmpqEC82KGIfDyLrA6JSQrO&#10;FvPnU5Jf3qaqESEjRcD0WgXH8qbh1vhMX9Ri/xYTdaXS25Ic9mFjrC1PaD0bGj5fjNCCfKnJD9TF&#10;ReKGvuNM2I4MLxMUSAzWtPl6BkLodpcW2F6QTTb00YBjuztlufdaYD/WldSpzHoaLis0apJ3u9Ae&#10;i1QlTs9Xxj9ZLfvj33O5/ff3Wv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QNngtgAAAAMAQAA&#10;DwAAAAAAAAABACAAAAAiAAAAZHJzL2Rvd25yZXYueG1sUEsBAhQAFAAAAAgAh07iQP3/3I3gAQAA&#10;pgMAAA4AAAAAAAAAAQAgAAAAJwEAAGRycy9lMm9Eb2MueG1sUEsFBgAAAAAGAAYAWQEAAHkFAAAA&#10;AA==&#10;">
                <v:fill on="f" focussize="0,0"/>
                <v:stroke weight="2pt" color="#FFFF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700224" behindDoc="0" locked="0" layoutInCell="1" allowOverlap="1">
                <wp:simplePos x="0" y="0"/>
                <wp:positionH relativeFrom="column">
                  <wp:posOffset>6342380</wp:posOffset>
                </wp:positionH>
                <wp:positionV relativeFrom="paragraph">
                  <wp:posOffset>5132705</wp:posOffset>
                </wp:positionV>
                <wp:extent cx="152400" cy="0"/>
                <wp:effectExtent l="0" t="38100" r="0" b="38100"/>
                <wp:wrapNone/>
                <wp:docPr id="77" name="直接连接符 77"/>
                <wp:cNvGraphicFramePr/>
                <a:graphic xmlns:a="http://schemas.openxmlformats.org/drawingml/2006/main">
                  <a:graphicData uri="http://schemas.microsoft.com/office/word/2010/wordprocessingShape">
                    <wps:wsp>
                      <wps:cNvCnPr/>
                      <wps:spPr>
                        <a:xfrm flipH="1">
                          <a:off x="0" y="0"/>
                          <a:ext cx="152400" cy="0"/>
                        </a:xfrm>
                        <a:prstGeom prst="line">
                          <a:avLst/>
                        </a:prstGeom>
                        <a:ln w="762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9.4pt;margin-top:404.15pt;height:0pt;width:12pt;z-index:251700224;mso-width-relative:page;mso-height-relative:page;" filled="f" stroked="t" coordsize="21600,21600" o:gfxdata="UEsDBAoAAAAAAIdO4kAAAAAAAAAAAAAAAAAEAAAAZHJzL1BLAwQUAAAACACHTuJA/xNKttYAAAAM&#10;AQAADwAAAGRycy9kb3ducmV2LnhtbE2P3UrEMBCF7wXfIYzgnZtsBcnWpgsreqOsYvUBpk1si82k&#10;NtPd+vZmQdDL88OZb4rt4gdxcFPsAxlYrxQIR02wPbUG3t8erjSIyEgWh0DOwLeLsC3PzwrMbTjS&#10;qztU3Io0QjFHAx3zmEsZm855jKswOkrZR5g8cpJTK+2ExzTuB5kpdSM99pQudDi6u841n9XsDSiu&#10;+oX18/1+N8fHPT4tL1/1zpjLi7W6BcFu4b8ynPATOpSJqQ4z2SgGA5uNTuhsQCt9DeLUUFmWrPrX&#10;kmUh/z9R/gBQSwMEFAAAAAgAh07iQBS6pozhAQAApgMAAA4AAABkcnMvZTJvRG9jLnhtbK1TS44T&#10;MRDdI3EHy3vSnQhmUCudWUwUWCCIBByg4ra7LfknlyedXIILILGDFUv23IbhGJTdmQDDZhb0wipX&#10;lV/5Pb9eXh2sYXsZUXvX8vms5kw64Tvt+pa/f7d58pwzTOA6MN7Jlh8l8qvV40fLMTRy4QdvOhkZ&#10;gThsxtDyIaXQVBWKQVrAmQ/SUVH5aCHRNvZVF2EkdGuqRV1fVKOPXYheSETKrqciPyHGhwB6pbSQ&#10;ay9urHRpQo3SQCJKOOiAfFVuq5QU6Y1SKBMzLSemqaw0hOJdXqvVEpo+Qhi0OF0BHnKFe5wsaEdD&#10;z1BrSMBuov4HymoRPXqVZsLbaiJSFCEW8/qeNm8HCLJwIakxnEXH/wcrXu+3kemu5ZeXnDmw9OK3&#10;H7/9+PD55/dPtN5+/cKoQjKNARvqvnbbeNph2MbM+aCiZcro8JL8VFQgXuxQRD6eRZaHxAQl588W&#10;T2uSX9yVqgkhI4WI6YX0luWg5Ua7TB8a2L/CRFOp9a4lp53faGPKExrHRuJwQQ4jaCBfKvIDhTYQ&#10;N3Q9Z2B6MrxIsUCiN7rLxzMQxn53bSLbA9lks6npy5Rp3F9tefYacJj6SunUZhx1Z4UmTXK0892x&#10;SFXy9HwF72S17I8/9+X0799r9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E0q21gAAAAwBAAAP&#10;AAAAAAAAAAEAIAAAACIAAABkcnMvZG93bnJldi54bWxQSwECFAAUAAAACACHTuJAFLqmjOEBAACm&#10;AwAADgAAAAAAAAABACAAAAAlAQAAZHJzL2Uyb0RvYy54bWxQSwUGAAAAAAYABgBZAQAAeAUAAAAA&#10;">
                <v:fill on="f" focussize="0,0"/>
                <v:stroke weight="6pt" color="#FF0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8176" behindDoc="0" locked="0" layoutInCell="1" allowOverlap="1">
                <wp:simplePos x="0" y="0"/>
                <wp:positionH relativeFrom="column">
                  <wp:posOffset>6332855</wp:posOffset>
                </wp:positionH>
                <wp:positionV relativeFrom="paragraph">
                  <wp:posOffset>4837430</wp:posOffset>
                </wp:positionV>
                <wp:extent cx="152400" cy="0"/>
                <wp:effectExtent l="0" t="12700" r="0" b="15875"/>
                <wp:wrapNone/>
                <wp:docPr id="74" name="直接连接符 74"/>
                <wp:cNvGraphicFramePr/>
                <a:graphic xmlns:a="http://schemas.openxmlformats.org/drawingml/2006/main">
                  <a:graphicData uri="http://schemas.microsoft.com/office/word/2010/wordprocessingShape">
                    <wps:wsp>
                      <wps:cNvCnPr/>
                      <wps:spPr>
                        <a:xfrm flipH="1">
                          <a:off x="0" y="0"/>
                          <a:ext cx="152400" cy="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8.65pt;margin-top:380.9pt;height:0pt;width:12pt;z-index:251698176;mso-width-relative:page;mso-height-relative:page;" filled="f" stroked="t" coordsize="21600,21600" o:gfxdata="UEsDBAoAAAAAAIdO4kAAAAAAAAAAAAAAAAAEAAAAZHJzL1BLAwQUAAAACACHTuJAWQeVTNkAAAAM&#10;AQAADwAAAGRycy9kb3ducmV2LnhtbE2P20rDQBCG7wXfYRnBm9DupkIPMZsiloJaFFv7ANvsmIRm&#10;Z0N2e3p7pyDo5fzz8R/y+dm14oh9aDxpSIcKBFLpbUOVhu3XcjAFEaIha1pPqOGCAebF7U1uMutP&#10;tMbjJlaCTShkRkMdY5dJGcoanQlD3yHx79v3zkQ++0ra3pzY3LVypNRYOtMQJ9Smw+cay/3m4DQs&#10;3OV9OV19LF7eQmKfXv0++Uy2Wt/fpeoRRMRz/IPhWp+rQ8Gddv5ANohWw2w2eWBUw2Sc8oYroUYp&#10;S7tfSRa5/D+i+AFQSwMEFAAAAAgAh07iQDxYhKjkAQAApgMAAA4AAABkcnMvZTJvRG9jLnhtbK1T&#10;zW4TMRC+I/EOlu9kN6GlaJVNhRoVDggqAQ/geO1dS/7TjJtNXoIXQOIGJ47c+zaUx2DsTQOUSw9c&#10;Zu2Z8Tf+Pn+7PN85y7YK0ATf8vms5kx5GTrj+5Z/eH/55DlnmITvhA1etXyvkJ+vHj9ajrFRizAE&#10;2ylgBOKxGWPLh5RiU1UoB+UEzkJUnoo6gBOJttBXHYiR0J2tFnX9rBoDdBGCVIiUXU9FfkCEhwAG&#10;rY1U6yCvnfJpQgVlRSJKOJiIfFVuq7WS6a3WqBKzLSemqUQaQutNjtVqKZoeRByMPFxBPOQK9zg5&#10;YTwNPUKtRRLsGsw/UM5ICBh0msngqolIUYRYzOt72rwbRFSFC0mN8Sg6/j9Y+WZ7Bcx0LT874cwL&#10;Ry9+++n7j49fft58pnj77SujCsk0Rmyo+8JfwWGH8Qoy550Gx7Q18RX5qahAvNiuiLw/iqx2iUlK&#10;zk8XJzXJL+9K1YSQkSJgeqmCY3nRcmt8pi8asX2NiaZS611LTvtwaawtT2g9G1u+OJ2gBflSkx9o&#10;iovEDX3PmbA9GV4mKJAYrOny8QyE0G8uLLCtIJuc1U/rF8UZNO6vtjx7LXCY+kopK0Nt1tMnKzRp&#10;kleb0O2LVCVPz1caD1bL/vhzX07//r1W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ZB5VM2QAA&#10;AAwBAAAPAAAAAAAAAAEAIAAAACIAAABkcnMvZG93bnJldi54bWxQSwECFAAUAAAACACHTuJAPFiE&#10;qOQBAACmAwAADgAAAAAAAAABACAAAAAoAQAAZHJzL2Uyb0RvYy54bWxQSwUGAAAAAAYABgBZAQAA&#10;fgUAAAAA&#10;">
                <v:fill on="f" focussize="0,0"/>
                <v:stroke weight="2pt" color="#7030A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7152" behindDoc="0" locked="0" layoutInCell="1" allowOverlap="1">
                <wp:simplePos x="0" y="0"/>
                <wp:positionH relativeFrom="column">
                  <wp:posOffset>6332855</wp:posOffset>
                </wp:positionH>
                <wp:positionV relativeFrom="paragraph">
                  <wp:posOffset>4694555</wp:posOffset>
                </wp:positionV>
                <wp:extent cx="152400" cy="0"/>
                <wp:effectExtent l="0" t="38100" r="0" b="38100"/>
                <wp:wrapNone/>
                <wp:docPr id="73" name="直接连接符 73"/>
                <wp:cNvGraphicFramePr/>
                <a:graphic xmlns:a="http://schemas.openxmlformats.org/drawingml/2006/main">
                  <a:graphicData uri="http://schemas.microsoft.com/office/word/2010/wordprocessingShape">
                    <wps:wsp>
                      <wps:cNvCnPr/>
                      <wps:spPr>
                        <a:xfrm flipH="1">
                          <a:off x="0" y="0"/>
                          <a:ext cx="152400" cy="0"/>
                        </a:xfrm>
                        <a:prstGeom prst="line">
                          <a:avLst/>
                        </a:prstGeom>
                        <a:ln w="76200">
                          <a:solidFill>
                            <a:srgbClr val="FFC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8.65pt;margin-top:369.65pt;height:0pt;width:12pt;z-index:251697152;mso-width-relative:page;mso-height-relative:page;" filled="f" stroked="t" coordsize="21600,21600" o:gfxdata="UEsDBAoAAAAAAIdO4kAAAAAAAAAAAAAAAAAEAAAAZHJzL1BLAwQUAAAACACHTuJADWYbX9YAAAAM&#10;AQAADwAAAGRycy9kb3ducmV2LnhtbE2PQUvDQBCF74L/YRnBi9jdpGKbNJtSBO+aiudpdpoEs7sh&#10;u2mqv94pCPb2Zt7jzTfF9mx7caIxdN5pSBYKBLnam841Gj72r49rECGiM9h7Rxq+KcC2vL0pMDd+&#10;du90qmIjuMSFHDW0MQ65lKFuyWJY+IEce0c/Wow8jo00I85cbnuZKvUsLXaOL7Q40EtL9Vc1WQ0P&#10;u6fJTLQ/KmU/qzTObz8od1rf3yVqAyLSOf6H4YLP6FAy08FPzgTRa8iy1ZKjGlbLjMUlodKE1eFv&#10;JctCXj9R/gJQSwMEFAAAAAgAh07iQMhPhIDhAQAApgMAAA4AAABkcnMvZTJvRG9jLnhtbK1TS44T&#10;MRDdI3EHy3vSnQADaqUzi0SBBYKRgANU3Ha3Jf/k8qSTS3ABJHawYsme2zAcg7I7E2DYzIKNVa6q&#10;flXv+fXy8mAN28uI2ruWz2c1Z9IJ32nXt/z9u+2j55xhAteB8U62/CiRX64ePliOoZELP3jTycgI&#10;xGEzhpYPKYWmqlAM0gLOfJCOispHC4musa+6CCOhW1Mt6vqiGn3sQvRCIlJ2MxX5CTHeB9ArpYXc&#10;eHFtpUsTapQGElHCQQfkq7KtUlKkN0qhTMy0nJimctIQinf5rFZLaPoIYdDitALcZ4U7nCxoR0PP&#10;UBtIwK6j/gfKahE9epVmwttqIlIUIRbz+o42bwcIsnAhqTGcRcf/Byte768i013Lnz3mzIGlF7/5&#10;+O3Hh88/v3+i8+brF0YVkmkM2FD32l3F0w3DVcycDypapowOL8lPRQXixQ5F5ONZZHlITFBy/nTx&#10;pCb5xW2pmhAyUoiYXkhvWQ5abrTL9KGB/StMNJVab1ty2vmtNqY8oXFsJA4X5DCCBvKlIj9QaANx&#10;Q9dzBqYnw4sUCyR6o7v8eQbC2O/WJrI9kE2223VNKNO4v9ry7A3gMPWV0qnNOFouKzRpkqOd745F&#10;qpKn5yvrn6yW/fHnvXz9+/da/Q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NZhtf1gAAAAwBAAAP&#10;AAAAAAAAAAEAIAAAACIAAABkcnMvZG93bnJldi54bWxQSwECFAAUAAAACACHTuJAyE+EgOEBAACm&#10;AwAADgAAAAAAAAABACAAAAAlAQAAZHJzL2Uyb0RvYy54bWxQSwUGAAAAAAYABgBZAQAAeAUAAAAA&#10;">
                <v:fill on="f" focussize="0,0"/>
                <v:stroke weight="6pt" color="#FFC000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6128" behindDoc="0" locked="0" layoutInCell="1" allowOverlap="1">
                <wp:simplePos x="0" y="0"/>
                <wp:positionH relativeFrom="column">
                  <wp:posOffset>6332855</wp:posOffset>
                </wp:positionH>
                <wp:positionV relativeFrom="paragraph">
                  <wp:posOffset>4561205</wp:posOffset>
                </wp:positionV>
                <wp:extent cx="152400" cy="0"/>
                <wp:effectExtent l="0" t="38100" r="0" b="38100"/>
                <wp:wrapNone/>
                <wp:docPr id="72" name="直接连接符 72"/>
                <wp:cNvGraphicFramePr/>
                <a:graphic xmlns:a="http://schemas.openxmlformats.org/drawingml/2006/main">
                  <a:graphicData uri="http://schemas.microsoft.com/office/word/2010/wordprocessingShape">
                    <wps:wsp>
                      <wps:cNvCnPr/>
                      <wps:spPr>
                        <a:xfrm flipH="1">
                          <a:off x="0" y="0"/>
                          <a:ext cx="152400" cy="0"/>
                        </a:xfrm>
                        <a:prstGeom prst="line">
                          <a:avLst/>
                        </a:prstGeom>
                        <a:ln w="76200">
                          <a:solidFill>
                            <a:srgbClr val="F806F6"/>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8.65pt;margin-top:359.15pt;height:0pt;width:12pt;z-index:251696128;mso-width-relative:page;mso-height-relative:page;" filled="f" stroked="t" coordsize="21600,21600" o:gfxdata="UEsDBAoAAAAAAIdO4kAAAAAAAAAAAAAAAAAEAAAAZHJzL1BLAwQUAAAACACHTuJA9w7JPtgAAAAM&#10;AQAADwAAAGRycy9kb3ducmV2LnhtbE2PQU/DMAyF70j8h8hI3FjSIbq1NJ2qSdw4wBiIY9aYttA4&#10;VZOt5d/jSUhwe/Z7ev5cbGbXixOOofOkIVkoEEi1tx01GvYvDzdrECEasqb3hBq+McCmvLwoTG79&#10;RM942sVGcAmF3GhoYxxyKUPdojNh4Qck9j786EzkcWykHc3E5a6XS6VS6UxHfKE1A25brL92R6fh&#10;9S59fKvmdL8dsvesMjSpz6dK6+urRN2DiDjHvzCc8RkdSmY6+CPZIHoNWba65aiGVbJmcU6oZcLq&#10;8LuSZSH/P1H+AFBLAwQUAAAACACHTuJAfAxBfeIBAACmAwAADgAAAGRycy9lMm9Eb2MueG1srVNL&#10;jhMxEN0jcQfLe9KdCMKolc4sJgosEIwEHMBx292W/FOVJ51cggsgsYMVS/bchuEYlN2ZAMNmFmys&#10;clX5ld/z8+ry4CzbK0ATfMvns5oz5WXojO9b/v7d9skFZ5iE74QNXrX8qJBfrh8/Wo2xUYswBNsp&#10;YATisRljy4eUYlNVKAflBM5CVJ6KOoATibbQVx2IkdCdrRZ1vazGAF2EIBUiZTdTkZ8Q4SGAQWsj&#10;1SbIG6d8mlBBWZGIEg4mIl+X22qtZHqjNarEbMuJaSorDaF4l9dqvRJNDyIORp6uIB5yhXucnDCe&#10;hp6hNiIJdgPmHyhnJAQMOs1kcNVEpChCLOb1PW3eDiKqwoWkxngWHf8frHy9vwZmupY/X3DmhaMX&#10;v/347ceHzz+/f6L19usXRhWSaYzYUPeVv4bTDuM1ZM4HDY5pa+JL8lNRgXixQxH5eBZZHRKTlJw/&#10;WzytSX55V6omhIwUAdMLFRzLQcut8Zm+aMT+FSaaSq13LTntw9ZYW57QejYShyU5jKAF+VKTHyh0&#10;kbih7zkTtifDywQFEoM1XT6egRD63ZUFthdkk+1FvdwuM2Ua91dbnr0ROEx9pXRqs566s0KTJjna&#10;he5YpCp5er6Cd7Ja9sef+3L69/da/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3Dsk+2AAAAAwB&#10;AAAPAAAAAAAAAAEAIAAAACIAAABkcnMvZG93bnJldi54bWxQSwECFAAUAAAACACHTuJAfAxBfeIB&#10;AACmAwAADgAAAAAAAAABACAAAAAnAQAAZHJzL2Uyb0RvYy54bWxQSwUGAAAAAAYABgBZAQAAewUA&#10;AAAA&#10;">
                <v:fill on="f" focussize="0,0"/>
                <v:stroke weight="6pt" color="#F806F6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5104" behindDoc="0" locked="0" layoutInCell="1" allowOverlap="1">
                <wp:simplePos x="0" y="0"/>
                <wp:positionH relativeFrom="column">
                  <wp:posOffset>6332855</wp:posOffset>
                </wp:positionH>
                <wp:positionV relativeFrom="paragraph">
                  <wp:posOffset>4399280</wp:posOffset>
                </wp:positionV>
                <wp:extent cx="152400" cy="0"/>
                <wp:effectExtent l="0" t="12700" r="0" b="15875"/>
                <wp:wrapNone/>
                <wp:docPr id="68" name="直接连接符 68"/>
                <wp:cNvGraphicFramePr/>
                <a:graphic xmlns:a="http://schemas.openxmlformats.org/drawingml/2006/main">
                  <a:graphicData uri="http://schemas.microsoft.com/office/word/2010/wordprocessingShape">
                    <wps:wsp>
                      <wps:cNvCnPr/>
                      <wps:spPr>
                        <a:xfrm flipH="1">
                          <a:off x="7475855" y="5370830"/>
                          <a:ext cx="152400" cy="0"/>
                        </a:xfrm>
                        <a:prstGeom prst="line">
                          <a:avLst/>
                        </a:prstGeom>
                        <a:ln>
                          <a:solidFill>
                            <a:srgbClr val="252AFF"/>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98.65pt;margin-top:346.4pt;height:0pt;width:12pt;z-index:251695104;mso-width-relative:page;mso-height-relative:page;" filled="f" stroked="t" coordsize="21600,21600" o:gfxdata="UEsDBAoAAAAAAIdO4kAAAAAAAAAAAAAAAAAEAAAAZHJzL1BLAwQUAAAACACHTuJAaiQ2PNgAAAAM&#10;AQAADwAAAGRycy9kb3ducmV2LnhtbE2PTUvDQBCG74L/YRnBm91NxMak2RQUPFTxYKv0Os1Ok2B2&#10;NmS3afXXuwVBj/POw/tRLk+2FxONvnOsIZkpEMS1Mx03Gt43Tzf3IHxANtg7Jg1f5GFZXV6UWBh3&#10;5Dea1qER0YR9gRraEIZCSl+3ZNHP3EAcf3s3WgzxHBtpRjxGc9vLVKm5tNhxTGhxoMeW6s/1wWro&#10;N68medk+f2eYqe3DarpbffCg9fVVohYgAp3CHwzn+rE6VLHTzh3YeNFryPPsNqIa5nkaN5wJlSZR&#10;2v1Ksirl/xHVD1BLAwQUAAAACACHTuJAzpUSS/IBAACyAwAADgAAAGRycy9lMm9Eb2MueG1srVPN&#10;jtMwEL4j8Q6W7zRpdrOtoqYrtFXhgKAS7AO4jpNY8p883qZ9CV4AiRucOHLft2F5jB07YYHlsgcu&#10;lu35/M1834xXl0etyEF4kNbUdD7LKRGG20aarqbXH7YvlpRAYKZhyhpR05MAerl+/mw1uEoUtreq&#10;EZ4giYFqcDXtQ3BVlgHvhWYws04YDLbWaxbw6Lus8WxAdq2yIs8vssH6xnnLBQDebsYgnRj9Uwht&#10;20ouNpbfaGHCyOqFYgElQS8d0HWqtm0FD+/aFkQgqqaoNKQVk+B+H9dsvWJV55nrJZ9KYE8p4ZEm&#10;zaTBpA9UGxYYufHyHyotubdg2zDjVmejkOQIqpjnj7x53zMnkha0GtyD6fD/aPnbw84T2dT0Avtu&#10;mMaO3336/uPjl5+3n3G9+/aVYARtGhxUiL4yOz+dwO181HxsvSatku41zlNyAXWRY00X54tyWZaU&#10;nGpani3y5dlkuDgGwhEwL4vzHFvBEZBC2cgWWZ2H8EpYTeKmpkqaaAWr2OENBKwAob8g8drYrVQq&#10;tVMZMtS0KEdqhjPa4mxgFu1QJ5iOEqY6HH4efKIEq2QTn0ci8N3+SnlyYDgyRVm83G6jfEz3Fyzm&#10;3jDoR1wKTTBlEB3dGv2Ju71tTsm2dI+tTHzT2MVZ+fOcXv/+aut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iQ2PNgAAAAMAQAADwAAAAAAAAABACAAAAAiAAAAZHJzL2Rvd25yZXYueG1sUEsBAhQA&#10;FAAAAAgAh07iQM6VEkvyAQAAsgMAAA4AAAAAAAAAAQAgAAAAJwEAAGRycy9lMm9Eb2MueG1sUEsF&#10;BgAAAAAGAAYAWQEAAIsFAAAAAA==&#10;">
                <v:fill on="f" focussize="0,0"/>
                <v:stroke weight="2pt" color="#252AFF [3204]" joinstyle="round"/>
                <v:imagedata o:title=""/>
                <o:lock v:ext="edit" aspectratio="f"/>
              </v:line>
            </w:pict>
          </mc:Fallback>
        </mc:AlternateContent>
      </w:r>
      <w:r>
        <w:rPr>
          <w:sz w:val="21"/>
          <w:highlight w:val="none"/>
        </w:rPr>
        <mc:AlternateContent>
          <mc:Choice Requires="wps">
            <w:drawing>
              <wp:anchor distT="0" distB="0" distL="114300" distR="114300" simplePos="0" relativeHeight="251694080" behindDoc="0" locked="0" layoutInCell="1" allowOverlap="1">
                <wp:simplePos x="0" y="0"/>
                <wp:positionH relativeFrom="column">
                  <wp:posOffset>6304280</wp:posOffset>
                </wp:positionH>
                <wp:positionV relativeFrom="paragraph">
                  <wp:posOffset>4114165</wp:posOffset>
                </wp:positionV>
                <wp:extent cx="1247775" cy="1142365"/>
                <wp:effectExtent l="0" t="0" r="9525" b="635"/>
                <wp:wrapNone/>
                <wp:docPr id="67" name="矩形 67"/>
                <wp:cNvGraphicFramePr/>
                <a:graphic xmlns:a="http://schemas.openxmlformats.org/drawingml/2006/main">
                  <a:graphicData uri="http://schemas.microsoft.com/office/word/2010/wordprocessingShape">
                    <wps:wsp>
                      <wps:cNvSpPr/>
                      <wps:spPr>
                        <a:xfrm>
                          <a:off x="7447280" y="5066030"/>
                          <a:ext cx="1247775" cy="114236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82C04C">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图例</w:t>
                            </w:r>
                          </w:p>
                          <w:p w14:paraId="4ED16853">
                            <w:pPr>
                              <w:pStyle w:val="2"/>
                              <w:keepNext w:val="0"/>
                              <w:keepLines w:val="0"/>
                              <w:pageBreakBefore w:val="0"/>
                              <w:widowControl w:val="0"/>
                              <w:kinsoku/>
                              <w:wordWrap/>
                              <w:overflowPunct/>
                              <w:topLinePunct w:val="0"/>
                              <w:bidi w:val="0"/>
                              <w:adjustRightInd/>
                              <w:snapToGrid/>
                              <w:spacing w:after="0" w:line="240" w:lineRule="auto"/>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河道改道</w:t>
                            </w:r>
                          </w:p>
                          <w:p w14:paraId="72FDB9C3">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施工生产生活区</w:t>
                            </w:r>
                          </w:p>
                          <w:p w14:paraId="4035D009">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弃渣场</w:t>
                            </w:r>
                          </w:p>
                          <w:p w14:paraId="324916C6">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临时道路</w:t>
                            </w:r>
                          </w:p>
                          <w:p w14:paraId="5E7B5977">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表土暂存场</w:t>
                            </w:r>
                          </w:p>
                          <w:p w14:paraId="3F769289">
                            <w:pPr>
                              <w:pStyle w:val="2"/>
                              <w:keepNext w:val="0"/>
                              <w:keepLines w:val="0"/>
                              <w:pageBreakBefore w:val="0"/>
                              <w:widowControl w:val="0"/>
                              <w:kinsoku/>
                              <w:wordWrap/>
                              <w:overflowPunct/>
                              <w:topLinePunct w:val="0"/>
                              <w:bidi w:val="0"/>
                              <w:adjustRightInd/>
                              <w:snapToGrid/>
                              <w:spacing w:after="0" w:line="240" w:lineRule="auto"/>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临时材料堆放场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6.4pt;margin-top:323.95pt;height:89.95pt;width:98.25pt;z-index:251694080;v-text-anchor:middle;mso-width-relative:page;mso-height-relative:page;" fillcolor="#FFFFFF [3212]" filled="t" stroked="f" coordsize="21600,21600" o:gfxdata="UEsDBAoAAAAAAIdO4kAAAAAAAAAAAAAAAAAEAAAAZHJzL1BLAwQUAAAACACHTuJAeWnA4NcAAAAM&#10;AQAADwAAAGRycy9kb3ducmV2LnhtbE2PwW7CMBBE75X6D9ZW6q3YCQiSkA1SK1U9FxBnJ1mSiHgd&#10;2QbSv685tcfRjGbelLvZjOJGzg+WEZKFAkHc2HbgDuF4+HzLQPigudWjZUL4IQ+76vmp1EVr7/xN&#10;t33oRCxhX2iEPoSpkNI3PRntF3Yijt7ZOqNDlK6TrdP3WG5GmSq1lkYPHBd6PdFHT81lfzUIMnzR&#10;5TCnJ16qla7f3fl4miTi60uitiACzeEvDA/8iA5VZKrtlVsvRoQ8TyN6QFivNjmIRyLJ8iWIGiFL&#10;NxnIqpT/T1S/UEsDBBQAAAAIAIdO4kDZhVyVdAIAAM4EAAAOAAAAZHJzL2Uyb0RvYy54bWytVM1u&#10;EzEQviPxDpbvdH+6yZaomypqFIRUQaWCODteO7uS7TG2k015GSRuPASPg3gNxt7tD4VDD+TgzHhG&#10;3zfzeWbPL45akYNwvgfT0OIkp0QYDm1vdg39+GHz6owSH5hpmQIjGnorPL1YvnxxPtiFKKED1QpH&#10;EMT4xWAb2oVgF1nmeSc08ydghcGgBKdZQNftstaxAdG1yso8n2cDuNY64MJ7vF2PQTohuucAgpQ9&#10;F2vgey1MGFGdUCxgS77rrafLVK2Ugof3UnoRiGoodhrSiSRob+OZLc/ZYueY7Xo+lcCeU8KTnjTr&#10;DZLeQ61ZYGTv+r+gdM8deJDhhIPOxkaSIthFkT/R5qZjVqReUGpv70X3/w+WvztcO9K3DZ3XlBim&#10;8cV/ff3+88c3gheozmD9ApNu7LWbPI9mbPUonY7/2AQ5NrSuqro8Q11vGzrL5/P8dFJXHAPhmFCU&#10;VV3XM0o4ZhRFVZ7OZ5Ehe4Cyzoc3AjSJRkMdPl9SlR2ufBhT71IiswfVt5teqeS43fZSOXJg+NSb&#10;9JvQ/0hThgwNLWdVjqVyhgMscXDQ1BZF8GZHCVM73AweXOI2EBmQnC0i95r5buRIsBOFMthHlGoU&#10;J1rhuD1Oim2hvUWVHYzj5y3f9Ah1xXy4Zg7nDUvBjQzv8ZAKsD6YLEo6cF/+dR/zcQwwSsmA84u1&#10;f94zJyhRbw0OyOuiqhA2JKea1SU67nFk+zhi9voSULcCd9/yZMb8oO5M6UB/wsVdRVYMMcORe1Rp&#10;ci7DuFe4+lysVikNh9yycGVuLI/gUUQDq30A2af3jEKN6kz64ZiniZhWMu7RYz9lPXyGl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eWnA4NcAAAAMAQAADwAAAAAAAAABACAAAAAiAAAAZHJzL2Rv&#10;d25yZXYueG1sUEsBAhQAFAAAAAgAh07iQNmFXJV0AgAAzgQAAA4AAAAAAAAAAQAgAAAAJgEAAGRy&#10;cy9lMm9Eb2MueG1sUEsFBgAAAAAGAAYAWQEAAAwGAAAAAA==&#10;">
                <v:fill on="t" focussize="0,0"/>
                <v:stroke on="f" weight="2pt"/>
                <v:imagedata o:title=""/>
                <o:lock v:ext="edit" aspectratio="f"/>
                <v:textbox>
                  <w:txbxContent>
                    <w:p w14:paraId="5B82C04C">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图例</w:t>
                      </w:r>
                    </w:p>
                    <w:p w14:paraId="4ED16853">
                      <w:pPr>
                        <w:pStyle w:val="2"/>
                        <w:keepNext w:val="0"/>
                        <w:keepLines w:val="0"/>
                        <w:pageBreakBefore w:val="0"/>
                        <w:widowControl w:val="0"/>
                        <w:kinsoku/>
                        <w:wordWrap/>
                        <w:overflowPunct/>
                        <w:topLinePunct w:val="0"/>
                        <w:bidi w:val="0"/>
                        <w:adjustRightInd/>
                        <w:snapToGrid/>
                        <w:spacing w:after="0" w:line="240" w:lineRule="auto"/>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河道改道</w:t>
                      </w:r>
                    </w:p>
                    <w:p w14:paraId="72FDB9C3">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施工生产生活区</w:t>
                      </w:r>
                    </w:p>
                    <w:p w14:paraId="4035D009">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弃渣场</w:t>
                      </w:r>
                    </w:p>
                    <w:p w14:paraId="324916C6">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临时道路</w:t>
                      </w:r>
                    </w:p>
                    <w:p w14:paraId="5E7B5977">
                      <w:pPr>
                        <w:pStyle w:val="2"/>
                        <w:keepNext w:val="0"/>
                        <w:keepLines w:val="0"/>
                        <w:pageBreakBefore w:val="0"/>
                        <w:widowControl w:val="0"/>
                        <w:kinsoku/>
                        <w:wordWrap/>
                        <w:overflowPunct/>
                        <w:topLinePunct w:val="0"/>
                        <w:bidi w:val="0"/>
                        <w:adjustRightInd/>
                        <w:snapToGrid/>
                        <w:spacing w:after="0" w:line="240" w:lineRule="auto"/>
                        <w:textAlignment w:val="auto"/>
                        <w:rPr>
                          <w:rFonts w:hint="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表土暂存场</w:t>
                      </w:r>
                    </w:p>
                    <w:p w14:paraId="3F769289">
                      <w:pPr>
                        <w:pStyle w:val="2"/>
                        <w:keepNext w:val="0"/>
                        <w:keepLines w:val="0"/>
                        <w:pageBreakBefore w:val="0"/>
                        <w:widowControl w:val="0"/>
                        <w:kinsoku/>
                        <w:wordWrap/>
                        <w:overflowPunct/>
                        <w:topLinePunct w:val="0"/>
                        <w:bidi w:val="0"/>
                        <w:adjustRightInd/>
                        <w:snapToGrid/>
                        <w:spacing w:after="0" w:line="240" w:lineRule="auto"/>
                        <w:textAlignment w:val="auto"/>
                        <w:rPr>
                          <w:rFonts w:hint="default"/>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临时材料堆放场</w:t>
                      </w:r>
                    </w:p>
                  </w:txbxContent>
                </v:textbox>
              </v:rect>
            </w:pict>
          </mc:Fallback>
        </mc:AlternateContent>
      </w:r>
      <w:r>
        <w:rPr>
          <w:rFonts w:hint="default" w:ascii="Times New Roman" w:hAnsi="Times New Roman" w:cs="Times New Roman"/>
          <w:highlight w:val="none"/>
        </w:rPr>
        <w:drawing>
          <wp:anchor distT="0" distB="0" distL="114300" distR="114300" simplePos="0" relativeHeight="251693056" behindDoc="0" locked="0" layoutInCell="1" allowOverlap="1">
            <wp:simplePos x="0" y="0"/>
            <wp:positionH relativeFrom="column">
              <wp:posOffset>6981825</wp:posOffset>
            </wp:positionH>
            <wp:positionV relativeFrom="paragraph">
              <wp:posOffset>-37465</wp:posOffset>
            </wp:positionV>
            <wp:extent cx="568325" cy="603250"/>
            <wp:effectExtent l="0" t="0" r="3175" b="6350"/>
            <wp:wrapNone/>
            <wp:docPr id="66"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8"/>
                    <pic:cNvPicPr>
                      <a:picLocks noChangeAspect="1"/>
                    </pic:cNvPicPr>
                  </pic:nvPicPr>
                  <pic:blipFill>
                    <a:blip r:embed="rId17"/>
                    <a:stretch>
                      <a:fillRect/>
                    </a:stretch>
                  </pic:blipFill>
                  <pic:spPr>
                    <a:xfrm>
                      <a:off x="0" y="0"/>
                      <a:ext cx="568325" cy="603250"/>
                    </a:xfrm>
                    <a:prstGeom prst="rect">
                      <a:avLst/>
                    </a:prstGeom>
                    <a:noFill/>
                    <a:ln>
                      <a:noFill/>
                    </a:ln>
                  </pic:spPr>
                </pic:pic>
              </a:graphicData>
            </a:graphic>
          </wp:anchor>
        </w:drawing>
      </w:r>
    </w:p>
    <w:p w14:paraId="1D8A4265">
      <w:pPr>
        <w:pStyle w:val="5"/>
        <w:bidi w:val="0"/>
        <w:rPr>
          <w:rFonts w:hint="default" w:ascii="Times New Roman" w:hAnsi="Times New Roman" w:cs="Times New Roman"/>
          <w:highlight w:val="none"/>
          <w:lang w:eastAsia="zh-CN"/>
        </w:rPr>
      </w:pPr>
      <w:bookmarkStart w:id="68" w:name="_Toc12454"/>
      <w:r>
        <w:rPr>
          <w:rFonts w:hint="default" w:ascii="Times New Roman" w:hAnsi="Times New Roman" w:cs="Times New Roman"/>
          <w:highlight w:val="none"/>
        </w:rPr>
        <w:t>附图</w:t>
      </w:r>
      <w:r>
        <w:rPr>
          <w:rFonts w:hint="eastAsia" w:ascii="Times New Roman" w:hAnsi="Times New Roman" w:cs="Times New Roman"/>
          <w:highlight w:val="none"/>
          <w:lang w:val="en-US" w:eastAsia="zh-CN"/>
        </w:rPr>
        <w:t xml:space="preserve">6 </w:t>
      </w:r>
      <w:r>
        <w:rPr>
          <w:rFonts w:hint="default" w:ascii="Times New Roman" w:hAnsi="Times New Roman" w:cs="Times New Roman"/>
          <w:highlight w:val="none"/>
          <w:lang w:val="en-US" w:eastAsia="zh-CN"/>
        </w:rPr>
        <w:t xml:space="preserve"> 施工</w:t>
      </w:r>
      <w:r>
        <w:rPr>
          <w:rFonts w:hint="default" w:ascii="Times New Roman" w:hAnsi="Times New Roman" w:cs="Times New Roman"/>
          <w:highlight w:val="none"/>
        </w:rPr>
        <w:t>平面布置图</w:t>
      </w:r>
      <w:bookmarkEnd w:id="68"/>
    </w:p>
    <w:p w14:paraId="5A5AA755">
      <w:pPr>
        <w:ind w:firstLine="482"/>
        <w:jc w:val="center"/>
        <w:outlineLvl w:val="1"/>
        <w:rPr>
          <w:rFonts w:hint="default" w:ascii="Times New Roman" w:hAnsi="Times New Roman" w:cs="Times New Roman"/>
          <w:highlight w:val="none"/>
          <w:lang w:eastAsia="zh-CN"/>
        </w:rPr>
        <w:sectPr>
          <w:pgSz w:w="16838" w:h="11906" w:orient="landscape"/>
          <w:pgMar w:top="1440" w:right="1800" w:bottom="1440" w:left="1800" w:header="851" w:footer="1077" w:gutter="0"/>
          <w:cols w:space="720" w:num="1"/>
          <w:docGrid w:linePitch="312" w:charSpace="0"/>
        </w:sectPr>
      </w:pPr>
    </w:p>
    <w:p w14:paraId="1EF425BD">
      <w:pPr>
        <w:pStyle w:val="2"/>
        <w:ind w:left="0" w:leftChars="0" w:firstLine="0" w:firstLineChars="0"/>
        <w:jc w:val="both"/>
        <w:rPr>
          <w:rFonts w:hint="default" w:ascii="Times New Roman" w:hAnsi="Times New Roman" w:eastAsia="宋体" w:cs="Times New Roman"/>
          <w:color w:val="auto"/>
          <w:highlight w:val="none"/>
          <w:lang w:eastAsia="zh-CN"/>
        </w:rPr>
      </w:pPr>
      <w:r>
        <w:rPr>
          <w:sz w:val="24"/>
          <w:highlight w:val="none"/>
        </w:rPr>
        <mc:AlternateContent>
          <mc:Choice Requires="wps">
            <w:drawing>
              <wp:anchor distT="0" distB="0" distL="114300" distR="114300" simplePos="0" relativeHeight="251722752" behindDoc="0" locked="0" layoutInCell="1" allowOverlap="1">
                <wp:simplePos x="0" y="0"/>
                <wp:positionH relativeFrom="column">
                  <wp:posOffset>443230</wp:posOffset>
                </wp:positionH>
                <wp:positionV relativeFrom="paragraph">
                  <wp:posOffset>3488690</wp:posOffset>
                </wp:positionV>
                <wp:extent cx="4542790" cy="1543050"/>
                <wp:effectExtent l="4445" t="4445" r="5715" b="14605"/>
                <wp:wrapNone/>
                <wp:docPr id="46" name="矩形 46"/>
                <wp:cNvGraphicFramePr/>
                <a:graphic xmlns:a="http://schemas.openxmlformats.org/drawingml/2006/main">
                  <a:graphicData uri="http://schemas.microsoft.com/office/word/2010/wordprocessingShape">
                    <wps:wsp>
                      <wps:cNvSpPr/>
                      <wps:spPr>
                        <a:xfrm>
                          <a:off x="0" y="0"/>
                          <a:ext cx="4542790" cy="1543050"/>
                        </a:xfrm>
                        <a:prstGeom prst="rect">
                          <a:avLst/>
                        </a:prstGeom>
                        <a:noFill/>
                        <a:ln w="6350"/>
                      </wps:spPr>
                      <wps:style>
                        <a:lnRef idx="2">
                          <a:schemeClr val="accent1">
                            <a:lumMod val="75000"/>
                          </a:schemeClr>
                        </a:lnRef>
                        <a:fillRef idx="1">
                          <a:schemeClr val="accent1"/>
                        </a:fillRef>
                        <a:effectRef idx="0">
                          <a:srgbClr val="FFFFFF"/>
                        </a:effectRef>
                        <a:fontRef idx="minor">
                          <a:schemeClr val="lt1"/>
                        </a:fontRef>
                      </wps:style>
                      <wps:txbx>
                        <w:txbxContent>
                          <w:p w14:paraId="498B059B">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施工生产区</w:t>
                            </w:r>
                          </w:p>
                          <w:p w14:paraId="2F322B95">
                            <w:pPr>
                              <w:pStyle w:val="2"/>
                              <w:rPr>
                                <w:rFonts w:hint="eastAsia"/>
                                <w:color w:val="000000" w:themeColor="text1"/>
                                <w:lang w:val="en-US" w:eastAsia="zh-CN"/>
                                <w14:textFill>
                                  <w14:solidFill>
                                    <w14:schemeClr w14:val="tx1"/>
                                  </w14:solidFill>
                                </w14:textFill>
                              </w:rPr>
                            </w:pPr>
                          </w:p>
                          <w:p w14:paraId="06A77CEE">
                            <w:pPr>
                              <w:pStyle w:val="2"/>
                              <w:rPr>
                                <w:rFonts w:hint="eastAsia"/>
                                <w:color w:val="000000" w:themeColor="text1"/>
                                <w:lang w:val="en-US" w:eastAsia="zh-CN"/>
                                <w14:textFill>
                                  <w14:solidFill>
                                    <w14:schemeClr w14:val="tx1"/>
                                  </w14:solidFill>
                                </w14:textFill>
                              </w:rPr>
                            </w:pPr>
                          </w:p>
                          <w:p w14:paraId="260A12B2">
                            <w:pPr>
                              <w:pStyle w:val="2"/>
                              <w:rPr>
                                <w:rFonts w:hint="eastAsia"/>
                                <w:color w:val="000000" w:themeColor="text1"/>
                                <w:lang w:val="en-US" w:eastAsia="zh-CN"/>
                                <w14:textFill>
                                  <w14:solidFill>
                                    <w14:schemeClr w14:val="tx1"/>
                                  </w14:solidFill>
                                </w14:textFill>
                              </w:rPr>
                            </w:pPr>
                          </w:p>
                          <w:p w14:paraId="4CDFB4D0">
                            <w:pPr>
                              <w:pStyle w:val="2"/>
                              <w:ind w:firstLine="3150" w:firstLineChars="150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拌和站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9pt;margin-top:274.7pt;height:121.5pt;width:357.7pt;z-index:251722752;v-text-anchor:middle;mso-width-relative:page;mso-height-relative:page;" filled="f" stroked="t" coordsize="21600,21600" o:gfxdata="UEsDBAoAAAAAAIdO4kAAAAAAAAAAAAAAAAAEAAAAZHJzL1BLAwQUAAAACACHTuJAF1SqdtwAAAAK&#10;AQAADwAAAGRycy9kb3ducmV2LnhtbE2PwU7DMBBE70j8g7VI3KiTkJYmxOmhgqqnopYI5ejGSxLV&#10;Xkex24a/x5zKbUc7mnlTrCaj2QVH11sSEM8iYEiNVT21AqrP96clMOclKaktoYAfdLAq7+8KmSt7&#10;pT1eDr5lIYRcLgV03g85567p0Eg3swNS+H3b0Ugf5NhyNcprCDeaJ1G04Eb2FBo6OeC6w+Z0OBsB&#10;H9VXku13b5uq1tvN+jmup1O9FeLxIY5egXmc/M0Mf/gBHcrAdLRnUo5pAYsskHsB8zRLgQXDy3Ke&#10;ADuGI0tS4GXB/08ofwFQSwMEFAAAAAgAh07iQL47XDh5AgAA4wQAAA4AAABkcnMvZTJvRG9jLnht&#10;bK1UzW4TMRC+I/EOlu90N+kmoVE3VdSoCKnQSgVxdrze7Er+w3ayKS+DxI2H4HEQr8Fn7zYNhUMP&#10;XHZnPONvZj5/9vnFXkmyE863Rpd0dJJTIjQ3Vas3Jf344erVa0p8YLpi0mhR0nvh6cXi5Yvzzs7F&#10;2DRGVsIRgGg/72xJmxDsPMs8b4Ri/sRYoRGsjVMswHWbrHKsA7qS2TjPp1lnXGWd4cJ7rK76IB0Q&#10;3XMATV23XKwM3yqhQ4/qhGQBI/mmtZ4uUrd1LXi4qWsvApElxaQhfVEE9jp+s8U5m28cs03LhxbY&#10;c1p4MpNirUbRA9SKBUa2rv0LSrXcGW/qcMKNyvpBEiOYYpQ/4eauYVakWUC1twfS/f+D5e93t460&#10;VUmLKSWaKZz4r6/ff/74RrAAdjrr50i6s7du8DzMOOq+dir+MQTZJ0bvD4yKfSAci8WkGM/OQDZH&#10;bDQpTvNJ4jx73G6dD2+EUSQaJXU4ssQk2137gJJIfUiJ1bS5aqVMxyY16Uo6PQUk4QxSrCEBmMpi&#10;HK83lDC5gcZ5cAnRG9lWcXfE8W6zvpSO7BiUcTqb5mfjlCS36p2p+uXZJM8f2h3yUz9/AMXmVsw3&#10;/ZYUiryhbanxi/z1jEUr7Nf7gca1qe5BvTO9Jr3lVy2grpkPt8xBhJgK1zTc4FNLg0nNYFHSGPfl&#10;X+sxH9pAlJIOogYNn7fMCUrkWw3VnI2KArAhOcVkNobjjiPr44jeqksDdkZ4ECxPZswP8sGsnVGf&#10;cJuXsSpCTHPU7gkfnMvQXza8B1wslykNyrcsXOs7yyN4f6rLbTB1mw48EtWzM/AH7SdCh3saL9ex&#10;n7Ie36b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dUqnbcAAAACgEAAA8AAAAAAAAAAQAgAAAA&#10;IgAAAGRycy9kb3ducmV2LnhtbFBLAQIUABQAAAAIAIdO4kC+O1w4eQIAAOMEAAAOAAAAAAAAAAEA&#10;IAAAACsBAABkcnMvZTJvRG9jLnhtbFBLBQYAAAAABgAGAFkBAAAWBgAAAAA=&#10;">
                <v:fill on="f" focussize="0,0"/>
                <v:stroke weight="0.5pt" color="#376092 [2404]" joinstyle="round"/>
                <v:imagedata o:title=""/>
                <o:lock v:ext="edit" aspectratio="f"/>
                <v:textbox>
                  <w:txbxContent>
                    <w:p w14:paraId="498B059B">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施工生产区</w:t>
                      </w:r>
                    </w:p>
                    <w:p w14:paraId="2F322B95">
                      <w:pPr>
                        <w:pStyle w:val="2"/>
                        <w:rPr>
                          <w:rFonts w:hint="eastAsia"/>
                          <w:color w:val="000000" w:themeColor="text1"/>
                          <w:lang w:val="en-US" w:eastAsia="zh-CN"/>
                          <w14:textFill>
                            <w14:solidFill>
                              <w14:schemeClr w14:val="tx1"/>
                            </w14:solidFill>
                          </w14:textFill>
                        </w:rPr>
                      </w:pPr>
                    </w:p>
                    <w:p w14:paraId="06A77CEE">
                      <w:pPr>
                        <w:pStyle w:val="2"/>
                        <w:rPr>
                          <w:rFonts w:hint="eastAsia"/>
                          <w:color w:val="000000" w:themeColor="text1"/>
                          <w:lang w:val="en-US" w:eastAsia="zh-CN"/>
                          <w14:textFill>
                            <w14:solidFill>
                              <w14:schemeClr w14:val="tx1"/>
                            </w14:solidFill>
                          </w14:textFill>
                        </w:rPr>
                      </w:pPr>
                    </w:p>
                    <w:p w14:paraId="260A12B2">
                      <w:pPr>
                        <w:pStyle w:val="2"/>
                        <w:rPr>
                          <w:rFonts w:hint="eastAsia"/>
                          <w:color w:val="000000" w:themeColor="text1"/>
                          <w:lang w:val="en-US" w:eastAsia="zh-CN"/>
                          <w14:textFill>
                            <w14:solidFill>
                              <w14:schemeClr w14:val="tx1"/>
                            </w14:solidFill>
                          </w14:textFill>
                        </w:rPr>
                      </w:pPr>
                    </w:p>
                    <w:p w14:paraId="4CDFB4D0">
                      <w:pPr>
                        <w:pStyle w:val="2"/>
                        <w:ind w:firstLine="3150" w:firstLineChars="150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拌和站</w:t>
                      </w:r>
                    </w:p>
                  </w:txbxContent>
                </v:textbox>
              </v:rect>
            </w:pict>
          </mc:Fallback>
        </mc:AlternateContent>
      </w:r>
      <w:r>
        <w:rPr>
          <w:sz w:val="24"/>
          <w:highlight w:val="none"/>
        </w:rPr>
        <mc:AlternateContent>
          <mc:Choice Requires="wps">
            <w:drawing>
              <wp:anchor distT="0" distB="0" distL="114300" distR="114300" simplePos="0" relativeHeight="251721728" behindDoc="0" locked="0" layoutInCell="1" allowOverlap="1">
                <wp:simplePos x="0" y="0"/>
                <wp:positionH relativeFrom="column">
                  <wp:posOffset>3062605</wp:posOffset>
                </wp:positionH>
                <wp:positionV relativeFrom="paragraph">
                  <wp:posOffset>250190</wp:posOffset>
                </wp:positionV>
                <wp:extent cx="2114550" cy="1732915"/>
                <wp:effectExtent l="4445" t="4445" r="14605" b="15240"/>
                <wp:wrapNone/>
                <wp:docPr id="45" name="矩形 45"/>
                <wp:cNvGraphicFramePr/>
                <a:graphic xmlns:a="http://schemas.openxmlformats.org/drawingml/2006/main">
                  <a:graphicData uri="http://schemas.microsoft.com/office/word/2010/wordprocessingShape">
                    <wps:wsp>
                      <wps:cNvSpPr/>
                      <wps:spPr>
                        <a:xfrm>
                          <a:off x="0" y="0"/>
                          <a:ext cx="2114550" cy="1732915"/>
                        </a:xfrm>
                        <a:prstGeom prst="rect">
                          <a:avLst/>
                        </a:prstGeom>
                        <a:noFill/>
                        <a:ln w="6350"/>
                      </wps:spPr>
                      <wps:style>
                        <a:lnRef idx="2">
                          <a:schemeClr val="accent1">
                            <a:lumMod val="75000"/>
                          </a:schemeClr>
                        </a:lnRef>
                        <a:fillRef idx="1">
                          <a:schemeClr val="accent1"/>
                        </a:fillRef>
                        <a:effectRef idx="0">
                          <a:srgbClr val="FFFFFF"/>
                        </a:effectRef>
                        <a:fontRef idx="minor">
                          <a:schemeClr val="lt1"/>
                        </a:fontRef>
                      </wps:style>
                      <wps:txbx>
                        <w:txbxContent>
                          <w:p w14:paraId="0F73B4D5">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15pt;margin-top:19.7pt;height:136.45pt;width:166.5pt;z-index:251721728;v-text-anchor:middle;mso-width-relative:page;mso-height-relative:page;" filled="f" stroked="t" coordsize="21600,21600" o:gfxdata="UEsDBAoAAAAAAIdO4kAAAAAAAAAAAAAAAAAEAAAAZHJzL1BLAwQUAAAACACHTuJAwJ4DhtkAAAAK&#10;AQAADwAAAGRycy9kb3ducmV2LnhtbE2PzU7DMBCE70i8g7VI3KjjpKA0xOmhgqonUEuEcnTjJYnq&#10;nyh22/D2LCc47syn2ZlyPVvDLjiFwTsJYpEAQ9d6PbhOQv3x+pADC1E5rYx3KOEbA6yr25tSFdpf&#10;3R4vh9gxCnGhUBL6GMeC89D2aFVY+BEdeV9+sirSOXVcT+pK4dbwNEmeuFWDow+9GnHTY3s6nK2E&#10;9/ozXe3fXrZ1Y3bbTSaa+dTspLy/E8kzsIhz/IPhtz5Vh4o6Hf3Z6cCMhGWeZoRKyFZLYATk4pGE&#10;IwmCHF6V/P+E6gdQSwMEFAAAAAgAh07iQCegR+F6AgAA4wQAAA4AAABkcnMvZTJvRG9jLnhtbK1U&#10;zW4TMRC+I/EOlu90d9OkoVE2VdSoCKnQSAVxdrze7Er+w3ayKS+DxI2H4HEQr8Fn77YNhUMPXHZn&#10;PONvZj5/9vzioCTZC+dbo0tanOSUCM1N1eptST9+uHr1mhIfmK6YNFqU9E54erF4+WLe2ZkYmcbI&#10;SjgCEO1nnS1pE4KdZZnnjVDMnxgrNIK1cYoFuG6bVY51QFcyG+X5WdYZV1lnuPAeq6s+SAdE9xxA&#10;U9ctFyvDd0ro0KM6IVnASL5praeL1G1dCx5u6tqLQGRJMWlIXxSBvYnfbDFns61jtmn50AJ7TgtP&#10;ZlKs1Sj6ALVigZGda/+CUi13xps6nHCjsn6QxAimKPIn3Nw2zIo0C6j29oF0//9g+fv92pG2Kul4&#10;QolmCif+6+v3nz++ESyAnc76GZJu7doNnocZRz3UTsU/hiCHxOjdA6PiEAjH4qgoxpMJyOaIFdPT&#10;0XmRULPH7db58EYYRaJRUocjS0yy/bUPKInU+5RYTZurVsp0bFKTrqRnpwmfQYo1JIBSymIcr7eU&#10;MLmFxnlwCdEb2VZxd8Txbru5lI7sGZRxOj3Lz0cpSe7UO1P1y9NJnieJoIchP/XzB1BsbsV8029J&#10;ocgbtkiNX+SvZyxa4bA5DDRuTHUH6p3pNektv2oBdc18WDMHEYI1XNNwg08tDSY1g0VJY9yXf63H&#10;fGgDUUo6iBo0fN4xJyiRbzVUc16Mx/EWJGc8mY7guOPI5jiid+rSgJ0CD4LlyYz5Qd6btTPqE27z&#10;MlZFiGmO2j3hg3MZ+suG94CL5TKlQfmWhWt9a3kE7091uQumbtOBR6J6dgb+oP1E6HBP4+U69lPW&#10;49u0+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AngOG2QAAAAoBAAAPAAAAAAAAAAEAIAAAACIA&#10;AABkcnMvZG93bnJldi54bWxQSwECFAAUAAAACACHTuJAJ6BH4XoCAADjBAAADgAAAAAAAAABACAA&#10;AAAoAQAAZHJzL2Uyb0RvYy54bWxQSwUGAAAAAAYABgBZAQAAFAYAAAAA&#10;">
                <v:fill on="f" focussize="0,0"/>
                <v:stroke weight="0.5pt" color="#376092 [2404]" joinstyle="round"/>
                <v:imagedata o:title=""/>
                <o:lock v:ext="edit" aspectratio="f"/>
                <v:textbox>
                  <w:txbxContent>
                    <w:p w14:paraId="0F73B4D5">
                      <w:pPr>
                        <w:jc w:val="center"/>
                        <w:rPr>
                          <w:rFonts w:hint="default" w:eastAsia="宋体"/>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仓库</w:t>
                      </w:r>
                    </w:p>
                  </w:txbxContent>
                </v:textbox>
              </v:rect>
            </w:pict>
          </mc:Fallback>
        </mc:AlternateContent>
      </w:r>
      <w:r>
        <w:rPr>
          <w:sz w:val="24"/>
          <w:highlight w:val="none"/>
        </w:rPr>
        <mc:AlternateContent>
          <mc:Choice Requires="wps">
            <w:drawing>
              <wp:anchor distT="0" distB="0" distL="114300" distR="114300" simplePos="0" relativeHeight="251720704" behindDoc="0" locked="0" layoutInCell="1" allowOverlap="1">
                <wp:simplePos x="0" y="0"/>
                <wp:positionH relativeFrom="column">
                  <wp:posOffset>681355</wp:posOffset>
                </wp:positionH>
                <wp:positionV relativeFrom="paragraph">
                  <wp:posOffset>859790</wp:posOffset>
                </wp:positionV>
                <wp:extent cx="1580515" cy="466725"/>
                <wp:effectExtent l="0" t="0" r="0" b="0"/>
                <wp:wrapNone/>
                <wp:docPr id="44" name="矩形 44"/>
                <wp:cNvGraphicFramePr/>
                <a:graphic xmlns:a="http://schemas.openxmlformats.org/drawingml/2006/main">
                  <a:graphicData uri="http://schemas.microsoft.com/office/word/2010/wordprocessingShape">
                    <wps:wsp>
                      <wps:cNvSpPr/>
                      <wps:spPr>
                        <a:xfrm>
                          <a:off x="0" y="0"/>
                          <a:ext cx="1580515" cy="466725"/>
                        </a:xfrm>
                        <a:prstGeom prst="rect">
                          <a:avLst/>
                        </a:prstGeom>
                        <a:noFill/>
                        <a:ln w="6350">
                          <a:noFill/>
                        </a:ln>
                      </wps:spPr>
                      <wps:style>
                        <a:lnRef idx="2">
                          <a:schemeClr val="accent1">
                            <a:lumMod val="75000"/>
                          </a:schemeClr>
                        </a:lnRef>
                        <a:fillRef idx="1">
                          <a:schemeClr val="accent1"/>
                        </a:fillRef>
                        <a:effectRef idx="0">
                          <a:srgbClr val="FFFFFF"/>
                        </a:effectRef>
                        <a:fontRef idx="minor">
                          <a:schemeClr val="lt1"/>
                        </a:fontRef>
                      </wps:style>
                      <wps:txbx>
                        <w:txbxContent>
                          <w:p w14:paraId="099F37F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生活区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65pt;margin-top:67.7pt;height:36.75pt;width:124.45pt;z-index:251720704;v-text-anchor:middle;mso-width-relative:page;mso-height-relative:page;" filled="f" stroked="f" coordsize="21600,21600" o:gfxdata="UEsDBAoAAAAAAIdO4kAAAAAAAAAAAAAAAAAEAAAAZHJzL1BLAwQUAAAACACHTuJA1PFJE9sAAAAL&#10;AQAADwAAAGRycy9kb3ducmV2LnhtbE2Py07DMBBF90j8gzVI7KidhJYS4lRqBWKFIKUCsXPjIbaI&#10;7RC7r79nWMFurubozplqcXQ92+MYbfASsokAhr4N2vpOwub14WoOLCblteqDRwknjLCoz88qVepw&#10;8A3u16ljVOJjqSSYlIaS89gadCpOwoCedp9hdCpRHDuuR3WgctfzXIgZd8p6umDUgCuD7dd65yQ8&#10;bV6W2jbP5vT9uLp/y94Hu2w+pLy8yMQdsITH9AfDrz6pQ01O27DzOrKesrgpCKWhmF4DI6KYznJg&#10;Wwm5mN8Cryv+/4f6B1BLAwQUAAAACACHTuJAk43R61MCAACXBAAADgAAAGRycy9lMm9Eb2MueG1s&#10;rVTNbhMxEL4j8Q6W73STkKQl6qaKGhUhVVCpIM6O185a8h+2k015GSRuPASPg3gNPnu3bVQ49MDF&#10;mfHMfp7vm5mcXxyMJnsRonK2puOTESXCctcou63pp49Xr84oiYnZhmlnRU3vRKQXy5cvzju/EBPX&#10;Ot2IQABi46LzNW1T8ouqirwVhsUT54VFULpgWIIbtlUTWAd0o6vJaDSvOhcaHxwXMeJ23QfpgBie&#10;A+ikVFysHd8ZYVOPGoRmCZRiq3yky1KtlIKnD1JGkYiuKZimcuIR2Jt8VstzttgG5lvFhxLYc0p4&#10;wskwZfHoA9SaJUZ2Qf0FZRQPLjqZTrgzVU+kKAIW49ETbW5b5kXhAqmjfxA9/j9Y/n5/E4hqajqd&#10;UmKZQcd/f/vx6+d3gguo0/m4QNKtvwmDF2FmqgcZTP4FCXIoit49KCoOiXBcjmdno9l4RglHbDqf&#10;n05mGbR6/NqHmN4KZ0g2ahrQsSIk21/H1Kfep+THrLtSWuOeLbQlXU3nr2foJWeYRIkJgGk82ES7&#10;pYTpLUacp1AQjz7NiGsWW7JnmIvotGqGsrRFdZlzzzJb6bA5DNQ3rrmDXMH1cxQ9v1KAumYx3bCA&#10;wUEpWK30AYfUDuW5waKkdeHrv+5zPvqJKCUdBhH1fNmxICjR7yw6/WY8nebJLc50djqBE44jm+OI&#10;3ZlLB05jLLHnxcz5Sd+bMjjzGRu4yq8ixCzH271Kg3OZ+gXBDnOxWpU0TKtn6dreep7B+1asdslJ&#10;VbqUherVGfTDvJY+D7uVF+LYL1mP/yf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TxSRPbAAAA&#10;CwEAAA8AAAAAAAAAAQAgAAAAIgAAAGRycy9kb3ducmV2LnhtbFBLAQIUABQAAAAIAIdO4kCTjdHr&#10;UwIAAJcEAAAOAAAAAAAAAAEAIAAAACoBAABkcnMvZTJvRG9jLnhtbFBLBQYAAAAABgAGAFkBAADv&#10;BQAAAAA=&#10;">
                <v:fill on="f" focussize="0,0"/>
                <v:stroke on="f" weight="0.5pt"/>
                <v:imagedata o:title=""/>
                <o:lock v:ext="edit" aspectratio="f"/>
                <v:textbox>
                  <w:txbxContent>
                    <w:p w14:paraId="099F37F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生活区</w:t>
                      </w:r>
                    </w:p>
                  </w:txbxContent>
                </v:textbox>
              </v:rect>
            </w:pict>
          </mc:Fallback>
        </mc:AlternateContent>
      </w:r>
      <w:r>
        <w:rPr>
          <w:sz w:val="24"/>
          <w:highlight w:val="none"/>
        </w:rPr>
        <mc:AlternateContent>
          <mc:Choice Requires="wps">
            <w:drawing>
              <wp:anchor distT="0" distB="0" distL="114300" distR="114300" simplePos="0" relativeHeight="251719680" behindDoc="0" locked="0" layoutInCell="1" allowOverlap="1">
                <wp:simplePos x="0" y="0"/>
                <wp:positionH relativeFrom="column">
                  <wp:posOffset>157480</wp:posOffset>
                </wp:positionH>
                <wp:positionV relativeFrom="paragraph">
                  <wp:posOffset>1326515</wp:posOffset>
                </wp:positionV>
                <wp:extent cx="2399665" cy="466725"/>
                <wp:effectExtent l="4445" t="5080" r="15240" b="4445"/>
                <wp:wrapNone/>
                <wp:docPr id="43" name="矩形 43"/>
                <wp:cNvGraphicFramePr/>
                <a:graphic xmlns:a="http://schemas.openxmlformats.org/drawingml/2006/main">
                  <a:graphicData uri="http://schemas.microsoft.com/office/word/2010/wordprocessingShape">
                    <wps:wsp>
                      <wps:cNvSpPr/>
                      <wps:spPr>
                        <a:xfrm>
                          <a:off x="0" y="0"/>
                          <a:ext cx="2399665" cy="466725"/>
                        </a:xfrm>
                        <a:prstGeom prst="rect">
                          <a:avLst/>
                        </a:prstGeom>
                        <a:noFill/>
                        <a:ln w="6350"/>
                      </wps:spPr>
                      <wps:style>
                        <a:lnRef idx="2">
                          <a:schemeClr val="accent1">
                            <a:lumMod val="75000"/>
                          </a:schemeClr>
                        </a:lnRef>
                        <a:fillRef idx="1">
                          <a:schemeClr val="accent1"/>
                        </a:fillRef>
                        <a:effectRef idx="0">
                          <a:srgbClr val="FFFFFF"/>
                        </a:effectRef>
                        <a:fontRef idx="minor">
                          <a:schemeClr val="lt1"/>
                        </a:fontRef>
                      </wps:style>
                      <wps:txbx>
                        <w:txbxContent>
                          <w:p w14:paraId="1E67DC5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办公室及休息室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4pt;margin-top:104.45pt;height:36.75pt;width:188.95pt;z-index:251719680;v-text-anchor:middle;mso-width-relative:page;mso-height-relative:page;" filled="f" stroked="t" coordsize="21600,21600" o:gfxdata="UEsDBAoAAAAAAIdO4kAAAAAAAAAAAAAAAAAEAAAAZHJzL1BLAwQUAAAACACHTuJACwlHxNoAAAAK&#10;AQAADwAAAGRycy9kb3ducmV2LnhtbE2PwU7DMBBE70j8g7VI3KgdE0Ea4vRQQdUTqCVCObrxkkSN&#10;7Sh22/D3LCd6Wu3saOZtsZrtwM44hd47BclCAEPXeNO7VkH1+faQAQtRO6MH71DBDwZYlbc3hc6N&#10;v7gdnvexZRTiQq4VdDGOOeeh6dDqsPAjOrp9+8nqSOvUcjPpC4XbgUshnrjVvaOGTo+47rA57k9W&#10;wUf1JZe799dNVQ/bzfoxqedjvVXq/i4RL8AizvHfDH/4hA4lMR38yZnABgUyJfJIU2RLYGRIhXwG&#10;diAlkynwsuDXL5S/UEsDBBQAAAAIAIdO4kBWTH7peQIAAOIEAAAOAAAAZHJzL2Uyb0RvYy54bWyt&#10;VMtuEzEU3SPxD5b3dCavCYk6qaJGRUiFViqIteOxM5ZsX2M7mZSfQWLHR/A5iN/g2jN9UFh0wWbm&#10;vnzsc3yvT8+ORpOD8EGBrenopKREWA6Nsruafvxw8eo1JSEy2zANVtT0VgR6tnr54rRzSzGGFnQj&#10;PEEQG5adq2kbo1sWReCtMCycgBMWkxK8YRFdvysazzpEN7oYl2VVdOAb54GLEDC66ZN0QPTPAQQp&#10;FRcb4HsjbOxRvdAsIqXQKhfoKp9WSsHjlZRBRKJrikxj/uImaG/Tt1idsuXOM9cqPhyBPecITzgZ&#10;pixueg+1YZGRvVd/QRnFPQSQ8YSDKXoiWRFkMSqfaHPTMicyF5Q6uHvRw/+D5e8P156opqbTCSWW&#10;GbzxX1+///zxjWAA1elcWGLRjbv2gxfQTFSP0pv0RxLkmBW9vVdUHCPhGBxPFouqmlHCMTetqvl4&#10;lkCLh9XOh/hGgCHJqKnHG8tCssNliH3pXUnazMKF0hrjbKkt6WpaTWZ4l5xhJ0rsADSNQzbB7ihh&#10;eoctzqPPiAG0atLqtDj43fZce3Jg2BiTeVUuxrlI7807aPrwfFaWuUPwuEN9PvofQOlwGxbafklO&#10;DQy1xeokXy9YsuJxexxU3EJzi8p76FsyOH6hEOqShXjNPPYgssIpjVf4kRqQKQwWJS34L/+Kp3ps&#10;DcxS0mFPowyf98wLSvRbi02zGE2naQiyM53Nx+j4x5nt44zdm3NAdUb4HjiezVQf9Z0pPZhPOMzr&#10;tCummOW4dy/44JzHftbwOeBivc5l2PiOxUt743gC7291vY8gVb7wJFSvzqAftn7WfRjTNFuP/Vz1&#10;8DSt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LCUfE2gAAAAoBAAAPAAAAAAAAAAEAIAAAACIA&#10;AABkcnMvZG93bnJldi54bWxQSwECFAAUAAAACACHTuJAVkx+6XkCAADiBAAADgAAAAAAAAABACAA&#10;AAApAQAAZHJzL2Uyb0RvYy54bWxQSwUGAAAAAAYABgBZAQAAFAYAAAAA&#10;">
                <v:fill on="f" focussize="0,0"/>
                <v:stroke weight="0.5pt" color="#376092 [2404]" joinstyle="round"/>
                <v:imagedata o:title=""/>
                <o:lock v:ext="edit" aspectratio="f"/>
                <v:textbox>
                  <w:txbxContent>
                    <w:p w14:paraId="1E67DC5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办公室及休息室</w:t>
                      </w:r>
                    </w:p>
                  </w:txbxContent>
                </v:textbox>
              </v:rect>
            </w:pict>
          </mc:Fallback>
        </mc:AlternateContent>
      </w:r>
      <w:r>
        <w:rPr>
          <w:sz w:val="24"/>
          <w:highlight w:val="none"/>
        </w:rPr>
        <mc:AlternateContent>
          <mc:Choice Requires="wps">
            <w:drawing>
              <wp:anchor distT="0" distB="0" distL="114300" distR="114300" simplePos="0" relativeHeight="251718656" behindDoc="0" locked="0" layoutInCell="1" allowOverlap="1">
                <wp:simplePos x="0" y="0"/>
                <wp:positionH relativeFrom="column">
                  <wp:posOffset>128905</wp:posOffset>
                </wp:positionH>
                <wp:positionV relativeFrom="paragraph">
                  <wp:posOffset>297815</wp:posOffset>
                </wp:positionV>
                <wp:extent cx="1247775" cy="457200"/>
                <wp:effectExtent l="4445" t="4445" r="5080" b="14605"/>
                <wp:wrapNone/>
                <wp:docPr id="42" name="矩形 42"/>
                <wp:cNvGraphicFramePr/>
                <a:graphic xmlns:a="http://schemas.openxmlformats.org/drawingml/2006/main">
                  <a:graphicData uri="http://schemas.microsoft.com/office/word/2010/wordprocessingShape">
                    <wps:wsp>
                      <wps:cNvSpPr/>
                      <wps:spPr>
                        <a:xfrm>
                          <a:off x="1271905" y="1212215"/>
                          <a:ext cx="1247775" cy="457200"/>
                        </a:xfrm>
                        <a:prstGeom prst="rect">
                          <a:avLst/>
                        </a:prstGeom>
                        <a:noFill/>
                        <a:ln w="6350"/>
                      </wps:spPr>
                      <wps:style>
                        <a:lnRef idx="2">
                          <a:schemeClr val="accent1">
                            <a:lumMod val="75000"/>
                          </a:schemeClr>
                        </a:lnRef>
                        <a:fillRef idx="1">
                          <a:schemeClr val="accent1"/>
                        </a:fillRef>
                        <a:effectRef idx="0">
                          <a:srgbClr val="FFFFFF"/>
                        </a:effectRef>
                        <a:fontRef idx="minor">
                          <a:schemeClr val="lt1"/>
                        </a:fontRef>
                      </wps:style>
                      <wps:txbx>
                        <w:txbxContent>
                          <w:p w14:paraId="3EFDB68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防渗旱厕</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5pt;margin-top:23.45pt;height:36pt;width:98.25pt;z-index:251718656;v-text-anchor:middle;mso-width-relative:page;mso-height-relative:page;" filled="f" stroked="t" coordsize="21600,21600" o:gfxdata="UEsDBAoAAAAAAIdO4kAAAAAAAAAAAAAAAAAEAAAAZHJzL1BLAwQUAAAACACHTuJAr7t9ytkAAAAJ&#10;AQAADwAAAGRycy9kb3ducmV2LnhtbE2Py07DMBBF90j8gzVI7KjjFEVNiNNFBVVXoJYIZenGQxLV&#10;jyh22/D3DCu6HN2jO+eW69kadsEpDN5JEIsEGLrW68F1EurPt6cVsBCV08p4hxJ+MMC6ur8rVaH9&#10;1e3xcogdoxIXCiWhj3EsOA9tj1aFhR/RUfbtJ6sinVPH9aSuVG4NT5Mk41YNjj70asRNj+3pcLYS&#10;PuqvNN+/v27rxuy2m6Vo5lOzk/LxQSQvwCLO8R+GP31Sh4qcjv7sdGBGQposiZTwnOXAKE9FRlOO&#10;BIpVDrwq+e2C6hdQSwMEFAAAAAgAh07iQBMJ0I1/AgAA7gQAAA4AAABkcnMvZTJvRG9jLnhtbK1U&#10;zW4TMRC+I/EOlu90f5p0aZRNFTUqQio0UkGcHa83u5L/GDvZlJdB4sZD8DiI12Bsb9tQOPTAZXfs&#10;+fx55psZzy8OSpK9ANcbXdPiJKdEaG6aXm9r+vHD1avXlDjPdMOk0aKmd8LRi8XLF/PBzkRpOiMb&#10;AQRJtJsNtqad93aWZY53QjF3YqzQ6GwNKOZxCdusATYgu5JZmedn2WCgsWC4cA53V8lJR0Z4DqFp&#10;256LleE7JbRPrCAk85iS63rr6CJG27aC+5u2dcITWVPM1McvXoL2JnyzxZzNtsBs1/MxBPacEJ7k&#10;pFiv8dIHqhXzjOyg/4tK9RyMM60/4UZlKZGoCGZR5E+0ue2YFTEXlNrZB9Hd/6Pl7/drIH1T00lJ&#10;iWYKK/7r6/efP74R3EB1ButmCLq1axhXDs2Q6qEFFf6YBDlgJ5VVcZ5PKbkLdlGWxTSpKw6e8AiY&#10;VFWFAI6IybTCZgiA7JHJgvNvhFEkGDUFrF4Ule2vnU/Qe0i4WJurXkrcZzOpyVDTs9Mp1pUz7MoW&#10;uwFNZTEzp7eUMLnFduceIqMzsm/C6XDYwXZzKYHsGTbJaXWWn5cRJHfqnWnSdjXNH8Id8TH0P4hC&#10;cCvmunQkusYMpUZ0kDKJFyx/2BxGRTemucMqgEnt6Sy/6pHqmjm/ZoD9iFnhxPob/LTSYKZmtCjp&#10;DHz5137AY5ugl5IB+xtl+LxjICiRbzU20HkxmYSBiItYDUrg2LM59uidujSoToFvg+XRxMPg5b3Z&#10;glGfcLCX4VZ0Mc3x7iT4uLj0ae7waeBiuYwwHALL/LW+tTyQp6oud960fSx4ECqpM+qHYxB1H0c2&#10;zNnxOqIen6n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7fcrZAAAACQEAAA8AAAAAAAAAAQAg&#10;AAAAIgAAAGRycy9kb3ducmV2LnhtbFBLAQIUABQAAAAIAIdO4kATCdCNfwIAAO4EAAAOAAAAAAAA&#10;AAEAIAAAACgBAABkcnMvZTJvRG9jLnhtbFBLBQYAAAAABgAGAFkBAAAZBgAAAAA=&#10;">
                <v:fill on="f" focussize="0,0"/>
                <v:stroke weight="0.5pt" color="#376092 [2404]" joinstyle="round"/>
                <v:imagedata o:title=""/>
                <o:lock v:ext="edit" aspectratio="f"/>
                <v:textbox>
                  <w:txbxContent>
                    <w:p w14:paraId="3EFDB68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防渗旱厕</w:t>
                      </w:r>
                    </w:p>
                  </w:txbxContent>
                </v:textbox>
              </v:rect>
            </w:pict>
          </mc:Fallback>
        </mc:AlternateContent>
      </w:r>
      <w:r>
        <w:rPr>
          <w:sz w:val="24"/>
          <w:highlight w:val="none"/>
        </w:rPr>
        <mc:AlternateContent>
          <mc:Choice Requires="wps">
            <w:drawing>
              <wp:anchor distT="0" distB="0" distL="114300" distR="114300" simplePos="0" relativeHeight="251717632" behindDoc="0" locked="0" layoutInCell="1" allowOverlap="1">
                <wp:simplePos x="0" y="0"/>
                <wp:positionH relativeFrom="column">
                  <wp:posOffset>62230</wp:posOffset>
                </wp:positionH>
                <wp:positionV relativeFrom="paragraph">
                  <wp:posOffset>231140</wp:posOffset>
                </wp:positionV>
                <wp:extent cx="5295900" cy="4991100"/>
                <wp:effectExtent l="4445" t="4445" r="14605" b="14605"/>
                <wp:wrapNone/>
                <wp:docPr id="41" name="矩形 41"/>
                <wp:cNvGraphicFramePr/>
                <a:graphic xmlns:a="http://schemas.openxmlformats.org/drawingml/2006/main">
                  <a:graphicData uri="http://schemas.microsoft.com/office/word/2010/wordprocessingShape">
                    <wps:wsp>
                      <wps:cNvSpPr/>
                      <wps:spPr>
                        <a:xfrm>
                          <a:off x="1205230" y="1145540"/>
                          <a:ext cx="5295900" cy="4991100"/>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pt;margin-top:18.2pt;height:393pt;width:417pt;z-index:251717632;v-text-anchor:middle;mso-width-relative:page;mso-height-relative:page;" filled="f" stroked="t" coordsize="21600,21600" o:gfxdata="UEsDBAoAAAAAAIdO4kAAAAAAAAAAAAAAAAAEAAAAZHJzL1BLAwQUAAAACACHTuJAIe4/udcAAAAI&#10;AQAADwAAAGRycy9kb3ducmV2LnhtbE2PzU7DQAyE70i8w8pI3OimadSfkE2lVqLiVKktD+BmTRKR&#10;9UbZTX94eswJbh6PNfO5WN9cpy40hNazgekkAUVcedtybeDj9PayBBUissXOMxm4U4B1+fhQYG79&#10;lQ90OcZaSQiHHA00Mfa51qFqyGGY+J5YvE8/OIwih1rbAa8S7jqdJslcO2xZGhrsadtQ9XUcnQG3&#10;/27taVzQPr773cJuVu6QWmOen6bJK6hIt/h3DL/4gg6lMJ39yDaozsBKwKOB2TwDJfYym8niLEOa&#10;ZqDLQv9/oPwBUEsDBBQAAAAIAIdO4kCVmmETZwIAAMIEAAAOAAAAZHJzL2Uyb0RvYy54bWytVM1u&#10;EzEQviPxDpbvdLNptpComypqVIRU0UoFcXa8dnYl/2E72ZSXQeLGQ/A4iNfgs3f7Q+HQAzk4M57P&#10;n2c+z+zp2UErshc+dNbUtDyaUCIMt01ntjX9+OHi1RtKQmSmYcoaUdNbEejZ8uWL094txNS2VjXC&#10;E5CYsOhdTdsY3aIoAm+FZuHIOmEQlNZrFuH6bdF41oNdq2I6mZwUvfWN85aLELC7HoJ0ZPTPIbRS&#10;dlysLd9pYeLA6oViESWFtnOBLnO2Ugoer6QMIhJVU1Qa84pLYG/SWixP2WLrmWs7PqbAnpPCk5o0&#10;6wwuvadas8jIznd/UemOexusjEfc6mIoJCuCKsrJE21uWuZErgVSB3cvevh/tPz9/tqTrqnprKTE&#10;MI0X//X1+88f3wg2oE7vwgKgG3ftRy/ATKUepNfpH0WQAzppOqmmx9D1FnY5q6rZqK44RMIBqKbz&#10;aj4BgAMxm8/LEg44iwcq50N8K6wmyaipx/NlVdn+MsQBegdJNxt70SmFfbZQhvQ1PTmuEj9DW0q0&#10;A0ztUFowW0qY2qLfefSZMVjVNel0Ohz8dnOuPNmz1CX5Nyb2ByxdvWahHXA5NMKUQRlJqUGbZG1s&#10;cwtlvR1aLjh+0eH8JQvxmnn0GBLFFMYrLFJZJG9Hi5LW+i//2k94PD2ilPToWVT2ece8oES9M2iK&#10;eTmD6CRmZ1a9nsLxjyObxxGz0+cWBePdkV02Ez6qO1N6qz9hWFfpVoSY4bh70HB0zuMwSxh3Llar&#10;DENjOxYvzY3jiXx4qNUuWtnlN3xQZxQNrZ27YBzDNDuP/Yx6+PQs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h7j+51wAAAAgBAAAPAAAAAAAAAAEAIAAAACIAAABkcnMvZG93bnJldi54bWxQSwEC&#10;FAAUAAAACACHTuJAlZphE2cCAADCBAAADgAAAAAAAAABACAAAAAmAQAAZHJzL2Uyb0RvYy54bWxQ&#10;SwUGAAAAAAYABgBZAQAA/wUAAAAA&#10;">
                <v:fill on="f" focussize="0,0"/>
                <v:stroke weight="0.5pt" color="#000000 [3213]" joinstyle="round"/>
                <v:imagedata o:title=""/>
                <o:lock v:ext="edit" aspectratio="f"/>
              </v:rect>
            </w:pict>
          </mc:Fallback>
        </mc:AlternateContent>
      </w:r>
    </w:p>
    <w:p w14:paraId="716FABE3">
      <w:pPr>
        <w:bidi w:val="0"/>
        <w:rPr>
          <w:rFonts w:hint="default"/>
          <w:highlight w:val="none"/>
        </w:rPr>
      </w:pPr>
      <w:bookmarkStart w:id="69" w:name="_Toc3711"/>
    </w:p>
    <w:p w14:paraId="2DB7B00E">
      <w:pPr>
        <w:bidi w:val="0"/>
        <w:rPr>
          <w:rFonts w:hint="default"/>
          <w:highlight w:val="none"/>
        </w:rPr>
      </w:pPr>
    </w:p>
    <w:p w14:paraId="65497F56">
      <w:pPr>
        <w:bidi w:val="0"/>
        <w:rPr>
          <w:rFonts w:hint="default"/>
          <w:highlight w:val="none"/>
        </w:rPr>
      </w:pPr>
    </w:p>
    <w:p w14:paraId="2FABD564">
      <w:pPr>
        <w:bidi w:val="0"/>
        <w:rPr>
          <w:rFonts w:hint="default"/>
          <w:highlight w:val="none"/>
        </w:rPr>
      </w:pPr>
    </w:p>
    <w:p w14:paraId="124C97B2">
      <w:pPr>
        <w:bidi w:val="0"/>
        <w:rPr>
          <w:rFonts w:hint="default"/>
          <w:highlight w:val="none"/>
        </w:rPr>
      </w:pPr>
    </w:p>
    <w:p w14:paraId="76732035">
      <w:pPr>
        <w:bidi w:val="0"/>
        <w:rPr>
          <w:rFonts w:hint="default"/>
          <w:highlight w:val="none"/>
        </w:rPr>
      </w:pPr>
    </w:p>
    <w:p w14:paraId="04AC8DE0">
      <w:pPr>
        <w:bidi w:val="0"/>
        <w:rPr>
          <w:rFonts w:hint="default"/>
          <w:highlight w:val="none"/>
        </w:rPr>
      </w:pPr>
    </w:p>
    <w:p w14:paraId="1DC8C602">
      <w:pPr>
        <w:bidi w:val="0"/>
        <w:rPr>
          <w:rFonts w:hint="default"/>
          <w:highlight w:val="none"/>
        </w:rPr>
      </w:pPr>
    </w:p>
    <w:p w14:paraId="76BB8FF5">
      <w:pPr>
        <w:bidi w:val="0"/>
        <w:rPr>
          <w:rFonts w:hint="default"/>
          <w:highlight w:val="none"/>
        </w:rPr>
      </w:pPr>
    </w:p>
    <w:p w14:paraId="0FEEEBB6">
      <w:pPr>
        <w:bidi w:val="0"/>
        <w:rPr>
          <w:rFonts w:hint="default"/>
          <w:highlight w:val="none"/>
        </w:rPr>
      </w:pPr>
    </w:p>
    <w:p w14:paraId="5280A1EF">
      <w:pPr>
        <w:bidi w:val="0"/>
        <w:rPr>
          <w:rFonts w:hint="default"/>
          <w:highlight w:val="none"/>
        </w:rPr>
      </w:pPr>
    </w:p>
    <w:p w14:paraId="4D5822F2">
      <w:pPr>
        <w:bidi w:val="0"/>
        <w:rPr>
          <w:rFonts w:hint="default"/>
          <w:highlight w:val="none"/>
        </w:rPr>
      </w:pPr>
    </w:p>
    <w:p w14:paraId="231D2E54">
      <w:pPr>
        <w:bidi w:val="0"/>
        <w:rPr>
          <w:rFonts w:hint="default"/>
          <w:highlight w:val="none"/>
        </w:rPr>
      </w:pPr>
    </w:p>
    <w:p w14:paraId="10C37987">
      <w:pPr>
        <w:bidi w:val="0"/>
        <w:rPr>
          <w:rFonts w:hint="default"/>
          <w:highlight w:val="none"/>
        </w:rPr>
      </w:pPr>
    </w:p>
    <w:p w14:paraId="02534265">
      <w:pPr>
        <w:bidi w:val="0"/>
        <w:rPr>
          <w:rFonts w:hint="default"/>
          <w:highlight w:val="none"/>
        </w:rPr>
      </w:pPr>
    </w:p>
    <w:p w14:paraId="75DAE928">
      <w:pPr>
        <w:bidi w:val="0"/>
        <w:rPr>
          <w:rFonts w:hint="default"/>
          <w:highlight w:val="none"/>
        </w:rPr>
      </w:pPr>
    </w:p>
    <w:p w14:paraId="74AE1133">
      <w:pPr>
        <w:bidi w:val="0"/>
        <w:rPr>
          <w:rFonts w:hint="default"/>
          <w:highlight w:val="none"/>
        </w:rPr>
      </w:pPr>
    </w:p>
    <w:p w14:paraId="3C9E5C1A">
      <w:pPr>
        <w:bidi w:val="0"/>
        <w:rPr>
          <w:rFonts w:hint="default"/>
          <w:highlight w:val="none"/>
        </w:rPr>
      </w:pPr>
    </w:p>
    <w:p w14:paraId="6D35B55F">
      <w:pPr>
        <w:bidi w:val="0"/>
        <w:rPr>
          <w:rFonts w:hint="default"/>
          <w:highlight w:val="none"/>
        </w:rPr>
      </w:pPr>
    </w:p>
    <w:p w14:paraId="0B1E17AB">
      <w:pPr>
        <w:pStyle w:val="2"/>
        <w:rPr>
          <w:rFonts w:hint="default"/>
          <w:highlight w:val="none"/>
        </w:rPr>
      </w:pPr>
    </w:p>
    <w:p w14:paraId="32218FCA">
      <w:pPr>
        <w:pStyle w:val="2"/>
        <w:rPr>
          <w:rFonts w:hint="default"/>
          <w:highlight w:val="none"/>
        </w:rPr>
      </w:pPr>
    </w:p>
    <w:p w14:paraId="0215DB3E">
      <w:pPr>
        <w:pStyle w:val="2"/>
        <w:rPr>
          <w:rFonts w:hint="default"/>
          <w:highlight w:val="none"/>
        </w:rPr>
      </w:pPr>
    </w:p>
    <w:p w14:paraId="32D4AC00">
      <w:pPr>
        <w:pStyle w:val="2"/>
        <w:rPr>
          <w:rFonts w:hint="default"/>
          <w:highlight w:val="none"/>
        </w:rPr>
      </w:pPr>
    </w:p>
    <w:p w14:paraId="028657D6">
      <w:pPr>
        <w:pStyle w:val="2"/>
        <w:rPr>
          <w:rFonts w:hint="default"/>
          <w:highlight w:val="none"/>
        </w:rPr>
      </w:pPr>
    </w:p>
    <w:p w14:paraId="59AB0B37">
      <w:pPr>
        <w:bidi w:val="0"/>
        <w:rPr>
          <w:rFonts w:hint="default"/>
          <w:highlight w:val="none"/>
        </w:rPr>
      </w:pPr>
    </w:p>
    <w:p w14:paraId="30B36074">
      <w:pPr>
        <w:bidi w:val="0"/>
        <w:rPr>
          <w:rFonts w:hint="default"/>
          <w:highlight w:val="none"/>
        </w:rPr>
      </w:pPr>
    </w:p>
    <w:p w14:paraId="0DA692EE">
      <w:pPr>
        <w:bidi w:val="0"/>
        <w:rPr>
          <w:rFonts w:hint="default"/>
          <w:highlight w:val="none"/>
        </w:rPr>
      </w:pPr>
    </w:p>
    <w:p w14:paraId="3411586B">
      <w:pPr>
        <w:bidi w:val="0"/>
        <w:rPr>
          <w:rFonts w:hint="default"/>
          <w:highlight w:val="none"/>
        </w:rPr>
      </w:pPr>
    </w:p>
    <w:p w14:paraId="4933230D">
      <w:pPr>
        <w:bidi w:val="0"/>
        <w:rPr>
          <w:rFonts w:hint="default"/>
          <w:highlight w:val="none"/>
        </w:rPr>
      </w:pPr>
    </w:p>
    <w:p w14:paraId="297C9575">
      <w:pPr>
        <w:bidi w:val="0"/>
        <w:rPr>
          <w:rFonts w:hint="default"/>
          <w:highlight w:val="none"/>
        </w:rPr>
      </w:pPr>
    </w:p>
    <w:p w14:paraId="61E9C03A">
      <w:pPr>
        <w:bidi w:val="0"/>
        <w:rPr>
          <w:rFonts w:hint="default"/>
          <w:highlight w:val="none"/>
        </w:rPr>
      </w:pPr>
    </w:p>
    <w:p w14:paraId="4C0741BA">
      <w:pPr>
        <w:bidi w:val="0"/>
        <w:rPr>
          <w:rFonts w:hint="default"/>
          <w:highlight w:val="none"/>
        </w:rPr>
      </w:pPr>
    </w:p>
    <w:p w14:paraId="2456440B">
      <w:pPr>
        <w:pStyle w:val="5"/>
        <w:bidi w:val="0"/>
        <w:rPr>
          <w:rFonts w:hint="default" w:ascii="Times New Roman" w:hAnsi="Times New Roman" w:cs="Times New Roman"/>
          <w:highlight w:val="none"/>
          <w:lang w:val="en-US" w:eastAsia="zh-CN"/>
        </w:rPr>
        <w:sectPr>
          <w:pgSz w:w="11906" w:h="16838"/>
          <w:pgMar w:top="1440" w:right="1800" w:bottom="1440" w:left="1800" w:header="851" w:footer="1077" w:gutter="0"/>
          <w:cols w:space="720" w:num="1"/>
          <w:docGrid w:linePitch="312" w:charSpace="0"/>
        </w:sectPr>
      </w:pPr>
      <w:r>
        <w:rPr>
          <w:rFonts w:hint="default" w:ascii="Times New Roman" w:hAnsi="Times New Roman" w:cs="Times New Roman"/>
          <w:highlight w:val="none"/>
        </w:rPr>
        <w:t>附图</w:t>
      </w:r>
      <w:r>
        <w:rPr>
          <w:rFonts w:hint="eastAsia" w:ascii="Times New Roman" w:hAnsi="Times New Roman" w:cs="Times New Roman"/>
          <w:highlight w:val="none"/>
          <w:lang w:val="en-US" w:eastAsia="zh-CN"/>
        </w:rPr>
        <w:t>7</w:t>
      </w:r>
      <w:r>
        <w:rPr>
          <w:rFonts w:hint="default" w:ascii="Times New Roman" w:hAnsi="Times New Roman" w:cs="Times New Roman"/>
          <w:highlight w:val="none"/>
          <w:lang w:val="en-US" w:eastAsia="zh-CN"/>
        </w:rPr>
        <w:t xml:space="preserve">  施工生产生活区</w:t>
      </w:r>
      <w:bookmarkEnd w:id="69"/>
    </w:p>
    <w:p w14:paraId="3E30D4CD">
      <w:pPr>
        <w:bidi w:val="0"/>
        <w:jc w:val="cente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71552" behindDoc="0" locked="0" layoutInCell="1" allowOverlap="1">
            <wp:simplePos x="0" y="0"/>
            <wp:positionH relativeFrom="column">
              <wp:posOffset>6934200</wp:posOffset>
            </wp:positionH>
            <wp:positionV relativeFrom="paragraph">
              <wp:posOffset>36830</wp:posOffset>
            </wp:positionV>
            <wp:extent cx="520700" cy="552450"/>
            <wp:effectExtent l="0" t="0" r="12700" b="0"/>
            <wp:wrapNone/>
            <wp:docPr id="51"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9"/>
                    <pic:cNvPicPr>
                      <a:picLocks noChangeAspect="1"/>
                    </pic:cNvPicPr>
                  </pic:nvPicPr>
                  <pic:blipFill>
                    <a:blip r:embed="rId17"/>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sz w:val="32"/>
          <w:highlight w:val="none"/>
        </w:rPr>
        <mc:AlternateContent>
          <mc:Choice Requires="wps">
            <w:drawing>
              <wp:anchor distT="0" distB="0" distL="114300" distR="114300" simplePos="0" relativeHeight="251708416" behindDoc="0" locked="0" layoutInCell="1" allowOverlap="1">
                <wp:simplePos x="0" y="0"/>
                <wp:positionH relativeFrom="column">
                  <wp:posOffset>5904865</wp:posOffset>
                </wp:positionH>
                <wp:positionV relativeFrom="paragraph">
                  <wp:posOffset>4764405</wp:posOffset>
                </wp:positionV>
                <wp:extent cx="152400" cy="104775"/>
                <wp:effectExtent l="0" t="0" r="0" b="9525"/>
                <wp:wrapNone/>
                <wp:docPr id="144"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252AFF"/>
                        </a:solidFill>
                        <a:ln>
                          <a:noFill/>
                        </a:ln>
                      </wps:spPr>
                      <wps:bodyPr wrap="square" upright="1"/>
                    </wps:wsp>
                  </a:graphicData>
                </a:graphic>
              </wp:anchor>
            </w:drawing>
          </mc:Choice>
          <mc:Fallback>
            <w:pict>
              <v:rect id="矩形 244" o:spid="_x0000_s1026" o:spt="1" style="position:absolute;left:0pt;margin-left:464.95pt;margin-top:375.15pt;height:8.25pt;width:12pt;z-index:251708416;mso-width-relative:page;mso-height-relative:page;" fillcolor="#252AFF" filled="t" stroked="f" coordsize="21600,21600" o:gfxdata="UEsDBAoAAAAAAIdO4kAAAAAAAAAAAAAAAAAEAAAAZHJzL1BLAwQUAAAACACHTuJAuuYF39gAAAAL&#10;AQAADwAAAGRycy9kb3ducmV2LnhtbE2Py07DMBBF90j8gzVI7KjdVk3rNE4XQUiVuqIgsXXjIUnr&#10;R2S7r79nWMFy7hzdOVNtbs6yC8Y0BK9gOhHA0LfBDL5T8Pnx9rIClrL2RtvgUcEdE2zqx4dKlyZc&#10;/Tte9rljVOJTqRX0OY8l56nt0ek0CSN62n2H6HSmMXbcRH2lcmf5TIiCOz14utDrEZse29P+7BQ0&#10;2sbX+3Inv3hu3bHZ7o5mG5V6fpqKNbCMt/wHw68+qUNNTodw9iYxq0DOpCRUwXIh5sCIkIs5JQdK&#10;imIFvK74/x/qH1BLAwQUAAAACACHTuJA+vCbTb4BAABwAwAADgAAAGRycy9lMm9Eb2MueG1srVNL&#10;jhMxEN0jcQfLe9IfJQxqpTNCRGGDYKSBAzhud9qSf1Q56eQ0SOw4BMdBXIOyu8nAsJkFG3f9/Kre&#10;K/f69mwNOylA7V3Lq0XJmXLSd9odWv7p4+7FK84wCtcJ451q+UUhv908f7YeQ6NqP3jTKWAE4rAZ&#10;Q8uHGENTFCgHZQUufFCOkr0HKyK5cCg6ECOhW1PUZfmyGD10AbxUiBTdTkk+I8JTAH3fa6m2Xh6t&#10;cnFCBWVEJEo46IB8k6fteyXjh75HFZlpOTGN+aQmZO/TWWzWojmACIOW8wjiKSM84mSFdtT0CrUV&#10;UbAj6H+grJbg0fdxIb0tJiJZEWJRlY+0uR9EUJkLSY3hKjr+P1j5/nQHTHf0EpZLzpywtPKfX779&#10;+P6V1RQhfcaADZXdhzuYPSQzkT33YNOXaLBz1vRy1VSdI5MUrFb1siS1JaWqcnlzs0qYxcPlABjf&#10;Km9ZMloOtLKspDi9wziV/i5JvdAb3e20MdmBw/6NAXYStN56Vb/e7Wb0v8qMS8XOp2sTYooUidhE&#10;JVl7311IipHeQsvx81GA4uwYQB8GGqvKuKmOFpHnnx9N2vSffsZ9+FE2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65gXf2AAAAAsBAAAPAAAAAAAAAAEAIAAAACIAAABkcnMvZG93bnJldi54bWxQ&#10;SwECFAAUAAAACACHTuJA+vCbTb4BAABwAwAADgAAAAAAAAABACAAAAAnAQAAZHJzL2Uyb0RvYy54&#10;bWxQSwUGAAAAAAYABgBZAQAAVwUAAAAA&#10;">
                <v:fill on="t" focussize="0,0"/>
                <v:stroke on="f"/>
                <v:imagedata o:title=""/>
                <o:lock v:ext="edit" aspectratio="f"/>
              </v:rect>
            </w:pict>
          </mc:Fallback>
        </mc:AlternateContent>
      </w:r>
      <w:r>
        <w:rPr>
          <w:rFonts w:hint="default" w:ascii="Times New Roman" w:hAnsi="Times New Roman" w:cs="Times New Roman"/>
          <w:sz w:val="21"/>
          <w:highlight w:val="none"/>
        </w:rPr>
        <mc:AlternateContent>
          <mc:Choice Requires="wps">
            <w:drawing>
              <wp:anchor distT="0" distB="0" distL="114300" distR="114300" simplePos="0" relativeHeight="251681792" behindDoc="0" locked="0" layoutInCell="1" allowOverlap="1">
                <wp:simplePos x="0" y="0"/>
                <wp:positionH relativeFrom="column">
                  <wp:posOffset>3922395</wp:posOffset>
                </wp:positionH>
                <wp:positionV relativeFrom="paragraph">
                  <wp:posOffset>1917065</wp:posOffset>
                </wp:positionV>
                <wp:extent cx="1143000" cy="352425"/>
                <wp:effectExtent l="0" t="0" r="0" b="0"/>
                <wp:wrapNone/>
                <wp:docPr id="142" name="矩形 142"/>
                <wp:cNvGraphicFramePr/>
                <a:graphic xmlns:a="http://schemas.openxmlformats.org/drawingml/2006/main">
                  <a:graphicData uri="http://schemas.microsoft.com/office/word/2010/wordprocessingShape">
                    <wps:wsp>
                      <wps:cNvSpPr/>
                      <wps:spPr>
                        <a:xfrm>
                          <a:off x="3007995" y="2108200"/>
                          <a:ext cx="1143000" cy="3524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579BA62">
                            <w:pPr>
                              <w:rPr>
                                <w:rFonts w:hint="default"/>
                                <w:b/>
                                <w:bCs/>
                                <w:color w:val="FF0000"/>
                                <w:sz w:val="20"/>
                                <w:szCs w:val="22"/>
                                <w:lang w:val="en-US" w:eastAsia="zh-CN"/>
                              </w:rPr>
                            </w:pPr>
                            <w:r>
                              <w:rPr>
                                <w:rFonts w:hint="eastAsia" w:cs="Times New Roman"/>
                                <w:b/>
                                <w:bCs/>
                                <w:color w:val="FF0000"/>
                                <w:kern w:val="0"/>
                                <w:sz w:val="20"/>
                                <w:szCs w:val="22"/>
                                <w:highlight w:val="none"/>
                                <w:lang w:val="en-US" w:eastAsia="zh-CN"/>
                              </w:rPr>
                              <w:t>馨悦尚居小区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85pt;margin-top:150.95pt;height:27.75pt;width:90pt;z-index:251681792;v-text-anchor:middle;mso-width-relative:page;mso-height-relative:page;" filled="f" stroked="f" coordsize="21600,21600" o:gfxdata="UEsDBAoAAAAAAIdO4kAAAAAAAAAAAAAAAAAEAAAAZHJzL1BLAwQUAAAACACHTuJAjzAsf9kAAAAL&#10;AQAADwAAAGRycy9kb3ducmV2LnhtbE2PwU7DMAyG70i8Q2QkbiwpbCsrTacJAdKOrEiIW9qYttA4&#10;VZN129vjncbRvz/9/pyvj64XE46h86QhmSkQSLW3HTUaPsrXu0cQIRqypveEGk4YYF1cX+Ums/5A&#10;7zjtYiO4hEJmNLQxDpmUoW7RmTDzAxLvvv3oTORxbKQdzYHLXS/vlVpKZzriC60Z8LnF+ne3dxpC&#10;NW3L07D5/PkKdbV5IVfOt29a394k6glExGO8wHDWZ3Uo2Knye7JB9BqWSZoyquFBJSsQTKSrc1Jx&#10;skjnIItc/v+h+ANQSwMEFAAAAAgAh07iQHm4H7NfAgAApgQAAA4AAABkcnMvZTJvRG9jLnhtbK1U&#10;S27bMBDdF+gdCO4bfSI3iRE5MGKkKBA0AdKia5qiLAL8laQtp5cp0F0P0eMUvUYfJSUx0i6y6Iae&#10;Icdv5r2Z0fnFXiuyEz5Ia2paHOWUCMNtI82mpp8+Xr05pSREZhqmrBE1vReBXixevzrv3VyUtrOq&#10;EZ4AxIR572raxejmWRZ4JzQLR9YJg8fWes0iXL/JGs96oGuVlXn+Nuutb5y3XISA29X4SCdE/xJA&#10;27aSi5XlWy1MHFG9UCyCUuikC3QxVNu2gsebtg0iElVTMI3DiSSw1+nMFudsvvHMdZJPJbCXlPCM&#10;k2bSIOkj1IpFRrZe/gWlJfc22DYecauzkcigCFgU+TNt7jrmxMAFUgf3KHr4f7D8w+7WE9lgEqqS&#10;EsM0Wv77249fP7+TdAN9ehfmCLtzt37yAsxEdt96nX5Bg+xrepznJ2dnM0rua1oW+Sm6Peor9pFw&#10;BBRFhRhIzxFxPCurcpYCsick50N8J6wmyaipR/8GWdnuOsQx9CEkJTb2SiqFezZXhvRIO6sGfIbB&#10;bDEQSKUdyAWzoYSpDSaeRz9AHvw3Qa5Y6MiOYUyCVbKZ6lIG5SUBRsrJivv1ftJhbZt7qOftOFbB&#10;8SsJqGsW4i3zmCNQxabFGxytsqjPThYlnfVf/3Wf4tFevFLSYy5Rz5ct84IS9d6g8WdFVaVBHpxq&#10;dlLC8Ycv68MXs9WXFpwK7LTjg5nio3owW2/1ZyzkMmXFEzMcuUeVJucyjvuCleZiuRzCMLyOxWtz&#10;53gCH3ux3EbbyqFNSahRnUk/jO/Q6GnV0n4c+kPU0+dl8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PMCx/2QAAAAsBAAAPAAAAAAAAAAEAIAAAACIAAABkcnMvZG93bnJldi54bWxQSwECFAAUAAAA&#10;CACHTuJAebgfs18CAACmBAAADgAAAAAAAAABACAAAAAoAQAAZHJzL2Uyb0RvYy54bWxQSwUGAAAA&#10;AAYABgBZAQAA+QUAAAAA&#10;">
                <v:fill on="f" focussize="0,0"/>
                <v:stroke on="f" weight="2pt"/>
                <v:imagedata o:title=""/>
                <o:lock v:ext="edit" aspectratio="f"/>
                <v:textbox>
                  <w:txbxContent>
                    <w:p w14:paraId="0579BA62">
                      <w:pPr>
                        <w:rPr>
                          <w:rFonts w:hint="default"/>
                          <w:b/>
                          <w:bCs/>
                          <w:color w:val="FF0000"/>
                          <w:sz w:val="20"/>
                          <w:szCs w:val="22"/>
                          <w:lang w:val="en-US" w:eastAsia="zh-CN"/>
                        </w:rPr>
                      </w:pPr>
                      <w:r>
                        <w:rPr>
                          <w:rFonts w:hint="eastAsia" w:cs="Times New Roman"/>
                          <w:b/>
                          <w:bCs/>
                          <w:color w:val="FF0000"/>
                          <w:kern w:val="0"/>
                          <w:sz w:val="20"/>
                          <w:szCs w:val="22"/>
                          <w:highlight w:val="none"/>
                          <w:lang w:val="en-US" w:eastAsia="zh-CN"/>
                        </w:rPr>
                        <w:t>馨悦尚居小区</w:t>
                      </w:r>
                    </w:p>
                  </w:txbxContent>
                </v:textbox>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80768" behindDoc="0" locked="0" layoutInCell="1" allowOverlap="1">
                <wp:simplePos x="0" y="0"/>
                <wp:positionH relativeFrom="column">
                  <wp:posOffset>4046220</wp:posOffset>
                </wp:positionH>
                <wp:positionV relativeFrom="paragraph">
                  <wp:posOffset>1657350</wp:posOffset>
                </wp:positionV>
                <wp:extent cx="194310" cy="897255"/>
                <wp:effectExtent l="161290" t="3810" r="177800" b="13335"/>
                <wp:wrapNone/>
                <wp:docPr id="140" name="矩形 244"/>
                <wp:cNvGraphicFramePr/>
                <a:graphic xmlns:a="http://schemas.openxmlformats.org/drawingml/2006/main">
                  <a:graphicData uri="http://schemas.microsoft.com/office/word/2010/wordprocessingShape">
                    <wps:wsp>
                      <wps:cNvSpPr/>
                      <wps:spPr>
                        <a:xfrm rot="20280000">
                          <a:off x="0" y="0"/>
                          <a:ext cx="194310" cy="897255"/>
                        </a:xfrm>
                        <a:prstGeom prst="rect">
                          <a:avLst/>
                        </a:prstGeom>
                        <a:solidFill>
                          <a:srgbClr val="FFFF00">
                            <a:alpha val="53000"/>
                          </a:srgbClr>
                        </a:solidFill>
                        <a:ln>
                          <a:noFill/>
                        </a:ln>
                      </wps:spPr>
                      <wps:bodyPr wrap="square" upright="1"/>
                    </wps:wsp>
                  </a:graphicData>
                </a:graphic>
              </wp:anchor>
            </w:drawing>
          </mc:Choice>
          <mc:Fallback>
            <w:pict>
              <v:rect id="矩形 244" o:spid="_x0000_s1026" o:spt="1" style="position:absolute;left:0pt;margin-left:318.6pt;margin-top:130.5pt;height:70.65pt;width:15.3pt;rotation:-1441792f;z-index:251680768;mso-width-relative:page;mso-height-relative:page;" fillcolor="#FFFF00" filled="t" stroked="f" coordsize="21600,21600" o:gfxdata="UEsDBAoAAAAAAIdO4kAAAAAAAAAAAAAAAAAEAAAAZHJzL1BLAwQUAAAACACHTuJAD1Xzo9kAAAAL&#10;AQAADwAAAGRycy9kb3ducmV2LnhtbE2PMU/DMBCFdyT+g3VILIjacZALIU4HJAQSE4WB0Y2POGps&#10;h9hN2n/PMdHxdE/vfV+9OfqBzTilPgYNxUoAw9BG24dOw+fH8+09sJRNsGaIATWcMMGmubyoTWXj&#10;Et5x3uaOUUlIldHgch4rzlPr0Ju0iiMG+n3HyZtM59RxO5mFyv3ApRCKe9MHWnBmxCeH7X578Brm&#10;B7U3w414k/5Uuhf5E78W+ar19VUhHoFlPOb/MPzhEzo0xLSLh2ATGzSoci0pqkGqgqQoodSaZHYa&#10;7oQsgTc1P3dofgFQSwMEFAAAAAgAh07iQHtBrDPWAQAAoAMAAA4AAABkcnMvZTJvRG9jLnhtbK2T&#10;S44TMRCG90jcwfKe9GMSyETpzIIobBCMNHAAx+3utuQXVU46OQ0SOw7BcRDXoOwOAYbNLOiFVbZL&#10;X9X/l3t9d7KGHRWg9q7h1azkTDnpW+36hn/8sHux5AyjcK0w3qmGnxXyu83zZ+sxrFTtB29aBYwg&#10;DldjaPgQY1gVBcpBWYEzH5Sjy86DFZG20BctiJHo1hR1Wb4sRg9tAC8VIp1up0t+IcJTgL7rtFRb&#10;Lw9WuThRQRkRSRIOOiDf5G67Tsn4vutQRWYaTkpjXqkIxfu0Fpu1WPUgwqDlpQXxlBYeabJCOyp6&#10;RW1FFOwA+h+U1RI8+i7OpLfFJCQ7Qiqq8pE3D4MIKmshqzFcTcf/h5XvjvfAdEsvYU6eOGFp5D8+&#10;f/3+7Qur5/PkzxhwRWkP4R4uO6QwiT11YBl4MrUu62VJX/aAVLFTtvh8tVidIpN0WN3ObyoqJOlq&#10;efuqXixSiWJiJWYAjG+UtywFDQeaYIaK41uMU+qvlJSO3uh2p43JG+j3rw2wo6Bp7+i7NCRMGMR0&#10;urhJXU4cnNJz+b84xiWa84k7paaTIhkxSU/R3rdnsm6kt9Nw/HQQoDg7BND9QH1XuUbKo8HlCpdH&#10;ll7Gn/vM/f1jbX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D1Xzo9kAAAALAQAADwAAAAAAAAAB&#10;ACAAAAAiAAAAZHJzL2Rvd25yZXYueG1sUEsBAhQAFAAAAAgAh07iQHtBrDPWAQAAoAMAAA4AAAAA&#10;AAAAAQAgAAAAKAEAAGRycy9lMm9Eb2MueG1sUEsFBgAAAAAGAAYAWQEAAHAFAAAAAA==&#10;">
                <v:fill on="t" opacity="34734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0528" behindDoc="0" locked="0" layoutInCell="1" allowOverlap="1">
                <wp:simplePos x="0" y="0"/>
                <wp:positionH relativeFrom="column">
                  <wp:posOffset>5914390</wp:posOffset>
                </wp:positionH>
                <wp:positionV relativeFrom="paragraph">
                  <wp:posOffset>4583430</wp:posOffset>
                </wp:positionV>
                <wp:extent cx="152400" cy="104775"/>
                <wp:effectExtent l="0" t="0" r="0" b="9525"/>
                <wp:wrapNone/>
                <wp:docPr id="25"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06F80B">
                            <a:alpha val="53000"/>
                          </a:srgbClr>
                        </a:solidFill>
                        <a:ln>
                          <a:noFill/>
                        </a:ln>
                      </wps:spPr>
                      <wps:bodyPr wrap="square" upright="1"/>
                    </wps:wsp>
                  </a:graphicData>
                </a:graphic>
              </wp:anchor>
            </w:drawing>
          </mc:Choice>
          <mc:Fallback>
            <w:pict>
              <v:rect id="矩形 244" o:spid="_x0000_s1026" o:spt="1" style="position:absolute;left:0pt;margin-left:465.7pt;margin-top:360.9pt;height:8.25pt;width:12pt;z-index:251670528;mso-width-relative:page;mso-height-relative:page;" fillcolor="#06F80B" filled="t" stroked="f" coordsize="21600,21600" o:gfxdata="UEsDBAoAAAAAAIdO4kAAAAAAAAAAAAAAAAAEAAAAZHJzL1BLAwQUAAAACACHTuJA72+aSdkAAAAL&#10;AQAADwAAAGRycy9kb3ducmV2LnhtbE2PuU7DQBCGeyTeYTVIdGR9xDkcr1NESiooHKCgW3sntoV3&#10;1vJuDt6eoSLl/PPpP4rtzQ7igpPvHSmIZxEIpMaZnloFH+/7lxUIHzQZPThCBT/oYVs+PhQ6N+5K&#10;FV6OoRVsQj7XCroQxlxK33RotZ+5EYl/JzdZHficWmkmfWVzO8gkihbS6p44odMj7jpsvo9nq8At&#10;D69JFT6r3aFOF2/zMTN7+6XU81McbUAEvIV/GP7qc3UouVPtzmS8GBSs03jOqIJlEvMGJtZZxkrN&#10;SrpKQZaFvN9Q/gJQSwMEFAAAAAgAh07iQCokdl/MAQAAkAMAAA4AAABkcnMvZTJvRG9jLnhtbK1T&#10;zY7TMBC+I/EOlu80SWl3V1HTlaAqFwQr7fIAruMklvzHjNu0T4PEjYfgcRCvwdgpXVgue+DizJ+/&#10;me8bZ3V7tIYdFKD2ruHVrORMOelb7fqGf3rYvrrhDKNwrTDeqYafFPLb9csXqzHUau4Hb1oFjEAc&#10;1mNo+BBjqIsC5aCswJkPylGy82BFJBf6ogUxEro1xbwsr4rRQxvAS4VI0c2U5GdEeA6g7zot1cbL&#10;vVUuTqigjIhECQcdkK/ztF2nZPzYdagiMw0npjGf1ITsXTqL9UrUPYgwaHkeQTxnhCecrNCOml6g&#10;NiIKtgf9D5TVEjz6Ls6kt8VEJCtCLKryiTb3gwgqcyGpMVxEx/8HKz8c7oDptuHzJWdOWNr4zy/f&#10;fnz/yuaLRZJnDFhT1X24g7OHZCauxw5s+hILdsySni6SqmNkkoLVcr4oSWxJqapcXF8vE2bxeDkA&#10;xnfKW5aMhgNtLAspDu8xTqW/S1Iv9Ea3W21MdqDfvTXADiJt92p7U76Z7powiCm6fF1S+wkHp/Lc&#10;/i8c4xKa8wl3Kk2RIjGfuCZr59sTSTXSW2k4ft4LUJztA+h+oLmr3CPV0aJyh/OjSi/hTz/jPv5I&#10;6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vb5pJ2QAAAAsBAAAPAAAAAAAAAAEAIAAAACIAAABk&#10;cnMvZG93bnJldi54bWxQSwECFAAUAAAACACHTuJAKiR2X8wBAACQAwAADgAAAAAAAAABACAAAAAo&#10;AQAAZHJzL2Uyb0RvYy54bWxQSwUGAAAAAAYABgBZAQAAZgUAAAAA&#10;">
                <v:fill on="t" opacity="34734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9744" behindDoc="0" locked="0" layoutInCell="1" allowOverlap="1">
                <wp:simplePos x="0" y="0"/>
                <wp:positionH relativeFrom="column">
                  <wp:posOffset>5925820</wp:posOffset>
                </wp:positionH>
                <wp:positionV relativeFrom="paragraph">
                  <wp:posOffset>4376420</wp:posOffset>
                </wp:positionV>
                <wp:extent cx="152400" cy="104775"/>
                <wp:effectExtent l="9525" t="9525" r="9525" b="19050"/>
                <wp:wrapNone/>
                <wp:docPr id="139" name="矩形 244"/>
                <wp:cNvGraphicFramePr/>
                <a:graphic xmlns:a="http://schemas.openxmlformats.org/drawingml/2006/main">
                  <a:graphicData uri="http://schemas.microsoft.com/office/word/2010/wordprocessingShape">
                    <wps:wsp>
                      <wps:cNvSpPr/>
                      <wps:spPr>
                        <a:xfrm>
                          <a:off x="0" y="0"/>
                          <a:ext cx="152400" cy="104775"/>
                        </a:xfrm>
                        <a:prstGeom prst="rect">
                          <a:avLst/>
                        </a:prstGeom>
                        <a:noFill/>
                        <a:ln w="19050">
                          <a:solidFill>
                            <a:srgbClr val="FF0000"/>
                          </a:solidFill>
                        </a:ln>
                      </wps:spPr>
                      <wps:bodyPr wrap="square" upright="1"/>
                    </wps:wsp>
                  </a:graphicData>
                </a:graphic>
              </wp:anchor>
            </w:drawing>
          </mc:Choice>
          <mc:Fallback>
            <w:pict>
              <v:rect id="矩形 244" o:spid="_x0000_s1026" o:spt="1" style="position:absolute;left:0pt;margin-left:466.6pt;margin-top:344.6pt;height:8.25pt;width:12pt;z-index:251679744;mso-width-relative:page;mso-height-relative:page;" filled="f" stroked="t" coordsize="21600,21600" o:gfxdata="UEsDBAoAAAAAAIdO4kAAAAAAAAAAAAAAAAAEAAAAZHJzL1BLAwQUAAAACACHTuJAZOqBe9oAAAAL&#10;AQAADwAAAGRycy9kb3ducmV2LnhtbE2PQWrDMBBF94XeQUyhm9JITogdO5YDLoRAC4G6PYBiTSxT&#10;SzKW4qS373TV7v4wjz9vyt3NDmzGKfTeSUgWAhi61uvedRI+P/bPG2AhKqfV4B1K+MYAu+r+rlSF&#10;9lf3jnMTO0YlLhRKgolxLDgPrUGrwsKP6Gh39pNVkcap43pSVyq3A18KkXKrekcXjBrxxWD71Vys&#10;hDmp94euVoe68W+vxwlDap6ClI8PidgCi3iLfzD86pM6VOR08henAxsk5KvVklAJ6SanQES+ziic&#10;JGRinQGvSv7/h+oHUEsDBBQAAAAIAIdO4kD+fGYTygEAAHoDAAAOAAAAZHJzL2Uyb0RvYy54bWyt&#10;U82O0zAQviPxDpbvNEm3Zdmo6R62KhcEKy08gOs4jSX/MeM27dMgceMheBzEazB2Qne1XPZADs7Y&#10;M/5mvm/Gq9uTNeyoALV3Da9mJWfKSd9qt2/4l8/bN+84wyhcK4x3quFnhfx2/frVagi1mvvem1YB&#10;IxCH9RAa3scY6qJA2SsrcOaDcuTsPFgRaQv7ogUxELo1xbws3xaDhzaAlwqRTjejk0+I8BJA33Va&#10;qo2XB6tcHFFBGRGJEvY6IF/nartOyfip61BFZhpOTGNeKQnZu7QW65Wo9yBCr+VUgnhJCc84WaEd&#10;Jb1AbUQU7AD6HyirJXj0XZxJb4uRSFaEWFTlM20eehFU5kJSY7iIjv8PVn483gPTLU3C1Q1nTlhq&#10;+e9vP379/M7mi0XSZwhYU9hDuIdph2QmsqcObPoTDXbKmp4vmqpTZJIOq+V8UZLaklxVubi+XibM&#10;4vFyAIzvlbcsGQ0HallWUhw/YBxD/4akXM5vtTF0Lmrj2ECgN+WyzDfQG90mb3Ii7Hd3BthRUOe3&#10;25K+KfGTMCrDOKomURxJJWvn2zOJMtBUNBy/HgQozg4B9L6nAqsMk+KoJZnJND6p50/3Gffxya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TqgXvaAAAACwEAAA8AAAAAAAAAAQAgAAAAIgAAAGRy&#10;cy9kb3ducmV2LnhtbFBLAQIUABQAAAAIAIdO4kD+fGYTygEAAHoDAAAOAAAAAAAAAAEAIAAAACkB&#10;AABkcnMvZTJvRG9jLnhtbFBLBQYAAAAABgAGAFkBAABlBQAAAAA=&#10;">
                <v:fill on="f" focussize="0,0"/>
                <v:stroke weight="1.5pt" color="#FF0000" joinstyle="round"/>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69504" behindDoc="0" locked="0" layoutInCell="1" allowOverlap="1">
                <wp:simplePos x="0" y="0"/>
                <wp:positionH relativeFrom="column">
                  <wp:posOffset>5857875</wp:posOffset>
                </wp:positionH>
                <wp:positionV relativeFrom="paragraph">
                  <wp:posOffset>3994785</wp:posOffset>
                </wp:positionV>
                <wp:extent cx="1544955" cy="1042035"/>
                <wp:effectExtent l="4445" t="4445" r="12700" b="20320"/>
                <wp:wrapNone/>
                <wp:docPr id="22" name="矩形 241"/>
                <wp:cNvGraphicFramePr/>
                <a:graphic xmlns:a="http://schemas.openxmlformats.org/drawingml/2006/main">
                  <a:graphicData uri="http://schemas.microsoft.com/office/word/2010/wordprocessingShape">
                    <wps:wsp>
                      <wps:cNvSpPr/>
                      <wps:spPr>
                        <a:xfrm>
                          <a:off x="0" y="0"/>
                          <a:ext cx="1544955" cy="104203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83D2A7D">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22E5E2AC">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大气和噪声评价范围</w:t>
                            </w:r>
                          </w:p>
                          <w:p w14:paraId="090280D2">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环境保护目标</w:t>
                            </w:r>
                          </w:p>
                          <w:p w14:paraId="0DDF26C9">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河道改道范围</w:t>
                            </w:r>
                          </w:p>
                        </w:txbxContent>
                      </wps:txbx>
                      <wps:bodyPr vert="horz" wrap="square" anchor="t" anchorCtr="0" upright="1"/>
                    </wps:wsp>
                  </a:graphicData>
                </a:graphic>
              </wp:anchor>
            </w:drawing>
          </mc:Choice>
          <mc:Fallback>
            <w:pict>
              <v:rect id="矩形 241" o:spid="_x0000_s1026" o:spt="1" style="position:absolute;left:0pt;margin-left:461.25pt;margin-top:314.55pt;height:82.05pt;width:121.65pt;z-index:251669504;mso-width-relative:page;mso-height-relative:page;" fillcolor="#FFFFFF" filled="t" stroked="t" coordsize="21600,21600" o:gfxdata="UEsDBAoAAAAAAIdO4kAAAAAAAAAAAAAAAAAEAAAAZHJzL1BLAwQUAAAACACHTuJAoX7ouNkAAAAM&#10;AQAADwAAAGRycy9kb3ducmV2LnhtbE2PMU/DMBCFdyT+g3VIbNSOqwYScukAKhJjmy5sl9gkgdiO&#10;YqcN/HrciY6n+/Te94rtYgZ20pPvnUVIVgKYto1TvW0RjtXu4QmYD2QVDc5qhB/tYVve3hSUK3e2&#10;e306hJbFEOtzQuhCGHPOfdNpQ37lRm3j79NNhkI8p5aric4x3AxcCpFyQ72NDR2N+qXTzfdhNgh1&#10;L4/0u6/ehMl26/C+VF/zxyvi/V0inoEFvYR/GC76UR3K6FS72SrPBoRMyk1EEVKZJcAuRJJu4poa&#10;4TFbS+Blwa9HlH9QSwMEFAAAAAgAh07iQKYiuWIhAgAAYAQAAA4AAABkcnMvZTJvRG9jLnhtbK1U&#10;Ta7TMBDeI3EHy3uaNLSIFzV9i1fKBsGTHhxgajuJJf9hu03KZZDYcQiOg7gGY6f0/cCiC7JIxvb4&#10;m/m+mcnqetSKHIQP0pqGzmclJcIwy6XpGvrp4/bFa0pCBMNBWSMaehSBXq+fP1sNrhaV7a3iwhME&#10;MaEeXEP7GF1dFIH1QkOYWScMHrbWa4i49F3BPQyIrlVRleWrYrCeO2+ZCAF3N9MhPSH6SwBt20om&#10;NpbttTBxQvVCQURKoZcu0HXOtm0Fix/aNohIVEORacxvDIL2Lr2L9QrqzoPrJTulAJek8ISTBmkw&#10;6BlqAxHI3su/oLRk3gbbxhmzupiIZEWQxbx8os1dD05kLih1cGfRw/+DZe8Pt55I3tCqosSAxor/&#10;+vr9549vpFrMkzyDCzV63blbf1oFNBPXsfU6fZEFGbOkx7OkYoyE4eZ8uVhcLZeUMDybl4uqfLlM&#10;qMX9dedDfCusJsloqMeaZSnh8C7EyfWPS4oWrJJ8K5XKC9/tbpQnB8D6bvNzQn/kpgwZGnq1rFIi&#10;gE3bYrOgqR0SD6bL8R7dCA+By/z8CzgltoHQTwlkhOQGtZZR+Gz1Avgbw0k8OtTW4EzRlIwWnBIl&#10;cASTlT0jSHWJJ2qnDEqYKjPVIllx3I0Ik8yd5UesKg456tlb/wUjYosj1c978BgfDMPthqIGk3kT&#10;p5nYOy+7Hm/l0ucI2Hi5XKchSZ39cJ3zuP8xr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X7o&#10;uNkAAAAMAQAADwAAAAAAAAABACAAAAAiAAAAZHJzL2Rvd25yZXYueG1sUEsBAhQAFAAAAAgAh07i&#10;QKYiuWIhAgAAYAQAAA4AAAAAAAAAAQAgAAAAKAEAAGRycy9lMm9Eb2MueG1sUEsFBgAAAAAGAAYA&#10;WQEAALsFAAAAAA==&#10;">
                <v:fill on="t" focussize="0,0"/>
                <v:stroke color="#000000" joinstyle="miter"/>
                <v:imagedata o:title=""/>
                <o:lock v:ext="edit" aspectratio="f"/>
                <v:textbox>
                  <w:txbxContent>
                    <w:p w14:paraId="183D2A7D">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22E5E2AC">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大气和噪声评价范围</w:t>
                      </w:r>
                    </w:p>
                    <w:p w14:paraId="090280D2">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环境保护目标</w:t>
                      </w:r>
                    </w:p>
                    <w:p w14:paraId="0DDF26C9">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r>
                        <w:rPr>
                          <w:rFonts w:hint="eastAsia"/>
                          <w:sz w:val="18"/>
                          <w:szCs w:val="18"/>
                          <w:lang w:val="en-US" w:eastAsia="zh-CN"/>
                        </w:rPr>
                        <w:t>河道改道范围</w:t>
                      </w:r>
                    </w:p>
                  </w:txbxContent>
                </v:textbox>
              </v:rect>
            </w:pict>
          </mc:Fallback>
        </mc:AlternateContent>
      </w:r>
      <w:r>
        <w:rPr>
          <w:highlight w:val="none"/>
        </w:rPr>
        <w:drawing>
          <wp:inline distT="0" distB="0" distL="114300" distR="114300">
            <wp:extent cx="6558915" cy="5051425"/>
            <wp:effectExtent l="0" t="0" r="13335" b="1587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32"/>
                    <a:stretch>
                      <a:fillRect/>
                    </a:stretch>
                  </pic:blipFill>
                  <pic:spPr>
                    <a:xfrm>
                      <a:off x="0" y="0"/>
                      <a:ext cx="6558915" cy="5051425"/>
                    </a:xfrm>
                    <a:prstGeom prst="rect">
                      <a:avLst/>
                    </a:prstGeom>
                    <a:noFill/>
                    <a:ln>
                      <a:noFill/>
                    </a:ln>
                  </pic:spPr>
                </pic:pic>
              </a:graphicData>
            </a:graphic>
          </wp:inline>
        </w:drawing>
      </w:r>
    </w:p>
    <w:p w14:paraId="1202C9CA">
      <w:pPr>
        <w:bidi w:val="0"/>
        <w:rPr>
          <w:rFonts w:hint="default" w:ascii="Times New Roman" w:hAnsi="Times New Roman" w:cs="Times New Roman"/>
          <w:highlight w:val="none"/>
        </w:rPr>
      </w:pPr>
    </w:p>
    <w:p w14:paraId="1F88B8C5">
      <w:pPr>
        <w:pStyle w:val="5"/>
        <w:bidi w:val="0"/>
        <w:rPr>
          <w:rFonts w:hint="default" w:ascii="Times New Roman" w:hAnsi="Times New Roman" w:cs="Times New Roman"/>
          <w:highlight w:val="none"/>
          <w:lang w:val="en-US" w:eastAsia="zh-CN"/>
        </w:rPr>
      </w:pPr>
      <w:bookmarkStart w:id="70" w:name="_Toc24285"/>
      <w:r>
        <w:rPr>
          <w:rFonts w:hint="default" w:ascii="Times New Roman" w:hAnsi="Times New Roman" w:cs="Times New Roman"/>
          <w:highlight w:val="none"/>
          <w:lang w:eastAsia="zh-CN"/>
        </w:rPr>
        <w:t>附图</w:t>
      </w:r>
      <w:r>
        <w:rPr>
          <w:rFonts w:hint="eastAsia" w:ascii="Times New Roman" w:hAnsi="Times New Roman" w:cs="Times New Roman"/>
          <w:highlight w:val="none"/>
          <w:lang w:val="en-US" w:eastAsia="zh-CN"/>
        </w:rPr>
        <w:t>8</w:t>
      </w:r>
      <w:r>
        <w:rPr>
          <w:rFonts w:hint="default" w:ascii="Times New Roman" w:hAnsi="Times New Roman" w:cs="Times New Roman"/>
          <w:highlight w:val="none"/>
          <w:lang w:val="en-US" w:eastAsia="zh-CN"/>
        </w:rPr>
        <w:t>（1）  评价范围及环境保护目标分布图</w:t>
      </w:r>
      <w:bookmarkEnd w:id="70"/>
    </w:p>
    <w:p w14:paraId="562CFC3E">
      <w:pPr>
        <w:bidi w:val="0"/>
        <w:rPr>
          <w:rFonts w:hint="default" w:ascii="Times New Roman" w:hAnsi="Times New Roman" w:cs="Times New Roman"/>
          <w:highlight w:val="none"/>
          <w:lang w:eastAsia="zh-CN"/>
        </w:rPr>
      </w:pPr>
    </w:p>
    <w:p w14:paraId="25D2A713">
      <w:pPr>
        <w:bidi w:val="0"/>
        <w:jc w:val="center"/>
        <w:rPr>
          <w:rFonts w:hint="default" w:ascii="Times New Roman" w:hAnsi="Times New Roman" w:eastAsia="宋体" w:cs="Times New Roman"/>
          <w:highlight w:val="none"/>
          <w:lang w:eastAsia="zh-CN"/>
        </w:rPr>
      </w:pPr>
      <w:r>
        <w:rPr>
          <w:rFonts w:hint="default" w:ascii="Times New Roman" w:hAnsi="Times New Roman" w:cs="Times New Roman"/>
          <w:highlight w:val="none"/>
        </w:rPr>
        <w:drawing>
          <wp:anchor distT="0" distB="0" distL="114300" distR="114300" simplePos="0" relativeHeight="251683840" behindDoc="0" locked="0" layoutInCell="1" allowOverlap="1">
            <wp:simplePos x="0" y="0"/>
            <wp:positionH relativeFrom="column">
              <wp:posOffset>6867525</wp:posOffset>
            </wp:positionH>
            <wp:positionV relativeFrom="paragraph">
              <wp:posOffset>-1270</wp:posOffset>
            </wp:positionV>
            <wp:extent cx="520700" cy="552450"/>
            <wp:effectExtent l="0" t="0" r="12700" b="0"/>
            <wp:wrapNone/>
            <wp:docPr id="145"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69"/>
                    <pic:cNvPicPr>
                      <a:picLocks noChangeAspect="1"/>
                    </pic:cNvPicPr>
                  </pic:nvPicPr>
                  <pic:blipFill>
                    <a:blip r:embed="rId17"/>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sz w:val="32"/>
          <w:highlight w:val="none"/>
        </w:rPr>
        <mc:AlternateContent>
          <mc:Choice Requires="wps">
            <w:drawing>
              <wp:anchor distT="0" distB="0" distL="114300" distR="114300" simplePos="0" relativeHeight="251707392" behindDoc="0" locked="0" layoutInCell="1" allowOverlap="1">
                <wp:simplePos x="0" y="0"/>
                <wp:positionH relativeFrom="column">
                  <wp:posOffset>7362190</wp:posOffset>
                </wp:positionH>
                <wp:positionV relativeFrom="paragraph">
                  <wp:posOffset>4516755</wp:posOffset>
                </wp:positionV>
                <wp:extent cx="152400" cy="104775"/>
                <wp:effectExtent l="0" t="0" r="0" b="9525"/>
                <wp:wrapNone/>
                <wp:docPr id="143"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FF0000"/>
                        </a:solidFill>
                        <a:ln>
                          <a:noFill/>
                        </a:ln>
                      </wps:spPr>
                      <wps:bodyPr wrap="square" upright="1"/>
                    </wps:wsp>
                  </a:graphicData>
                </a:graphic>
              </wp:anchor>
            </w:drawing>
          </mc:Choice>
          <mc:Fallback>
            <w:pict>
              <v:rect id="矩形 244" o:spid="_x0000_s1026" o:spt="1" style="position:absolute;left:0pt;margin-left:579.7pt;margin-top:355.65pt;height:8.25pt;width:12pt;z-index:251707392;mso-width-relative:page;mso-height-relative:page;" fillcolor="#FF0000" filled="t" stroked="f" coordsize="21600,21600" o:gfxdata="UEsDBAoAAAAAAIdO4kAAAAAAAAAAAAAAAAAEAAAAZHJzL1BLAwQUAAAACACHTuJA8orRKdgAAAAN&#10;AQAADwAAAGRycy9kb3ducmV2LnhtbE2PzU7DMBCE70i8g7VI3KjjtpAQ4lQIiQdo6KHcHHtJIvwT&#10;xW7a8PRsT3Cc2dHMt9Xu4iybcYpD8BLEKgOGXgcz+E7C4eP9oQAWk/JG2eBRwoIRdvXtTaVKE85+&#10;j3OTOkYlPpZKQp/SWHIedY9OxVUY0dPtK0xOJZJTx82kzlTuLF9n2RN3avC00KsR33rU383JSfjM&#10;D3avh5/XbjluNY0sbTMvUt7fiewFWMJL+gvDFZ/QoSamNpy8icySFo/PW8pKyIXYALtGRLEhqyVr&#10;nRfA64r//6L+BVBLAwQUAAAACACHTuJAKAeGC74BAABwAwAADgAAAGRycy9lMm9Eb2MueG1srVNN&#10;jtMwFN4jcQfLe5qkZBhUNZ0FVdkgGGngAK7jJJb8x3tu054GiR2H4DiIa/DshA4zs5kFWTjvz5/f&#10;9z17fXOyhh0VoPau4dWi5Ew56Vvt+oZ/+bx79ZYzjMK1wninGn5WyG82L1+sx7BSSz940ypgBOJw&#10;NYaGDzGGVVGgHJQVuPBBOUp2HqyI5EJftCBGQremWJblm2L00AbwUiFSdDsl+YwIzwH0Xael2np5&#10;sMrFCRWUEZEo4aAD8k3utuuUjJ+6DlVkpuHENOaVDiF7n9ZisxarHkQYtJxbEM9p4REnK7SjQy9Q&#10;WxEFO4B+AmW1BI++iwvpbTERyYoQi6p8pM3dIILKXEhqDBfR8f/Byo/HW2C6pZtQv+bMCUsj//3t&#10;x6+f39myrpM+Y8AVld2FW5g9JDORPXVg059osFPW9HzRVJ0ikxSsrpZ1SWpLSlVlfX19lTCL+80B&#10;ML5X3rJkNBxoZFlJcfyAcSr9W5LOQm90u9PGZAf6/TsD7ChovLtdSd+M/qDMuFTsfNo2IaZIkYhN&#10;VJK19+2ZpBjpLjQcvx4EKM4OAXQ/UFtVxk11NIjc/3xp0qT/9TPu/UPZ/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yitEp2AAAAA0BAAAPAAAAAAAAAAEAIAAAACIAAABkcnMvZG93bnJldi54bWxQ&#10;SwECFAAUAAAACACHTuJAKAeGC74BAABwAwAADgAAAAAAAAABACAAAAAnAQAAZHJzL2Uyb0RvYy54&#10;bWxQSwUGAAAAAAYABgBZAQAAVwUAAAAA&#10;">
                <v:fill on="t"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84864" behindDoc="0" locked="0" layoutInCell="1" allowOverlap="1">
                <wp:simplePos x="0" y="0"/>
                <wp:positionH relativeFrom="column">
                  <wp:posOffset>7371715</wp:posOffset>
                </wp:positionH>
                <wp:positionV relativeFrom="paragraph">
                  <wp:posOffset>4164330</wp:posOffset>
                </wp:positionV>
                <wp:extent cx="152400" cy="104775"/>
                <wp:effectExtent l="0" t="0" r="0" b="9525"/>
                <wp:wrapNone/>
                <wp:docPr id="148" name="矩形 244"/>
                <wp:cNvGraphicFramePr/>
                <a:graphic xmlns:a="http://schemas.openxmlformats.org/drawingml/2006/main">
                  <a:graphicData uri="http://schemas.microsoft.com/office/word/2010/wordprocessingShape">
                    <wps:wsp>
                      <wps:cNvSpPr/>
                      <wps:spPr>
                        <a:xfrm>
                          <a:off x="0" y="0"/>
                          <a:ext cx="152400" cy="104775"/>
                        </a:xfrm>
                        <a:prstGeom prst="rect">
                          <a:avLst/>
                        </a:prstGeom>
                        <a:solidFill>
                          <a:srgbClr val="0739B9">
                            <a:alpha val="45000"/>
                          </a:srgbClr>
                        </a:solidFill>
                        <a:ln>
                          <a:noFill/>
                        </a:ln>
                      </wps:spPr>
                      <wps:bodyPr wrap="square" upright="1"/>
                    </wps:wsp>
                  </a:graphicData>
                </a:graphic>
              </wp:anchor>
            </w:drawing>
          </mc:Choice>
          <mc:Fallback>
            <w:pict>
              <v:rect id="矩形 244" o:spid="_x0000_s1026" o:spt="1" style="position:absolute;left:0pt;margin-left:580.45pt;margin-top:327.9pt;height:8.25pt;width:12pt;z-index:251684864;mso-width-relative:page;mso-height-relative:page;" fillcolor="#0739B9" filled="t" stroked="f" coordsize="21600,21600" o:gfxdata="UEsDBAoAAAAAAIdO4kAAAAAAAAAAAAAAAAAEAAAAZHJzL1BLAwQUAAAACACHTuJAPf7nw9kAAAAN&#10;AQAADwAAAGRycy9kb3ducmV2LnhtbE2PwU7DMBBE70j8g7VIXCJqp6QhDXF6QCrqlcKBoxtvk4h4&#10;HWI3LX/P9gTHmX2anak2FzeIGafQe9KQLhQIpMbbnloNH+/bhwJEiIasGTyhhh8MsKlvbypTWn+m&#10;N5z3sRUcQqE0GroYx1LK0HToTFj4EYlvRz85E1lOrbSTOXO4G+RSqVw60xN/6MyILx02X/uT03Dc&#10;RRnDLjHr73ZbZHPy+ZrETOv7u1Q9g4h4iX8wXOtzdai508GfyAYxsE5ztWZWQ75a8YgrkhYZWwe2&#10;npaPIOtK/l9R/wJQSwMEFAAAAAgAh07iQF76DzPOAQAAkQMAAA4AAABkcnMvZTJvRG9jLnhtbK1T&#10;zY7TMBC+I/EOlu80SUkpGzVdCarlgmClhQdwHaex5D9m3KZ9GiRuPASPg3iNHTulC8tlD1ycmfH4&#10;m/m+mayuj9awgwLU3rW8mpWcKSd9p92u5Z8/3bx4zRlG4TphvFMtPynk1+vnz1ZjaNTcD950ChiB&#10;OGzG0PIhxtAUBcpBWYEzH5Sjy96DFZFc2BUdiJHQrSnmZfmqGD10AbxUiBTdTJf8jAhPAfR9r6Xa&#10;eLm3ysUJFZQRkSjhoAPyde6275WMH/seVWSm5cQ05pOKkL1NZ7FeiWYHIgxanlsQT2nhEScrtKOi&#10;F6iNiILtQf8DZbUEj76PM+ltMRHJihCLqnykzd0ggspcSGoMF9Hx/8HKD4dbYLqjTahp8E5YGvmv&#10;r99//vjG5nWd9BkDNpR2F27h7CGZieyxB5u+RIMds6ani6bqGJmkYLWY1yWpLemqKuvlcpEwi4fH&#10;ATC+U96yZLQcaGRZSXF4j3FK/Z2SaqE3urvRxmQHdtu3BthBpPEuX169uZremjCIKVovSio/4eCU&#10;nsv/hWNcQnM+4U6pKVIk5hPXZG19dyKtRlqWluOXvQDF2T6A3g3Ud5VrpDyaVK5w3qq0Cn/6Gffh&#10;T1rf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D3+58PZAAAADQEAAA8AAAAAAAAAAQAgAAAAIgAA&#10;AGRycy9kb3ducmV2LnhtbFBLAQIUABQAAAAIAIdO4kBe+g8zzgEAAJEDAAAOAAAAAAAAAAEAIAAA&#10;ACgBAABkcnMvZTJvRG9jLnhtbFBLBQYAAAAABgAGAFkBAABoBQAAAAA=&#10;">
                <v:fill on="t" opacity="29491f" focussize="0,0"/>
                <v:stroke on="f"/>
                <v:imagedata o:title=""/>
                <o:lock v:ext="edit" aspectratio="f"/>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82816" behindDoc="0" locked="0" layoutInCell="1" allowOverlap="1">
                <wp:simplePos x="0" y="0"/>
                <wp:positionH relativeFrom="column">
                  <wp:posOffset>7277100</wp:posOffset>
                </wp:positionH>
                <wp:positionV relativeFrom="paragraph">
                  <wp:posOffset>3793490</wp:posOffset>
                </wp:positionV>
                <wp:extent cx="1162050" cy="1056640"/>
                <wp:effectExtent l="4445" t="4445" r="14605" b="5715"/>
                <wp:wrapNone/>
                <wp:docPr id="149" name="矩形 241"/>
                <wp:cNvGraphicFramePr/>
                <a:graphic xmlns:a="http://schemas.openxmlformats.org/drawingml/2006/main">
                  <a:graphicData uri="http://schemas.microsoft.com/office/word/2010/wordprocessingShape">
                    <wps:wsp>
                      <wps:cNvSpPr/>
                      <wps:spPr>
                        <a:xfrm>
                          <a:off x="0" y="0"/>
                          <a:ext cx="1162050" cy="10566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A358CC">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7DBCC648">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生态评价范围</w:t>
                            </w:r>
                          </w:p>
                          <w:p w14:paraId="4CF88673">
                            <w:pPr>
                              <w:pStyle w:val="2"/>
                              <w:rPr>
                                <w:rFonts w:hint="eastAsia"/>
                                <w:sz w:val="18"/>
                                <w:szCs w:val="18"/>
                                <w:lang w:val="en-US" w:eastAsia="zh-CN"/>
                              </w:rPr>
                            </w:pPr>
                          </w:p>
                          <w:p w14:paraId="55E47EE8">
                            <w:pPr>
                              <w:pStyle w:val="2"/>
                              <w:rPr>
                                <w:rFonts w:hint="default"/>
                                <w:sz w:val="18"/>
                                <w:szCs w:val="18"/>
                                <w:lang w:val="en-US" w:eastAsia="zh-CN"/>
                              </w:rPr>
                            </w:pPr>
                            <w:r>
                              <w:rPr>
                                <w:rFonts w:hint="eastAsia"/>
                                <w:sz w:val="18"/>
                                <w:szCs w:val="18"/>
                                <w:lang w:val="en-US" w:eastAsia="zh-CN"/>
                              </w:rPr>
                              <w:t xml:space="preserve">  河道改道范围</w:t>
                            </w:r>
                          </w:p>
                          <w:p w14:paraId="70F6BC1E">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p>
                        </w:txbxContent>
                      </wps:txbx>
                      <wps:bodyPr vert="horz" wrap="square" anchor="t" anchorCtr="0" upright="1"/>
                    </wps:wsp>
                  </a:graphicData>
                </a:graphic>
              </wp:anchor>
            </w:drawing>
          </mc:Choice>
          <mc:Fallback>
            <w:pict>
              <v:rect id="矩形 241" o:spid="_x0000_s1026" o:spt="1" style="position:absolute;left:0pt;margin-left:573pt;margin-top:298.7pt;height:83.2pt;width:91.5pt;z-index:251682816;mso-width-relative:page;mso-height-relative:page;" fillcolor="#FFFFFF" filled="t" stroked="t" coordsize="21600,21600" o:gfxdata="UEsDBAoAAAAAAIdO4kAAAAAAAAAAAAAAAAAEAAAAZHJzL1BLAwQUAAAACACHTuJASuOyxNsAAAAN&#10;AQAADwAAAGRycy9kb3ducmV2LnhtbE2PQVODMBCF7874HzLrjDebAJUWJPSgU2c8tvTibSEroCRh&#10;SGjRX2960uN7++bt94rdogd2psn11kiIVgIYmcaq3rQSTtX+YQvMeTQKB2tIwjc52JW3NwXmyl7M&#10;gc5H37JQYlyOEjrvx5xz13Sk0a3sSCbcPuyk0Qc5tVxNeAnleuCxECnX2JvwocORnjtqvo6zllD3&#10;8Ql/DtWr0Nk+8W9L9Tm/v0h5fxeJJ2CeFv8Xhit+QIcyMNV2NsqxIehonYYxXsJjtlkDu0aSOAtW&#10;LWGTJlvgZcH/ryh/AVBLAwQUAAAACACHTuJAHYeVMSUCAABhBAAADgAAAGRycy9lMm9Eb2MueG1s&#10;rVTNjtMwEL4j8Q6W72ySqq3YqOketpQLgpUWHmBqO4kl/2G7TcrLIHHjIXgcxGswdkr3Bw49kEMy&#10;tsffzPfNTFY3o1bkIHyQ1jS0uiopEYZZLk3X0E8ft69eUxIiGA7KGtHQowj0Zv3yxWpwtZjZ3iou&#10;PEEQE+rBNbSP0dVFEVgvNIQr64TBw9Z6DRGXviu4hwHRtSpmZbksBuu585aJEHB3Mx3SE6K/BNC2&#10;rWRiY9leCxMnVC8URKQUeukCXeds21aw+KFtg4hENRSZxvzGIGjv0rtYr6DuPLheslMKcEkKzzhp&#10;kAaDnqE2EIHsvfwLSkvmbbBtvGJWFxORrAiyqMpn2tz34ETmglIHdxY9/D9Y9v5w54nk2Anza0oM&#10;aCz5r6/ff/74RmbzKukzuFCj272786dVQDORHVuv0xdpkDFrejxrKsZIGG5W1XJWLlBuhmdVuVgu&#10;51n14uG68yG+FVaTZDTUY9GylnB4FyKGRNc/LilasEryrVQqL3y3u1WeHAALvM1PyhmvPHFThgwN&#10;vV7MFpgIYNe22C1oaofMg+lyvCc3wmPgMj//Ak6JbSD0UwIZIblBrWUUSS+oewH8jeEkHh1qa3Co&#10;aEpGC06JEjiDycqeEaS6xBPZKYMkU2WmWiQrjrsRYZK5s/yIZcUpRz17679gROxxpPp5Dx7jg2G4&#10;3VDUYDJv4zQUe+dl1+OtXPocATsvC3qaktTaj9c5j4c/w/o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uOyxNsAAAANAQAADwAAAAAAAAABACAAAAAiAAAAZHJzL2Rvd25yZXYueG1sUEsBAhQAFAAA&#10;AAgAh07iQB2HlTElAgAAYQQAAA4AAAAAAAAAAQAgAAAAKgEAAGRycy9lMm9Eb2MueG1sUEsFBgAA&#10;AAAGAAYAWQEAAMEFAAAAAA==&#10;">
                <v:fill on="t" focussize="0,0"/>
                <v:stroke color="#000000" joinstyle="miter"/>
                <v:imagedata o:title=""/>
                <o:lock v:ext="edit" aspectratio="f"/>
                <v:textbox>
                  <w:txbxContent>
                    <w:p w14:paraId="07A358CC">
                      <w:pPr>
                        <w:keepNext w:val="0"/>
                        <w:keepLines w:val="0"/>
                        <w:pageBreakBefore w:val="0"/>
                        <w:widowControl w:val="0"/>
                        <w:kinsoku/>
                        <w:wordWrap/>
                        <w:overflowPunct/>
                        <w:topLinePunct w:val="0"/>
                        <w:bidi w:val="0"/>
                        <w:adjustRightInd/>
                        <w:snapToGrid/>
                        <w:spacing w:before="0" w:beforeLines="50"/>
                        <w:jc w:val="center"/>
                        <w:textAlignment w:val="auto"/>
                        <w:rPr>
                          <w:rFonts w:hint="default"/>
                          <w:sz w:val="18"/>
                          <w:szCs w:val="18"/>
                          <w:lang w:val="en-US" w:eastAsia="zh-CN"/>
                        </w:rPr>
                      </w:pPr>
                      <w:r>
                        <w:rPr>
                          <w:rFonts w:hint="eastAsia"/>
                          <w:sz w:val="18"/>
                          <w:szCs w:val="18"/>
                          <w:lang w:val="en-US" w:eastAsia="zh-CN"/>
                        </w:rPr>
                        <w:t>图例</w:t>
                      </w:r>
                    </w:p>
                    <w:p w14:paraId="7DBCC648">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eastAsia"/>
                          <w:sz w:val="18"/>
                          <w:szCs w:val="18"/>
                          <w:lang w:val="en-US" w:eastAsia="zh-CN"/>
                        </w:rPr>
                      </w:pPr>
                      <w:r>
                        <w:rPr>
                          <w:rFonts w:hint="eastAsia"/>
                          <w:sz w:val="18"/>
                          <w:szCs w:val="18"/>
                          <w:lang w:val="en-US" w:eastAsia="zh-CN"/>
                        </w:rPr>
                        <w:t>生态评价范围</w:t>
                      </w:r>
                    </w:p>
                    <w:p w14:paraId="4CF88673">
                      <w:pPr>
                        <w:pStyle w:val="2"/>
                        <w:rPr>
                          <w:rFonts w:hint="eastAsia"/>
                          <w:sz w:val="18"/>
                          <w:szCs w:val="18"/>
                          <w:lang w:val="en-US" w:eastAsia="zh-CN"/>
                        </w:rPr>
                      </w:pPr>
                    </w:p>
                    <w:p w14:paraId="55E47EE8">
                      <w:pPr>
                        <w:pStyle w:val="2"/>
                        <w:rPr>
                          <w:rFonts w:hint="default"/>
                          <w:sz w:val="18"/>
                          <w:szCs w:val="18"/>
                          <w:lang w:val="en-US" w:eastAsia="zh-CN"/>
                        </w:rPr>
                      </w:pPr>
                      <w:r>
                        <w:rPr>
                          <w:rFonts w:hint="eastAsia"/>
                          <w:sz w:val="18"/>
                          <w:szCs w:val="18"/>
                          <w:lang w:val="en-US" w:eastAsia="zh-CN"/>
                        </w:rPr>
                        <w:t xml:space="preserve">  河道改道范围</w:t>
                      </w:r>
                    </w:p>
                    <w:p w14:paraId="70F6BC1E">
                      <w:pPr>
                        <w:keepNext w:val="0"/>
                        <w:keepLines w:val="0"/>
                        <w:pageBreakBefore w:val="0"/>
                        <w:widowControl w:val="0"/>
                        <w:kinsoku/>
                        <w:wordWrap/>
                        <w:overflowPunct/>
                        <w:topLinePunct w:val="0"/>
                        <w:bidi w:val="0"/>
                        <w:adjustRightInd/>
                        <w:snapToGrid/>
                        <w:spacing w:before="0" w:beforeLines="50"/>
                        <w:ind w:firstLine="360" w:firstLineChars="200"/>
                        <w:textAlignment w:val="auto"/>
                        <w:rPr>
                          <w:rFonts w:hint="default"/>
                          <w:sz w:val="18"/>
                          <w:szCs w:val="18"/>
                          <w:lang w:val="en-US" w:eastAsia="zh-CN"/>
                        </w:rPr>
                      </w:pPr>
                    </w:p>
                  </w:txbxContent>
                </v:textbox>
              </v:rect>
            </w:pict>
          </mc:Fallback>
        </mc:AlternateContent>
      </w:r>
      <w:r>
        <w:rPr>
          <w:rFonts w:hint="default" w:ascii="Times New Roman" w:hAnsi="Times New Roman" w:cs="Times New Roman"/>
          <w:highlight w:val="none"/>
        </w:rPr>
        <w:drawing>
          <wp:inline distT="0" distB="0" distL="114300" distR="114300">
            <wp:extent cx="6323330" cy="4860290"/>
            <wp:effectExtent l="0" t="0" r="1270" b="16510"/>
            <wp:docPr id="141" name="图片 141" descr="185e022f6a2dffce7fb46df4007b4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185e022f6a2dffce7fb46df4007b42c1"/>
                    <pic:cNvPicPr>
                      <a:picLocks noChangeAspect="1"/>
                    </pic:cNvPicPr>
                  </pic:nvPicPr>
                  <pic:blipFill>
                    <a:blip r:embed="rId33"/>
                    <a:stretch>
                      <a:fillRect/>
                    </a:stretch>
                  </pic:blipFill>
                  <pic:spPr>
                    <a:xfrm>
                      <a:off x="0" y="0"/>
                      <a:ext cx="6323330" cy="4860290"/>
                    </a:xfrm>
                    <a:prstGeom prst="rect">
                      <a:avLst/>
                    </a:prstGeom>
                  </pic:spPr>
                </pic:pic>
              </a:graphicData>
            </a:graphic>
          </wp:inline>
        </w:drawing>
      </w:r>
    </w:p>
    <w:p w14:paraId="6133DDD7">
      <w:pPr>
        <w:bidi w:val="0"/>
        <w:rPr>
          <w:rFonts w:hint="default" w:ascii="Times New Roman" w:hAnsi="Times New Roman" w:cs="Times New Roman"/>
          <w:highlight w:val="none"/>
        </w:rPr>
      </w:pPr>
    </w:p>
    <w:p w14:paraId="75FEECAA">
      <w:pPr>
        <w:pStyle w:val="5"/>
        <w:bidi w:val="0"/>
        <w:rPr>
          <w:rFonts w:hint="default" w:ascii="Times New Roman" w:hAnsi="Times New Roman" w:cs="Times New Roman"/>
          <w:b/>
          <w:bCs/>
          <w:szCs w:val="32"/>
          <w:highlight w:val="none"/>
          <w:lang w:val="en-US" w:eastAsia="zh-CN"/>
        </w:rPr>
      </w:pPr>
      <w:bookmarkStart w:id="71" w:name="_Toc26547"/>
      <w:r>
        <w:rPr>
          <w:rFonts w:hint="default" w:ascii="Times New Roman" w:hAnsi="Times New Roman" w:cs="Times New Roman"/>
          <w:highlight w:val="none"/>
          <w:lang w:eastAsia="zh-CN"/>
        </w:rPr>
        <w:t>附图</w:t>
      </w:r>
      <w:r>
        <w:rPr>
          <w:rFonts w:hint="eastAsia" w:ascii="Times New Roman" w:hAnsi="Times New Roman" w:cs="Times New Roman"/>
          <w:highlight w:val="none"/>
          <w:lang w:val="en-US" w:eastAsia="zh-CN"/>
        </w:rPr>
        <w:t>8</w:t>
      </w:r>
      <w:r>
        <w:rPr>
          <w:rFonts w:hint="default" w:ascii="Times New Roman" w:hAnsi="Times New Roman" w:cs="Times New Roman"/>
          <w:highlight w:val="none"/>
          <w:lang w:val="en-US" w:eastAsia="zh-CN"/>
        </w:rPr>
        <w:t>（2）  评价范围及环境保护目标分布图</w:t>
      </w:r>
      <w:bookmarkEnd w:id="71"/>
    </w:p>
    <w:p w14:paraId="70CEAC82">
      <w:pPr>
        <w:ind w:firstLine="0"/>
        <w:jc w:val="left"/>
        <w:outlineLvl w:val="9"/>
        <w:rPr>
          <w:rFonts w:hint="default" w:ascii="Times New Roman" w:hAnsi="Times New Roman" w:cs="Times New Roman"/>
          <w:highlight w:val="none"/>
          <w:lang w:val="en-US" w:eastAsia="zh-CN"/>
        </w:rPr>
      </w:pPr>
    </w:p>
    <w:p w14:paraId="7073D2F1">
      <w:pPr>
        <w:keepNext w:val="0"/>
        <w:keepLines w:val="0"/>
        <w:pageBreakBefore w:val="0"/>
        <w:widowControl w:val="0"/>
        <w:kinsoku/>
        <w:wordWrap/>
        <w:overflowPunct/>
        <w:topLinePunct w:val="0"/>
        <w:autoSpaceDE/>
        <w:autoSpaceDN/>
        <w:bidi w:val="0"/>
        <w:adjustRightInd/>
        <w:snapToGrid/>
        <w:ind w:firstLine="0"/>
        <w:jc w:val="center"/>
        <w:textAlignment w:val="auto"/>
        <w:outlineLvl w:val="1"/>
        <w:rPr>
          <w:rFonts w:hint="default" w:ascii="Times New Roman" w:hAnsi="Times New Roman" w:cs="Times New Roman"/>
          <w:highlight w:val="none"/>
          <w:lang w:eastAsia="zh-CN"/>
        </w:rPr>
        <w:sectPr>
          <w:pgSz w:w="16838" w:h="11906" w:orient="landscape"/>
          <w:pgMar w:top="1440" w:right="1800" w:bottom="1440" w:left="1800" w:header="851" w:footer="1077" w:gutter="0"/>
          <w:cols w:space="720" w:num="1"/>
          <w:docGrid w:linePitch="312" w:charSpace="0"/>
        </w:sectPr>
      </w:pPr>
    </w:p>
    <w:p w14:paraId="13E568DB">
      <w:pPr>
        <w:bidi w:val="0"/>
        <w:jc w:val="center"/>
        <w:rPr>
          <w:rFonts w:hint="default" w:ascii="Times New Roman" w:hAnsi="Times New Roman" w:cs="Times New Roman"/>
          <w:highlight w:val="none"/>
        </w:rPr>
      </w:pPr>
    </w:p>
    <w:p w14:paraId="10B5100E">
      <w:pPr>
        <w:pStyle w:val="89"/>
        <w:jc w:val="center"/>
        <w:rPr>
          <w:rFonts w:hint="default" w:ascii="Times New Roman" w:hAnsi="Times New Roman" w:cs="Times New Roman"/>
          <w:color w:val="auto"/>
          <w:highlight w:val="none"/>
        </w:rPr>
      </w:pPr>
      <w:r>
        <w:rPr>
          <w:rFonts w:hint="default" w:ascii="Times New Roman" w:hAnsi="Times New Roman" w:cs="Times New Roman"/>
          <w:highlight w:val="none"/>
        </w:rPr>
        <mc:AlternateContent>
          <mc:Choice Requires="wps">
            <w:drawing>
              <wp:anchor distT="0" distB="0" distL="114300" distR="114300" simplePos="0" relativeHeight="251754496" behindDoc="0" locked="0" layoutInCell="1" allowOverlap="1">
                <wp:simplePos x="0" y="0"/>
                <wp:positionH relativeFrom="column">
                  <wp:posOffset>1133475</wp:posOffset>
                </wp:positionH>
                <wp:positionV relativeFrom="paragraph">
                  <wp:posOffset>2771775</wp:posOffset>
                </wp:positionV>
                <wp:extent cx="771525" cy="268605"/>
                <wp:effectExtent l="5080" t="603885" r="4445" b="22860"/>
                <wp:wrapNone/>
                <wp:docPr id="108" name="自选图形 772"/>
                <wp:cNvGraphicFramePr/>
                <a:graphic xmlns:a="http://schemas.openxmlformats.org/drawingml/2006/main">
                  <a:graphicData uri="http://schemas.microsoft.com/office/word/2010/wordprocessingShape">
                    <wps:wsp>
                      <wps:cNvSpPr/>
                      <wps:spPr>
                        <a:xfrm>
                          <a:off x="0" y="0"/>
                          <a:ext cx="771525" cy="268605"/>
                        </a:xfrm>
                        <a:prstGeom prst="wedgeRectCallout">
                          <a:avLst>
                            <a:gd name="adj1" fmla="val 6707"/>
                            <a:gd name="adj2" fmla="val -263947"/>
                          </a:avLst>
                        </a:prstGeom>
                        <a:solidFill>
                          <a:srgbClr val="FFFFFF"/>
                        </a:solidFill>
                        <a:ln w="9525" cap="flat" cmpd="sng">
                          <a:solidFill>
                            <a:srgbClr val="000000"/>
                          </a:solidFill>
                          <a:prstDash val="solid"/>
                          <a:miter/>
                          <a:headEnd type="none" w="med" len="med"/>
                          <a:tailEnd type="none" w="med" len="med"/>
                        </a:ln>
                      </wps:spPr>
                      <wps:txbx>
                        <w:txbxContent>
                          <w:p w14:paraId="6028CC2C">
                            <w:pPr>
                              <w:keepNext w:val="0"/>
                              <w:keepLines w:val="0"/>
                              <w:pageBreakBefore w:val="0"/>
                              <w:widowControl w:val="0"/>
                              <w:kinsoku/>
                              <w:wordWrap/>
                              <w:overflowPunct/>
                              <w:topLinePunct w:val="0"/>
                              <w:bidi w:val="0"/>
                              <w:adjustRightInd/>
                              <w:snapToGrid w:val="0"/>
                              <w:textAlignment w:val="auto"/>
                              <w:rPr>
                                <w:rFonts w:hint="default" w:eastAsia="宋体"/>
                                <w:color w:val="FF0000"/>
                                <w:sz w:val="18"/>
                                <w:szCs w:val="18"/>
                                <w:lang w:val="en-US" w:eastAsia="zh-CN"/>
                              </w:rPr>
                            </w:pPr>
                            <w:r>
                              <w:rPr>
                                <w:rFonts w:hint="eastAsia"/>
                                <w:color w:val="FF0000"/>
                                <w:sz w:val="18"/>
                                <w:szCs w:val="18"/>
                                <w:lang w:val="en-US" w:eastAsia="zh-CN"/>
                              </w:rPr>
                              <w:t>格木克河</w:t>
                            </w:r>
                          </w:p>
                        </w:txbxContent>
                      </wps:txbx>
                      <wps:bodyPr vert="horz" wrap="square" anchor="t" anchorCtr="0" upright="1"/>
                    </wps:wsp>
                  </a:graphicData>
                </a:graphic>
              </wp:anchor>
            </w:drawing>
          </mc:Choice>
          <mc:Fallback>
            <w:pict>
              <v:shape id="自选图形 772" o:spid="_x0000_s1026" o:spt="61" type="#_x0000_t61" style="position:absolute;left:0pt;margin-left:89.25pt;margin-top:218.25pt;height:21.15pt;width:60.75pt;z-index:251754496;mso-width-relative:page;mso-height-relative:page;" fillcolor="#FFFFFF" filled="t" stroked="t" coordsize="21600,21600" o:gfxdata="UEsDBAoAAAAAAIdO4kAAAAAAAAAAAAAAAAAEAAAAZHJzL1BLAwQUAAAACACHTuJADt4zdNsAAAAL&#10;AQAADwAAAGRycy9kb3ducmV2LnhtbE2PS0/DQAyE70j8h5WRuCC62xTaELLpgYcE9ERBiKOTuEnU&#10;rDfKbh/w6zEnuHns0fibfHl0vdrTGDrPFqYTA4q48nXHjYX3t8fLFFSIyDX2nsnCFwVYFqcnOWa1&#10;P/Ar7dexURLCIUMLbYxDpnWoWnIYJn4gltvGjw6jyLHR9YgHCXe9ToyZa4cdy4cWB7prqdqud87C&#10;51Py/bzCl/ttEqqHj5uy3FwMK2vPz6bmFlSkY/wzwy++oEMhTKXfcR1UL3qRXovVwtVsLoM4ZsZI&#10;u1I2izQFXeT6f4fiB1BLAwQUAAAACACHTuJAng8YwVkCAADDBAAADgAAAGRycy9lMm9Eb2MueG1s&#10;rVS9ktMwEO6Z4R006u/sGBLfZeJckRAaBm44eABFkm0x+kNS4oSKjuEZ6Ch5B3ibm4G3YCWbXO6g&#10;SIELeyWtvt3v213PrnZKoi13Xhhd4dF5jhHX1DChmwq/fbM6u8DIB6IZkUbzCu+5x1fzx49mnZ3y&#10;wrRGMu4QgGg/7WyF2xDsNMs8bbki/txYruGwNk6RAEvXZMyRDtCVzIo8n2Sdccw6Q7n3sLvsD/GA&#10;6E4BNHUtKF8aulFchx7VcUkCUPKtsB7PU7Z1zWl4VdeeByQrDExDekMQsNfxnc1nZNo4YltBhxTI&#10;KSk84KSI0BD0ALUkgaCNE39BKUGd8aYO59SorCeSFAEWo/yBNjctsTxxAam9PYju/x8sfbm9dkgw&#10;6IQcCq+JgpL//PTt18fPt19+3H7/isqyiCp11k/B+cZeu2HlwYyUd7VT8Qtk0C4puz8oy3cBUdgs&#10;y9G4GGNE4aiYXEzyccTM7i5b58NzbhSKRoU7zhr+Gqq3IFKaTUjaku0LH5LIbEiUsHcjjGoloWZb&#10;ItGkzMuhpEcuxbHLWTF5cvk0eUH4ARKsPwlEfG+kYCshZVq4Zr2QDgF+hVfpGXK/5yY16ip82bMk&#10;MBc19CMQVha09bpJDO7d8MfAeXr+BRwTWxLf9gkkhJ6iEoG71L8tJ+yZZijsLVRPw9jimIziDCPJ&#10;YcqjlTwDEfIUTxBEaihQrHpf52iF3Xo3FH9t2B4aB/4jUK3WuA8QEaYIqL7fEAfxiaawXWHQoDcX&#10;oR+7jXWiaeHWKLGNuNDbqRmGOYzDc7xOedz9e+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7e&#10;M3TbAAAACwEAAA8AAAAAAAAAAQAgAAAAIgAAAGRycy9kb3ducmV2LnhtbFBLAQIUABQAAAAIAIdO&#10;4kCeDxjBWQIAAMMEAAAOAAAAAAAAAAEAIAAAACoBAABkcnMvZTJvRG9jLnhtbFBLBQYAAAAABgAG&#10;AFkBAAD1BQAAAAA=&#10;" adj="12249,-46213">
                <v:fill on="t" focussize="0,0"/>
                <v:stroke color="#000000" joinstyle="miter"/>
                <v:imagedata o:title=""/>
                <o:lock v:ext="edit" aspectratio="f"/>
                <v:textbox>
                  <w:txbxContent>
                    <w:p w14:paraId="6028CC2C">
                      <w:pPr>
                        <w:keepNext w:val="0"/>
                        <w:keepLines w:val="0"/>
                        <w:pageBreakBefore w:val="0"/>
                        <w:widowControl w:val="0"/>
                        <w:kinsoku/>
                        <w:wordWrap/>
                        <w:overflowPunct/>
                        <w:topLinePunct w:val="0"/>
                        <w:bidi w:val="0"/>
                        <w:adjustRightInd/>
                        <w:snapToGrid w:val="0"/>
                        <w:textAlignment w:val="auto"/>
                        <w:rPr>
                          <w:rFonts w:hint="default" w:eastAsia="宋体"/>
                          <w:color w:val="FF0000"/>
                          <w:sz w:val="18"/>
                          <w:szCs w:val="18"/>
                          <w:lang w:val="en-US" w:eastAsia="zh-CN"/>
                        </w:rPr>
                      </w:pPr>
                      <w:r>
                        <w:rPr>
                          <w:rFonts w:hint="eastAsia"/>
                          <w:color w:val="FF0000"/>
                          <w:sz w:val="18"/>
                          <w:szCs w:val="18"/>
                          <w:lang w:val="en-US" w:eastAsia="zh-CN"/>
                        </w:rPr>
                        <w:t>格木克河</w:t>
                      </w:r>
                    </w:p>
                  </w:txbxContent>
                </v:textbox>
              </v:shape>
            </w:pict>
          </mc:Fallback>
        </mc:AlternateContent>
      </w:r>
      <w:r>
        <w:rPr>
          <w:color w:val="000000"/>
          <w:highlight w:val="none"/>
        </w:rPr>
        <w:drawing>
          <wp:inline distT="0" distB="0" distL="114300" distR="114300">
            <wp:extent cx="7231380" cy="4764405"/>
            <wp:effectExtent l="0" t="0" r="7620" b="17145"/>
            <wp:docPr id="1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1"/>
                    </pic:cNvPicPr>
                  </pic:nvPicPr>
                  <pic:blipFill>
                    <a:blip r:embed="rId34"/>
                    <a:srcRect l="30060" t="20041" r="30164" b="12874"/>
                    <a:stretch>
                      <a:fillRect/>
                    </a:stretch>
                  </pic:blipFill>
                  <pic:spPr>
                    <a:xfrm>
                      <a:off x="0" y="0"/>
                      <a:ext cx="7231380" cy="4764405"/>
                    </a:xfrm>
                    <a:prstGeom prst="rect">
                      <a:avLst/>
                    </a:prstGeom>
                    <a:noFill/>
                    <a:ln>
                      <a:noFill/>
                    </a:ln>
                  </pic:spPr>
                </pic:pic>
              </a:graphicData>
            </a:graphic>
          </wp:inline>
        </w:drawing>
      </w:r>
    </w:p>
    <w:p w14:paraId="40AF4287">
      <w:pPr>
        <w:pStyle w:val="5"/>
        <w:bidi w:val="0"/>
        <w:rPr>
          <w:rFonts w:hint="default" w:ascii="Times New Roman" w:hAnsi="Times New Roman" w:cs="Times New Roman"/>
          <w:highlight w:val="yellow"/>
          <w:lang w:eastAsia="zh-CN"/>
        </w:rPr>
      </w:pPr>
      <w:bookmarkStart w:id="72" w:name="_Toc30797"/>
      <w:bookmarkStart w:id="73" w:name="_Toc82120808"/>
      <w:r>
        <w:rPr>
          <w:rFonts w:hint="default" w:ascii="Times New Roman" w:hAnsi="Times New Roman" w:cs="Times New Roman"/>
          <w:highlight w:val="yellow"/>
          <w:lang w:eastAsia="zh-CN"/>
        </w:rPr>
        <w:t>附图</w:t>
      </w:r>
      <w:r>
        <w:rPr>
          <w:rFonts w:hint="eastAsia" w:ascii="Times New Roman" w:hAnsi="Times New Roman" w:cs="Times New Roman"/>
          <w:highlight w:val="yellow"/>
          <w:lang w:val="en-US" w:eastAsia="zh-CN"/>
        </w:rPr>
        <w:t>9</w:t>
      </w:r>
      <w:r>
        <w:rPr>
          <w:rFonts w:hint="default" w:ascii="Times New Roman" w:hAnsi="Times New Roman" w:cs="Times New Roman"/>
          <w:highlight w:val="yellow"/>
          <w:lang w:val="en-US" w:eastAsia="zh-CN"/>
        </w:rPr>
        <w:t xml:space="preserve">  </w:t>
      </w:r>
      <w:r>
        <w:rPr>
          <w:rFonts w:hint="default" w:ascii="Times New Roman" w:hAnsi="Times New Roman" w:cs="Times New Roman"/>
          <w:highlight w:val="yellow"/>
          <w:lang w:eastAsia="zh-CN"/>
        </w:rPr>
        <w:t>工程所在流域水系图</w:t>
      </w:r>
      <w:bookmarkEnd w:id="72"/>
      <w:bookmarkEnd w:id="73"/>
    </w:p>
    <w:p w14:paraId="7ACC1804">
      <w:pPr>
        <w:pStyle w:val="23"/>
        <w:tabs>
          <w:tab w:val="left" w:pos="5633"/>
        </w:tabs>
        <w:adjustRightInd w:val="0"/>
        <w:snapToGrid w:val="0"/>
        <w:spacing w:before="0" w:beforeAutospacing="0" w:after="0" w:afterAutospacing="0" w:line="648" w:lineRule="auto"/>
        <w:ind w:firstLine="482"/>
        <w:outlineLvl w:val="0"/>
        <w:rPr>
          <w:rFonts w:hint="default" w:ascii="Times New Roman" w:hAnsi="Times New Roman" w:cs="Times New Roman"/>
          <w:b/>
          <w:color w:val="auto"/>
          <w:highlight w:val="none"/>
        </w:rPr>
        <w:sectPr>
          <w:pgSz w:w="16838" w:h="11906" w:orient="landscape"/>
          <w:pgMar w:top="1803" w:right="1440" w:bottom="1803" w:left="1440" w:header="851" w:footer="1077" w:gutter="0"/>
          <w:cols w:space="0" w:num="1"/>
          <w:rtlGutter w:val="0"/>
          <w:docGrid w:linePitch="312" w:charSpace="0"/>
        </w:sectPr>
      </w:pPr>
    </w:p>
    <w:p w14:paraId="3D1B4852">
      <w:pPr>
        <w:bidi w:val="0"/>
        <w:jc w:val="center"/>
        <w:rPr>
          <w:highlight w:val="none"/>
        </w:rPr>
      </w:pPr>
      <w:r>
        <w:rPr>
          <w:rFonts w:hint="default" w:ascii="Times New Roman" w:hAnsi="Times New Roman" w:cs="Times New Roman"/>
          <w:highlight w:val="none"/>
        </w:rPr>
        <mc:AlternateContent>
          <mc:Choice Requires="wps">
            <w:drawing>
              <wp:anchor distT="0" distB="0" distL="114300" distR="114300" simplePos="0" relativeHeight="251660288" behindDoc="0" locked="0" layoutInCell="1" allowOverlap="1">
                <wp:simplePos x="0" y="0"/>
                <wp:positionH relativeFrom="column">
                  <wp:posOffset>3771900</wp:posOffset>
                </wp:positionH>
                <wp:positionV relativeFrom="paragraph">
                  <wp:posOffset>1711325</wp:posOffset>
                </wp:positionV>
                <wp:extent cx="951865" cy="801370"/>
                <wp:effectExtent l="4445" t="4445" r="15240" b="299085"/>
                <wp:wrapNone/>
                <wp:docPr id="4" name="自选图形 772"/>
                <wp:cNvGraphicFramePr/>
                <a:graphic xmlns:a="http://schemas.openxmlformats.org/drawingml/2006/main">
                  <a:graphicData uri="http://schemas.microsoft.com/office/word/2010/wordprocessingShape">
                    <wps:wsp>
                      <wps:cNvSpPr/>
                      <wps:spPr>
                        <a:xfrm>
                          <a:off x="0" y="0"/>
                          <a:ext cx="951865" cy="801370"/>
                        </a:xfrm>
                        <a:prstGeom prst="wedgeRectCallout">
                          <a:avLst>
                            <a:gd name="adj1" fmla="val -41408"/>
                            <a:gd name="adj2" fmla="val 83643"/>
                          </a:avLst>
                        </a:prstGeom>
                        <a:solidFill>
                          <a:srgbClr val="FFFFFF"/>
                        </a:solidFill>
                        <a:ln w="9525" cap="flat" cmpd="sng">
                          <a:solidFill>
                            <a:srgbClr val="000000"/>
                          </a:solidFill>
                          <a:prstDash val="solid"/>
                          <a:miter/>
                          <a:headEnd type="none" w="med" len="med"/>
                          <a:tailEnd type="none" w="med" len="med"/>
                        </a:ln>
                      </wps:spPr>
                      <wps:txbx>
                        <w:txbxContent>
                          <w:p w14:paraId="3062A8E8">
                            <w:pPr>
                              <w:keepNext w:val="0"/>
                              <w:keepLines w:val="0"/>
                              <w:pageBreakBefore w:val="0"/>
                              <w:widowControl w:val="0"/>
                              <w:kinsoku/>
                              <w:wordWrap/>
                              <w:overflowPunct/>
                              <w:topLinePunct w:val="0"/>
                              <w:bidi w:val="0"/>
                              <w:adjustRightInd/>
                              <w:snapToGrid w:val="0"/>
                              <w:textAlignment w:val="auto"/>
                              <w:rPr>
                                <w:rFonts w:hint="eastAsia" w:eastAsia="宋体"/>
                                <w:sz w:val="18"/>
                                <w:szCs w:val="18"/>
                                <w:lang w:eastAsia="zh-CN"/>
                              </w:rPr>
                            </w:pPr>
                            <w:r>
                              <w:rPr>
                                <w:rFonts w:hint="eastAsia"/>
                                <w:sz w:val="18"/>
                                <w:szCs w:val="18"/>
                                <w:lang w:val="en-US" w:eastAsia="zh-CN"/>
                              </w:rPr>
                              <w:t>主体工程</w:t>
                            </w:r>
                            <w:r>
                              <w:rPr>
                                <w:rFonts w:hint="eastAsia"/>
                                <w:sz w:val="18"/>
                                <w:szCs w:val="18"/>
                              </w:rPr>
                              <w:t>区</w:t>
                            </w:r>
                            <w:r>
                              <w:rPr>
                                <w:rFonts w:hint="eastAsia"/>
                                <w:sz w:val="18"/>
                                <w:szCs w:val="18"/>
                                <w:lang w:eastAsia="zh-CN"/>
                              </w:rPr>
                              <w:t>:</w:t>
                            </w:r>
                            <w:r>
                              <w:rPr>
                                <w:rFonts w:hint="eastAsia"/>
                                <w:sz w:val="18"/>
                                <w:szCs w:val="18"/>
                                <w:lang w:val="en-US" w:eastAsia="zh-CN"/>
                              </w:rPr>
                              <w:t>表土剥离，编织袋拦挡，</w:t>
                            </w:r>
                            <w:r>
                              <w:rPr>
                                <w:rFonts w:hint="eastAsia"/>
                                <w:sz w:val="18"/>
                                <w:szCs w:val="18"/>
                              </w:rPr>
                              <w:t>土地复垦</w:t>
                            </w:r>
                            <w:r>
                              <w:rPr>
                                <w:rFonts w:hint="eastAsia"/>
                                <w:sz w:val="18"/>
                                <w:szCs w:val="18"/>
                                <w:lang w:eastAsia="zh-CN"/>
                              </w:rPr>
                              <w:t>、撒播种草</w:t>
                            </w:r>
                          </w:p>
                        </w:txbxContent>
                      </wps:txbx>
                      <wps:bodyPr vert="horz" wrap="square" anchor="t" anchorCtr="0" upright="1"/>
                    </wps:wsp>
                  </a:graphicData>
                </a:graphic>
              </wp:anchor>
            </w:drawing>
          </mc:Choice>
          <mc:Fallback>
            <w:pict>
              <v:shape id="自选图形 772" o:spid="_x0000_s1026" o:spt="61" type="#_x0000_t61" style="position:absolute;left:0pt;margin-left:297pt;margin-top:134.75pt;height:63.1pt;width:74.95pt;z-index:251660288;mso-width-relative:page;mso-height-relative:page;" fillcolor="#FFFFFF" filled="t" stroked="t" coordsize="21600,21600" o:gfxdata="UEsDBAoAAAAAAIdO4kAAAAAAAAAAAAAAAAAEAAAAZHJzL1BLAwQUAAAACACHTuJAfag7wNoAAAAL&#10;AQAADwAAAGRycy9kb3ducmV2LnhtbE2PQU+DQBSE7yb+h80z8WaX0kIFWZpo4sWmh2J/wCv7BAL7&#10;Ftmlrf/e9WSPk5nMfFNsr2YQZ5pcZ1nBchGBIK6t7rhRcPx8f3oG4TyyxsEyKfghB9vy/q7AXNsL&#10;H+hc+UaEEnY5Kmi9H3MpXd2SQbewI3Hwvuxk0Ac5NVJPeAnlZpBxFKXSYMdhocWR3lqq+2o2CvZH&#10;19Sv+2rGfhfLntOPXXX4VurxYRm9gPB09f9h+MMP6FAGppOdWTsxKEiydfjiFcRploAIic16lYE4&#10;KVhlyQZkWcjbD+UvUEsDBBQAAAAIAIdO4kD0BVh5WAIAAMEEAAAOAAAAZHJzL2Uyb0RvYy54bWyt&#10;VE1y0zAU3jPDHTTat7aTNAmZOl0klA0DHQoHUCTZFqM/JCV2WLFjOEN3LLkD3KYzcAueZJOmhUUX&#10;eGE/SU+f3vd9ej6/6JREO+68MLrExWmOEdfUMKHrEr97e3kyx8gHohmRRvMS77nHF8unT85bu+Aj&#10;0xjJuEMAov2itSVuQrCLLPO04Yr4U2O5hsXKOEUCDF2dMUdaQFcyG+X5NGuNY9YZyr2H2XW/iAdE&#10;9xhAU1WC8rWhW8V16FEdlyQAJd8I6/EyVVtVnIbXVeV5QLLEwDSkNxwC8Sa+s+U5WdSO2EbQoQTy&#10;mBIecFJEaDj0ALUmgaCtE39BKUGd8aYKp9SorCeSFAEWRf5Am+uGWJ64gNTeHkT3/w+WvtpdOSRY&#10;iScYaaLA8J+fv/369OX25sft969oNhtFjVrrF5B6ba/cMPIQRsJd5VT8AhXUJV33B115FxCFyWdn&#10;xXx6hhGFpXlejGdJ9+xus3U+vOBGoRiUuOWs5m/AuxWR0mxDUpbsXvqQJGZDoYS9LzCqlATHdkSi&#10;k0kxyeeDpUdJo+Ok+Xg6GcccOH6AhOhPARHfGynYpZAyDVy9WUmHAL/El+kZNt9Lkxq1kecosiTQ&#10;FRXcRgiVBWW9rhODezv8MXCenn8Bx8LWxDd9AQmhJ6hE4C7d3oYT9lwzFPYW3NPQtDgWozjDSHLo&#10;8RilzECEfEwmCCI1KBRd732OUeg23WD+xrA9XBv4i4BbjXEf4UToIaD6YUscnE80hekSgwZ9uAp9&#10;022tE3UDu4rENuLCzU5uDF0YW+d4nOq4+/M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9qDvA&#10;2gAAAAsBAAAPAAAAAAAAAAEAIAAAACIAAABkcnMvZG93bnJldi54bWxQSwECFAAUAAAACACHTuJA&#10;9AVYeVgCAADBBAAADgAAAAAAAAABACAAAAApAQAAZHJzL2Uyb0RvYy54bWxQSwUGAAAAAAYABgBZ&#10;AQAA8wUAAAAA&#10;" adj="1856,28867">
                <v:fill on="t" focussize="0,0"/>
                <v:stroke color="#000000" joinstyle="miter"/>
                <v:imagedata o:title=""/>
                <o:lock v:ext="edit" aspectratio="f"/>
                <v:textbox>
                  <w:txbxContent>
                    <w:p w14:paraId="3062A8E8">
                      <w:pPr>
                        <w:keepNext w:val="0"/>
                        <w:keepLines w:val="0"/>
                        <w:pageBreakBefore w:val="0"/>
                        <w:widowControl w:val="0"/>
                        <w:kinsoku/>
                        <w:wordWrap/>
                        <w:overflowPunct/>
                        <w:topLinePunct w:val="0"/>
                        <w:bidi w:val="0"/>
                        <w:adjustRightInd/>
                        <w:snapToGrid w:val="0"/>
                        <w:textAlignment w:val="auto"/>
                        <w:rPr>
                          <w:rFonts w:hint="eastAsia" w:eastAsia="宋体"/>
                          <w:sz w:val="18"/>
                          <w:szCs w:val="18"/>
                          <w:lang w:eastAsia="zh-CN"/>
                        </w:rPr>
                      </w:pPr>
                      <w:r>
                        <w:rPr>
                          <w:rFonts w:hint="eastAsia"/>
                          <w:sz w:val="18"/>
                          <w:szCs w:val="18"/>
                          <w:lang w:val="en-US" w:eastAsia="zh-CN"/>
                        </w:rPr>
                        <w:t>主体工程</w:t>
                      </w:r>
                      <w:r>
                        <w:rPr>
                          <w:rFonts w:hint="eastAsia"/>
                          <w:sz w:val="18"/>
                          <w:szCs w:val="18"/>
                        </w:rPr>
                        <w:t>区</w:t>
                      </w:r>
                      <w:r>
                        <w:rPr>
                          <w:rFonts w:hint="eastAsia"/>
                          <w:sz w:val="18"/>
                          <w:szCs w:val="18"/>
                          <w:lang w:eastAsia="zh-CN"/>
                        </w:rPr>
                        <w:t>:</w:t>
                      </w:r>
                      <w:r>
                        <w:rPr>
                          <w:rFonts w:hint="eastAsia"/>
                          <w:sz w:val="18"/>
                          <w:szCs w:val="18"/>
                          <w:lang w:val="en-US" w:eastAsia="zh-CN"/>
                        </w:rPr>
                        <w:t>表土剥离，编织袋拦挡，</w:t>
                      </w:r>
                      <w:r>
                        <w:rPr>
                          <w:rFonts w:hint="eastAsia"/>
                          <w:sz w:val="18"/>
                          <w:szCs w:val="18"/>
                        </w:rPr>
                        <w:t>土地复垦</w:t>
                      </w:r>
                      <w:r>
                        <w:rPr>
                          <w:rFonts w:hint="eastAsia"/>
                          <w:sz w:val="18"/>
                          <w:szCs w:val="18"/>
                          <w:lang w:eastAsia="zh-CN"/>
                        </w:rPr>
                        <w:t>、撒播种草</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59264" behindDoc="0" locked="0" layoutInCell="1" allowOverlap="1">
                <wp:simplePos x="0" y="0"/>
                <wp:positionH relativeFrom="column">
                  <wp:posOffset>4815205</wp:posOffset>
                </wp:positionH>
                <wp:positionV relativeFrom="paragraph">
                  <wp:posOffset>2526665</wp:posOffset>
                </wp:positionV>
                <wp:extent cx="1132840" cy="857885"/>
                <wp:effectExtent l="715645" t="4445" r="18415" b="13970"/>
                <wp:wrapNone/>
                <wp:docPr id="2" name="自选图形 771"/>
                <wp:cNvGraphicFramePr/>
                <a:graphic xmlns:a="http://schemas.openxmlformats.org/drawingml/2006/main">
                  <a:graphicData uri="http://schemas.microsoft.com/office/word/2010/wordprocessingShape">
                    <wps:wsp>
                      <wps:cNvSpPr/>
                      <wps:spPr>
                        <a:xfrm>
                          <a:off x="0" y="0"/>
                          <a:ext cx="1132840" cy="857885"/>
                        </a:xfrm>
                        <a:prstGeom prst="wedgeRectCallout">
                          <a:avLst>
                            <a:gd name="adj1" fmla="val -110369"/>
                            <a:gd name="adj2" fmla="val 41857"/>
                          </a:avLst>
                        </a:prstGeom>
                        <a:solidFill>
                          <a:srgbClr val="FFFFFF"/>
                        </a:solidFill>
                        <a:ln w="9525" cap="flat" cmpd="sng">
                          <a:solidFill>
                            <a:srgbClr val="000000"/>
                          </a:solidFill>
                          <a:prstDash val="solid"/>
                          <a:miter/>
                          <a:headEnd type="none" w="med" len="med"/>
                          <a:tailEnd type="none" w="med" len="med"/>
                        </a:ln>
                      </wps:spPr>
                      <wps:txbx>
                        <w:txbxContent>
                          <w:p w14:paraId="303C5E31">
                            <w:pPr>
                              <w:keepNext w:val="0"/>
                              <w:keepLines w:val="0"/>
                              <w:pageBreakBefore w:val="0"/>
                              <w:widowControl w:val="0"/>
                              <w:kinsoku/>
                              <w:wordWrap/>
                              <w:overflowPunct/>
                              <w:topLinePunct w:val="0"/>
                              <w:bidi w:val="0"/>
                              <w:adjustRightInd/>
                              <w:snapToGrid w:val="0"/>
                              <w:spacing w:line="240" w:lineRule="auto"/>
                              <w:textAlignment w:val="auto"/>
                              <w:rPr>
                                <w:rFonts w:hint="eastAsia" w:eastAsia="宋体"/>
                                <w:sz w:val="15"/>
                                <w:szCs w:val="15"/>
                                <w:lang w:eastAsia="zh-CN"/>
                              </w:rPr>
                            </w:pPr>
                            <w:r>
                              <w:rPr>
                                <w:rFonts w:hint="eastAsia"/>
                                <w:sz w:val="15"/>
                                <w:szCs w:val="15"/>
                              </w:rPr>
                              <w:t>施工生产生活区</w:t>
                            </w:r>
                            <w:r>
                              <w:rPr>
                                <w:rFonts w:hint="eastAsia"/>
                                <w:sz w:val="15"/>
                                <w:szCs w:val="15"/>
                                <w:lang w:eastAsia="zh-CN"/>
                              </w:rPr>
                              <w:t>:</w:t>
                            </w:r>
                            <w:r>
                              <w:rPr>
                                <w:rFonts w:hint="eastAsia"/>
                                <w:sz w:val="15"/>
                                <w:szCs w:val="15"/>
                                <w:lang w:val="en-US" w:eastAsia="zh-CN"/>
                              </w:rPr>
                              <w:t>表土剥离，</w:t>
                            </w:r>
                            <w:r>
                              <w:rPr>
                                <w:rFonts w:hint="eastAsia"/>
                                <w:sz w:val="15"/>
                                <w:szCs w:val="15"/>
                              </w:rPr>
                              <w:t>编织袋拦挡，</w:t>
                            </w:r>
                            <w:r>
                              <w:rPr>
                                <w:rFonts w:hint="eastAsia"/>
                                <w:sz w:val="15"/>
                                <w:szCs w:val="15"/>
                                <w:lang w:eastAsia="zh-CN"/>
                              </w:rPr>
                              <w:t>密目网覆盖，</w:t>
                            </w:r>
                            <w:r>
                              <w:rPr>
                                <w:rFonts w:hint="eastAsia"/>
                                <w:sz w:val="15"/>
                                <w:szCs w:val="15"/>
                              </w:rPr>
                              <w:t>临时排水沟和土地复垦</w:t>
                            </w:r>
                            <w:r>
                              <w:rPr>
                                <w:rFonts w:hint="eastAsia"/>
                                <w:sz w:val="15"/>
                                <w:szCs w:val="15"/>
                                <w:lang w:eastAsia="zh-CN"/>
                              </w:rPr>
                              <w:t>、撒播种草</w:t>
                            </w:r>
                          </w:p>
                        </w:txbxContent>
                      </wps:txbx>
                      <wps:bodyPr vert="horz" wrap="square" anchor="t" anchorCtr="0" upright="1"/>
                    </wps:wsp>
                  </a:graphicData>
                </a:graphic>
              </wp:anchor>
            </w:drawing>
          </mc:Choice>
          <mc:Fallback>
            <w:pict>
              <v:shape id="自选图形 771" o:spid="_x0000_s1026" o:spt="61" type="#_x0000_t61" style="position:absolute;left:0pt;margin-left:379.15pt;margin-top:198.95pt;height:67.55pt;width:89.2pt;z-index:251659264;mso-width-relative:page;mso-height-relative:page;" fillcolor="#FFFFFF" filled="t" stroked="t" coordsize="21600,21600" o:gfxdata="UEsDBAoAAAAAAIdO4kAAAAAAAAAAAAAAAAAEAAAAZHJzL1BLAwQUAAAACACHTuJAHchZFNwAAAAL&#10;AQAADwAAAGRycy9kb3ducmV2LnhtbE2PPU/DMBRFdyT+g/WQWBC1i2nzQZwOCBiqLpR26PYaP5LQ&#10;2I5ipw3/HjPB+HSP7j2vWE2mY2cafOusgvlMACNbOd3aWsHu4/U+BeYDWo2ds6TgmzysyuurAnPt&#10;LvadzttQs1hifY4KmhD6nHNfNWTQz1xPNmafbjAY4jnUXA94ieWm4w9CLLnB1saFBnt6bqg6bUej&#10;4LCuXvbicb3H3n29TZtpTOXpTqnbm7l4AhZoCn8w/OpHdSij09GNVnvWKUgWqYyoApklGbBIZHKZ&#10;ADsqWEgpgJcF//9D+QNQSwMEFAAAAAgAh07iQNdrA2BbAgAAwwQAAA4AAABkcnMvZTJvRG9jLnht&#10;bK1UzXLTMBC+M8M7aHRvHKdNm2bi9JAQLgx0KDyAIsm2GP0hKbHDiRvDM3DjyDvA23QG3oKVbJK0&#10;cMgBH+yVtPp2v293PbtplURb7rwwusD5YIgR19QwoasCv32zOptg5APRjEijeYF33OOb+dMns8ZO&#10;+cjURjLuEIBoP21sgesQ7DTLPK25In5gLNdwWBqnSIClqzLmSAPoSmaj4fAya4xj1hnKvYfdZXeI&#10;e0R3CqApS0H50tCN4jp0qI5LEoCSr4X1eJ6yLUtOw6uy9DwgWWBgGtIbgoC9ju9sPiPTyhFbC9qn&#10;QE5J4REnRYSGoHuoJQkEbZz4C0oJ6ow3ZRhQo7KOSFIEWOTDR9rc1cTyxAWk9nYvuv9/sPTl9tYh&#10;wQo8wkgTBQX/+enbr4+f77/8uP/+FV1d5VGjxvopuN7ZW9evPJiRcFs6Fb9ABbVJ191eV94GRGEz&#10;z89HkwuQnMLZZHw1mYwjaHa4bZ0Pz7lRKBoFbjir+Gso3oJIaTYhSUu2L3xIGrM+U8Le5RiVSkLJ&#10;tkSiszwfnl9e90U98gJuB6+LHFLo4/eYkMmfDGIAb6RgKyFlWrhqvZAOQYACr9LTX37gJjVqCnw9&#10;Ho2BJoG5KKEfwVQWtPW6ShQe3PDHwMP0/As4JrYkvu4SSAgdQSUCd6l/a07YM81Q2Fmon4axxTEZ&#10;xRlGksOURyt5BiLkKZ4giNRQoVj3rtLRCu267cu/NmwHjQP/EShXbdwHiAhTBFTfb4iD+ERT2C4w&#10;aNCZi9CN3cY6UdVwKzVWigC9nbqhn8M4PMfrlMfh3zP/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3IWRTcAAAACwEAAA8AAAAAAAAAAQAgAAAAIgAAAGRycy9kb3ducmV2LnhtbFBLAQIUABQAAAAI&#10;AIdO4kDXawNgWwIAAMMEAAAOAAAAAAAAAAEAIAAAACsBAABkcnMvZTJvRG9jLnhtbFBLBQYAAAAA&#10;BgAGAFkBAAD4BQAAAAA=&#10;" adj="-13040,19841">
                <v:fill on="t" focussize="0,0"/>
                <v:stroke color="#000000" joinstyle="miter"/>
                <v:imagedata o:title=""/>
                <o:lock v:ext="edit" aspectratio="f"/>
                <v:textbox>
                  <w:txbxContent>
                    <w:p w14:paraId="303C5E31">
                      <w:pPr>
                        <w:keepNext w:val="0"/>
                        <w:keepLines w:val="0"/>
                        <w:pageBreakBefore w:val="0"/>
                        <w:widowControl w:val="0"/>
                        <w:kinsoku/>
                        <w:wordWrap/>
                        <w:overflowPunct/>
                        <w:topLinePunct w:val="0"/>
                        <w:bidi w:val="0"/>
                        <w:adjustRightInd/>
                        <w:snapToGrid w:val="0"/>
                        <w:spacing w:line="240" w:lineRule="auto"/>
                        <w:textAlignment w:val="auto"/>
                        <w:rPr>
                          <w:rFonts w:hint="eastAsia" w:eastAsia="宋体"/>
                          <w:sz w:val="15"/>
                          <w:szCs w:val="15"/>
                          <w:lang w:eastAsia="zh-CN"/>
                        </w:rPr>
                      </w:pPr>
                      <w:r>
                        <w:rPr>
                          <w:rFonts w:hint="eastAsia"/>
                          <w:sz w:val="15"/>
                          <w:szCs w:val="15"/>
                        </w:rPr>
                        <w:t>施工生产生活区</w:t>
                      </w:r>
                      <w:r>
                        <w:rPr>
                          <w:rFonts w:hint="eastAsia"/>
                          <w:sz w:val="15"/>
                          <w:szCs w:val="15"/>
                          <w:lang w:eastAsia="zh-CN"/>
                        </w:rPr>
                        <w:t>:</w:t>
                      </w:r>
                      <w:r>
                        <w:rPr>
                          <w:rFonts w:hint="eastAsia"/>
                          <w:sz w:val="15"/>
                          <w:szCs w:val="15"/>
                          <w:lang w:val="en-US" w:eastAsia="zh-CN"/>
                        </w:rPr>
                        <w:t>表土剥离，</w:t>
                      </w:r>
                      <w:r>
                        <w:rPr>
                          <w:rFonts w:hint="eastAsia"/>
                          <w:sz w:val="15"/>
                          <w:szCs w:val="15"/>
                        </w:rPr>
                        <w:t>编织袋拦挡，</w:t>
                      </w:r>
                      <w:r>
                        <w:rPr>
                          <w:rFonts w:hint="eastAsia"/>
                          <w:sz w:val="15"/>
                          <w:szCs w:val="15"/>
                          <w:lang w:eastAsia="zh-CN"/>
                        </w:rPr>
                        <w:t>密目网覆盖，</w:t>
                      </w:r>
                      <w:r>
                        <w:rPr>
                          <w:rFonts w:hint="eastAsia"/>
                          <w:sz w:val="15"/>
                          <w:szCs w:val="15"/>
                        </w:rPr>
                        <w:t>临时排水沟和土地复垦</w:t>
                      </w:r>
                      <w:r>
                        <w:rPr>
                          <w:rFonts w:hint="eastAsia"/>
                          <w:sz w:val="15"/>
                          <w:szCs w:val="15"/>
                          <w:lang w:eastAsia="zh-CN"/>
                        </w:rPr>
                        <w:t>、撒播种草</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5824" behindDoc="0" locked="0" layoutInCell="1" allowOverlap="1">
                <wp:simplePos x="0" y="0"/>
                <wp:positionH relativeFrom="column">
                  <wp:posOffset>2200275</wp:posOffset>
                </wp:positionH>
                <wp:positionV relativeFrom="paragraph">
                  <wp:posOffset>3245485</wp:posOffset>
                </wp:positionV>
                <wp:extent cx="838835" cy="591820"/>
                <wp:effectExtent l="5080" t="5080" r="1022985" b="12700"/>
                <wp:wrapNone/>
                <wp:docPr id="50" name="自选图形 772"/>
                <wp:cNvGraphicFramePr/>
                <a:graphic xmlns:a="http://schemas.openxmlformats.org/drawingml/2006/main">
                  <a:graphicData uri="http://schemas.microsoft.com/office/word/2010/wordprocessingShape">
                    <wps:wsp>
                      <wps:cNvSpPr/>
                      <wps:spPr>
                        <a:xfrm>
                          <a:off x="0" y="0"/>
                          <a:ext cx="838835" cy="591820"/>
                        </a:xfrm>
                        <a:prstGeom prst="wedgeRectCallout">
                          <a:avLst>
                            <a:gd name="adj1" fmla="val 165807"/>
                            <a:gd name="adj2" fmla="val 17631"/>
                          </a:avLst>
                        </a:prstGeom>
                        <a:solidFill>
                          <a:srgbClr val="FFFFFF"/>
                        </a:solidFill>
                        <a:ln w="9525" cap="flat" cmpd="sng">
                          <a:solidFill>
                            <a:srgbClr val="000000"/>
                          </a:solidFill>
                          <a:prstDash val="solid"/>
                          <a:miter/>
                          <a:headEnd type="none" w="med" len="med"/>
                          <a:tailEnd type="none" w="med" len="med"/>
                        </a:ln>
                      </wps:spPr>
                      <wps:txbx>
                        <w:txbxContent>
                          <w:p w14:paraId="69FA9016">
                            <w:pPr>
                              <w:keepNext w:val="0"/>
                              <w:keepLines w:val="0"/>
                              <w:pageBreakBefore w:val="0"/>
                              <w:widowControl w:val="0"/>
                              <w:kinsoku/>
                              <w:wordWrap/>
                              <w:overflowPunct/>
                              <w:topLinePunct w:val="0"/>
                              <w:bidi w:val="0"/>
                              <w:adjustRightInd/>
                              <w:snapToGrid w:val="0"/>
                              <w:textAlignment w:val="auto"/>
                              <w:rPr>
                                <w:rFonts w:hint="default" w:eastAsia="宋体"/>
                                <w:sz w:val="15"/>
                                <w:szCs w:val="15"/>
                                <w:lang w:val="en-US" w:eastAsia="zh-CN"/>
                              </w:rPr>
                            </w:pPr>
                            <w:r>
                              <w:rPr>
                                <w:rFonts w:hint="default"/>
                                <w:sz w:val="15"/>
                                <w:szCs w:val="15"/>
                                <w:lang w:val="en-US" w:eastAsia="zh-CN"/>
                              </w:rPr>
                              <w:t>临时材料堆放场:</w:t>
                            </w:r>
                            <w:r>
                              <w:rPr>
                                <w:rFonts w:hint="default" w:cs="Times New Roman"/>
                                <w:bCs/>
                                <w:color w:val="auto"/>
                                <w:spacing w:val="0"/>
                                <w:sz w:val="15"/>
                                <w:szCs w:val="15"/>
                                <w:highlight w:val="none"/>
                                <w:lang w:val="en-US" w:eastAsia="zh-CN"/>
                              </w:rPr>
                              <w:t>苫布遮盖，场地周边布置临时排水沟</w:t>
                            </w:r>
                          </w:p>
                        </w:txbxContent>
                      </wps:txbx>
                      <wps:bodyPr vert="horz" wrap="square" anchor="t" anchorCtr="0" upright="1"/>
                    </wps:wsp>
                  </a:graphicData>
                </a:graphic>
              </wp:anchor>
            </w:drawing>
          </mc:Choice>
          <mc:Fallback>
            <w:pict>
              <v:shape id="自选图形 772" o:spid="_x0000_s1026" o:spt="61" type="#_x0000_t61" style="position:absolute;left:0pt;margin-left:173.25pt;margin-top:255.55pt;height:46.6pt;width:66.05pt;z-index:251725824;mso-width-relative:page;mso-height-relative:page;" fillcolor="#FFFFFF" filled="t" stroked="t" coordsize="21600,21600" o:gfxdata="UEsDBAoAAAAAAIdO4kAAAAAAAAAAAAAAAAAEAAAAZHJzL1BLAwQUAAAACACHTuJAQRym5NkAAAAL&#10;AQAADwAAAGRycy9kb3ducmV2LnhtbE2PQU7DMBBF90jcwRokNhF1TBJThTiVqASCHbQ9gBsPSURs&#10;R7abltszrGA5+k//v2k2FzuxBUMcvVMgVjkwdJ03o+sVHPbPd2tgMWln9OQdKvjGCJv2+qrRtfFn&#10;94HLLvWMSlystYIhpbnmPHYDWh1XfkZH2acPVic6Q89N0GcqtxO/z3PJrR4dLQx6xu2A3dfuZGlE&#10;hqel2vrDax/fXrJin4n3lCl1eyPyR2AJL+kPhl99UoeWnI7+5Exkk4KilBWhCiohBDAiyoe1BHZU&#10;IPOyAN42/P8P7Q9QSwMEFAAAAAgAh07iQHKs2IxXAgAAwgQAAA4AAABkcnMvZTJvRG9jLnhtbK1U&#10;S5LTMBDdU8UdVNoTx0nlM6k4s0gIGwqmGDiAIsm2KP2QlDhhxY7iDOxmyR3gNlMFt6Alm0wysMgC&#10;L+yW1Hrq957a8+u9kmjHnRdGFzjv9THimhomdFXgd2/Xz6YY+UA0I9JoXuAD9/h68fTJvLEzPjC1&#10;kYw7BCDazxpb4DoEO8syT2uuiO8ZyzUslsYpEmDoqow50gC6ktmg3x9njXHMOkO59zC7ahdxh+gu&#10;ATRlKShfGbpVXIcW1XFJAlDytbAeL1K1ZclpeF2WngckCwxMQ3rDIRBv4jtbzMmscsTWgnYlkEtK&#10;eMRJEaHh0CPUigSCtk78BaUEdcabMvSoUVlLJCkCLPL+I21ua2J54gJSe3sU3f8/WPpqd+OQYAUe&#10;gSSaKHD85+dvvz59uf/64/77HZpMBlGkxvoZ5N7aG9eNPISR8b50Kn6BC9onYQ9HYfk+IAqT0+F0&#10;OhxhRGFpdJVPB0n47GGzdT684EahGBS44azib8C8JZHSbEOSluxe+pA0Zl2hhL3PMSqVBMt2RKJ8&#10;PJr2J52nJ0mDs6TJeJjHHDi+g4ToTwER3xsp2FpImQau2iylQ4Bf4HV6us1naVKjpsBXo0FkSaAt&#10;SriOECoL0npdJQZnO/wpcD89/wKOha2Ir9sCEkJLUInAXbq+NSfsuWYoHCy4p6FrcSxGcYaR5NDk&#10;MUqZgQh5SSYIIjUoFF1vfY5R2G/2nfkbww5wb+A3Am7Vxn2EE6GJgOqHLXFwPtEUpgsMGrThMrRd&#10;t7VOVDXsaj2IuHC1kxtdG8beOR2nOh5+PY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Rym5NkA&#10;AAALAQAADwAAAAAAAAABACAAAAAiAAAAZHJzL2Rvd25yZXYueG1sUEsBAhQAFAAAAAgAh07iQHKs&#10;2IxXAgAAwgQAAA4AAAAAAAAAAQAgAAAAKAEAAGRycy9lMm9Eb2MueG1sUEsFBgAAAAAGAAYAWQEA&#10;APEFAAAAAA==&#10;" adj="46614,14608">
                <v:fill on="t" focussize="0,0"/>
                <v:stroke color="#000000" joinstyle="miter"/>
                <v:imagedata o:title=""/>
                <o:lock v:ext="edit" aspectratio="f"/>
                <v:textbox>
                  <w:txbxContent>
                    <w:p w14:paraId="69FA9016">
                      <w:pPr>
                        <w:keepNext w:val="0"/>
                        <w:keepLines w:val="0"/>
                        <w:pageBreakBefore w:val="0"/>
                        <w:widowControl w:val="0"/>
                        <w:kinsoku/>
                        <w:wordWrap/>
                        <w:overflowPunct/>
                        <w:topLinePunct w:val="0"/>
                        <w:bidi w:val="0"/>
                        <w:adjustRightInd/>
                        <w:snapToGrid w:val="0"/>
                        <w:textAlignment w:val="auto"/>
                        <w:rPr>
                          <w:rFonts w:hint="default" w:eastAsia="宋体"/>
                          <w:sz w:val="15"/>
                          <w:szCs w:val="15"/>
                          <w:lang w:val="en-US" w:eastAsia="zh-CN"/>
                        </w:rPr>
                      </w:pPr>
                      <w:r>
                        <w:rPr>
                          <w:rFonts w:hint="default"/>
                          <w:sz w:val="15"/>
                          <w:szCs w:val="15"/>
                          <w:lang w:val="en-US" w:eastAsia="zh-CN"/>
                        </w:rPr>
                        <w:t>临时材料堆放场:</w:t>
                      </w:r>
                      <w:r>
                        <w:rPr>
                          <w:rFonts w:hint="default" w:cs="Times New Roman"/>
                          <w:bCs/>
                          <w:color w:val="auto"/>
                          <w:spacing w:val="0"/>
                          <w:sz w:val="15"/>
                          <w:szCs w:val="15"/>
                          <w:highlight w:val="none"/>
                          <w:lang w:val="en-US" w:eastAsia="zh-CN"/>
                        </w:rPr>
                        <w:t>苫布遮盖，场地周边布置临时排水沟</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3776" behindDoc="0" locked="0" layoutInCell="1" allowOverlap="1">
                <wp:simplePos x="0" y="0"/>
                <wp:positionH relativeFrom="column">
                  <wp:posOffset>2124075</wp:posOffset>
                </wp:positionH>
                <wp:positionV relativeFrom="paragraph">
                  <wp:posOffset>4178935</wp:posOffset>
                </wp:positionV>
                <wp:extent cx="923925" cy="1096645"/>
                <wp:effectExtent l="4445" t="4445" r="1338580" b="22860"/>
                <wp:wrapNone/>
                <wp:docPr id="48" name="自选图形 772"/>
                <wp:cNvGraphicFramePr/>
                <a:graphic xmlns:a="http://schemas.openxmlformats.org/drawingml/2006/main">
                  <a:graphicData uri="http://schemas.microsoft.com/office/word/2010/wordprocessingShape">
                    <wps:wsp>
                      <wps:cNvSpPr/>
                      <wps:spPr>
                        <a:xfrm>
                          <a:off x="0" y="0"/>
                          <a:ext cx="923925" cy="1096645"/>
                        </a:xfrm>
                        <a:prstGeom prst="wedgeRectCallout">
                          <a:avLst>
                            <a:gd name="adj1" fmla="val 190549"/>
                            <a:gd name="adj2" fmla="val -25796"/>
                          </a:avLst>
                        </a:prstGeom>
                        <a:solidFill>
                          <a:srgbClr val="FFFFFF"/>
                        </a:solidFill>
                        <a:ln w="9525" cap="flat" cmpd="sng">
                          <a:solidFill>
                            <a:srgbClr val="000000"/>
                          </a:solidFill>
                          <a:prstDash val="solid"/>
                          <a:miter/>
                          <a:headEnd type="none" w="med" len="med"/>
                          <a:tailEnd type="none" w="med" len="med"/>
                        </a:ln>
                      </wps:spPr>
                      <wps:txbx>
                        <w:txbxContent>
                          <w:p w14:paraId="33CBDE21">
                            <w:pPr>
                              <w:keepNext w:val="0"/>
                              <w:keepLines w:val="0"/>
                              <w:pageBreakBefore w:val="0"/>
                              <w:widowControl w:val="0"/>
                              <w:kinsoku/>
                              <w:wordWrap/>
                              <w:overflowPunct/>
                              <w:topLinePunct w:val="0"/>
                              <w:bidi w:val="0"/>
                              <w:adjustRightInd/>
                              <w:snapToGrid w:val="0"/>
                              <w:textAlignment w:val="auto"/>
                              <w:rPr>
                                <w:rFonts w:hint="eastAsia" w:eastAsia="宋体"/>
                                <w:sz w:val="15"/>
                                <w:szCs w:val="15"/>
                                <w:lang w:eastAsia="zh-CN"/>
                              </w:rPr>
                            </w:pPr>
                            <w:r>
                              <w:rPr>
                                <w:rFonts w:hint="eastAsia"/>
                                <w:sz w:val="15"/>
                                <w:szCs w:val="15"/>
                                <w:lang w:val="en-US" w:eastAsia="zh-CN"/>
                              </w:rPr>
                              <w:t>表土暂存场</w:t>
                            </w:r>
                            <w:r>
                              <w:rPr>
                                <w:rFonts w:hint="eastAsia"/>
                                <w:sz w:val="15"/>
                                <w:szCs w:val="15"/>
                                <w:lang w:eastAsia="zh-CN"/>
                              </w:rPr>
                              <w:t>:</w:t>
                            </w:r>
                            <w:r>
                              <w:rPr>
                                <w:rFonts w:hint="default" w:ascii="Times New Roman" w:hAnsi="Times New Roman" w:eastAsia="宋体" w:cs="Times New Roman"/>
                                <w:bCs/>
                                <w:color w:val="auto"/>
                                <w:spacing w:val="0"/>
                                <w:sz w:val="15"/>
                                <w:szCs w:val="15"/>
                                <w:highlight w:val="none"/>
                              </w:rPr>
                              <w:t>堆高控制在3</w:t>
                            </w:r>
                            <w:r>
                              <w:rPr>
                                <w:rFonts w:hint="default" w:ascii="Times New Roman" w:hAnsi="Times New Roman" w:cs="Times New Roman"/>
                                <w:bCs/>
                                <w:color w:val="auto"/>
                                <w:spacing w:val="0"/>
                                <w:sz w:val="15"/>
                                <w:szCs w:val="15"/>
                                <w:highlight w:val="none"/>
                                <w:lang w:eastAsia="zh-CN"/>
                              </w:rPr>
                              <w:t>m</w:t>
                            </w:r>
                            <w:r>
                              <w:rPr>
                                <w:rFonts w:hint="default" w:ascii="Times New Roman" w:hAnsi="Times New Roman" w:eastAsia="宋体" w:cs="Times New Roman"/>
                                <w:bCs/>
                                <w:color w:val="auto"/>
                                <w:spacing w:val="0"/>
                                <w:sz w:val="15"/>
                                <w:szCs w:val="15"/>
                                <w:highlight w:val="none"/>
                              </w:rPr>
                              <w:t>以内，坡顶及坡面采用密目网压盖，坡脚采用编织袋土埂临时拦挡</w:t>
                            </w:r>
                            <w:r>
                              <w:rPr>
                                <w:rFonts w:hint="eastAsia" w:cs="Times New Roman"/>
                                <w:bCs/>
                                <w:color w:val="auto"/>
                                <w:spacing w:val="0"/>
                                <w:sz w:val="15"/>
                                <w:szCs w:val="15"/>
                                <w:highlight w:val="none"/>
                                <w:lang w:eastAsia="zh-CN"/>
                              </w:rPr>
                              <w:t>，场地周边布置临时排水沟</w:t>
                            </w:r>
                          </w:p>
                        </w:txbxContent>
                      </wps:txbx>
                      <wps:bodyPr vert="horz" wrap="square" anchor="t" anchorCtr="0" upright="1"/>
                    </wps:wsp>
                  </a:graphicData>
                </a:graphic>
              </wp:anchor>
            </w:drawing>
          </mc:Choice>
          <mc:Fallback>
            <w:pict>
              <v:shape id="自选图形 772" o:spid="_x0000_s1026" o:spt="61" type="#_x0000_t61" style="position:absolute;left:0pt;margin-left:167.25pt;margin-top:329.05pt;height:86.35pt;width:72.75pt;z-index:251723776;mso-width-relative:page;mso-height-relative:page;" fillcolor="#FFFFFF" filled="t" stroked="t" coordsize="21600,21600" o:gfxdata="UEsDBAoAAAAAAIdO4kAAAAAAAAAAAAAAAAAEAAAAZHJzL1BLAwQUAAAACACHTuJAc3gbstoAAAAL&#10;AQAADwAAAGRycy9kb3ducmV2LnhtbE2Py07DMBBF90j8gzVI3VE7pK2skEkXFa3EggVJJVg68ZBE&#10;je3Idh/8PWYFy9Ec3Xtuub2ZiV3Ih9FZhGwpgJHtnB5tj3Bs9o8SWIjKajU5SwjfFGBb3d+VqtDu&#10;at/pUseepRAbCoUwxDgXnIduIKPC0s1k0+/LeaNiOn3PtVfXFG4m/iTEhhs12tQwqJl2A3Wn+mwQ&#10;dof21b+J+sU4nn0ezEdzaqlBXDxk4hlYpFv8g+FXP6lDlZxad7Y6sAkhz1frhCJs1jIDloiVFGld&#10;iyBzIYFXJf+/ofoBUEsDBBQAAAAIAIdO4kB1hCJrWgIAAMQEAAAOAAAAZHJzL2Uyb0RvYy54bWyt&#10;VL2S0zAQ7pnhHTTqL3ZMkiOZOFckhIaBGw4eQJFkW4z+kJQ4oaJjeAY6St4B3uZm4C1YySaXOyhS&#10;4MJeSatv9/t21/OrvZJox50XRpd4OMgx4poaJnRd4rdv1hdPMfKBaEak0bzEB+7x1eLxo3lrZ7ww&#10;jZGMOwQg2s9aW+ImBDvLMk8brogfGMs1HFbGKRJg6eqMOdICupJZkeeTrDWOWWco9x52V90h7hHd&#10;OYCmqgTlK0O3iuvQoTouSQBKvhHW40XKtqo4Da+qyvOAZImBaUhvCAL2Jr6zxZzMakdsI2ifAjkn&#10;hQecFBEagh6hViQQtHXiLyglqDPeVGFAjco6IkkRYDHMH2hz0xDLExeQ2tuj6P7/wdKXu2uHBCvx&#10;COquiYKK//z07dfHz7dfftx+/4ouL4soUmv9DHxv7LXrVx7MyHhfORW/wAXtk7CHo7B8HxCFzWnx&#10;ZFqMMaJwNMynk8loHEGzu9vW+fCcG4WiUeKWs5q/huotiZRmG5K2ZPfChyQy6zMl7N0Qo0pJqNmO&#10;SDSc5uPRtC/qiVNx6nRRjC+nkz5+jwmZ/MkgBvBGCrYWUqaFqzdL6RAEKPE6Pf3le25SoxaYjhNP&#10;AoNRQUMCZWVBXK/rROHeDX8KnKfnX8AxsRXxTZdAQugYKhG4Sw3ccMKeaYbCwUL9NMwtjskozjCS&#10;HMY8WskzECHP8QRBpIYKxbp3lY5W2G/2ffk3hh2gc+BHAuVqjPsAEWGMgOr7LXEQn2gK2yUGDTpz&#10;Gbq521on6gZuDRPbiAvNnbqhH8Q4PafrlMfdz2f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N4&#10;G7LaAAAACwEAAA8AAAAAAAAAAQAgAAAAIgAAAGRycy9kb3ducmV2LnhtbFBLAQIUABQAAAAIAIdO&#10;4kB1hCJrWgIAAMQEAAAOAAAAAAAAAAEAIAAAACkBAABkcnMvZTJvRG9jLnhtbFBLBQYAAAAABgAG&#10;AFkBAAD1BQAAAAA=&#10;" adj="51959,5228">
                <v:fill on="t" focussize="0,0"/>
                <v:stroke color="#000000" joinstyle="miter"/>
                <v:imagedata o:title=""/>
                <o:lock v:ext="edit" aspectratio="f"/>
                <v:textbox>
                  <w:txbxContent>
                    <w:p w14:paraId="33CBDE21">
                      <w:pPr>
                        <w:keepNext w:val="0"/>
                        <w:keepLines w:val="0"/>
                        <w:pageBreakBefore w:val="0"/>
                        <w:widowControl w:val="0"/>
                        <w:kinsoku/>
                        <w:wordWrap/>
                        <w:overflowPunct/>
                        <w:topLinePunct w:val="0"/>
                        <w:bidi w:val="0"/>
                        <w:adjustRightInd/>
                        <w:snapToGrid w:val="0"/>
                        <w:textAlignment w:val="auto"/>
                        <w:rPr>
                          <w:rFonts w:hint="eastAsia" w:eastAsia="宋体"/>
                          <w:sz w:val="15"/>
                          <w:szCs w:val="15"/>
                          <w:lang w:eastAsia="zh-CN"/>
                        </w:rPr>
                      </w:pPr>
                      <w:r>
                        <w:rPr>
                          <w:rFonts w:hint="eastAsia"/>
                          <w:sz w:val="15"/>
                          <w:szCs w:val="15"/>
                          <w:lang w:val="en-US" w:eastAsia="zh-CN"/>
                        </w:rPr>
                        <w:t>表土暂存场</w:t>
                      </w:r>
                      <w:r>
                        <w:rPr>
                          <w:rFonts w:hint="eastAsia"/>
                          <w:sz w:val="15"/>
                          <w:szCs w:val="15"/>
                          <w:lang w:eastAsia="zh-CN"/>
                        </w:rPr>
                        <w:t>:</w:t>
                      </w:r>
                      <w:r>
                        <w:rPr>
                          <w:rFonts w:hint="default" w:ascii="Times New Roman" w:hAnsi="Times New Roman" w:eastAsia="宋体" w:cs="Times New Roman"/>
                          <w:bCs/>
                          <w:color w:val="auto"/>
                          <w:spacing w:val="0"/>
                          <w:sz w:val="15"/>
                          <w:szCs w:val="15"/>
                          <w:highlight w:val="none"/>
                        </w:rPr>
                        <w:t>堆高控制在3</w:t>
                      </w:r>
                      <w:r>
                        <w:rPr>
                          <w:rFonts w:hint="default" w:ascii="Times New Roman" w:hAnsi="Times New Roman" w:cs="Times New Roman"/>
                          <w:bCs/>
                          <w:color w:val="auto"/>
                          <w:spacing w:val="0"/>
                          <w:sz w:val="15"/>
                          <w:szCs w:val="15"/>
                          <w:highlight w:val="none"/>
                          <w:lang w:eastAsia="zh-CN"/>
                        </w:rPr>
                        <w:t>m</w:t>
                      </w:r>
                      <w:r>
                        <w:rPr>
                          <w:rFonts w:hint="default" w:ascii="Times New Roman" w:hAnsi="Times New Roman" w:eastAsia="宋体" w:cs="Times New Roman"/>
                          <w:bCs/>
                          <w:color w:val="auto"/>
                          <w:spacing w:val="0"/>
                          <w:sz w:val="15"/>
                          <w:szCs w:val="15"/>
                          <w:highlight w:val="none"/>
                        </w:rPr>
                        <w:t>以内，坡顶及坡面采用密目网压盖，坡脚采用编织袋土埂临时拦挡</w:t>
                      </w:r>
                      <w:r>
                        <w:rPr>
                          <w:rFonts w:hint="eastAsia" w:cs="Times New Roman"/>
                          <w:bCs/>
                          <w:color w:val="auto"/>
                          <w:spacing w:val="0"/>
                          <w:sz w:val="15"/>
                          <w:szCs w:val="15"/>
                          <w:highlight w:val="none"/>
                          <w:lang w:eastAsia="zh-CN"/>
                        </w:rPr>
                        <w:t>，场地周边布置临时排水沟</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4800" behindDoc="0" locked="0" layoutInCell="1" allowOverlap="1">
                <wp:simplePos x="0" y="0"/>
                <wp:positionH relativeFrom="column">
                  <wp:posOffset>4486275</wp:posOffset>
                </wp:positionH>
                <wp:positionV relativeFrom="paragraph">
                  <wp:posOffset>4483735</wp:posOffset>
                </wp:positionV>
                <wp:extent cx="924560" cy="495935"/>
                <wp:effectExtent l="5080" t="414655" r="22860" b="22860"/>
                <wp:wrapNone/>
                <wp:docPr id="49" name="自选图形 772"/>
                <wp:cNvGraphicFramePr/>
                <a:graphic xmlns:a="http://schemas.openxmlformats.org/drawingml/2006/main">
                  <a:graphicData uri="http://schemas.microsoft.com/office/word/2010/wordprocessingShape">
                    <wps:wsp>
                      <wps:cNvSpPr/>
                      <wps:spPr>
                        <a:xfrm>
                          <a:off x="0" y="0"/>
                          <a:ext cx="924560" cy="495935"/>
                        </a:xfrm>
                        <a:prstGeom prst="wedgeRectCallout">
                          <a:avLst>
                            <a:gd name="adj1" fmla="val -26866"/>
                            <a:gd name="adj2" fmla="val -130175"/>
                          </a:avLst>
                        </a:prstGeom>
                        <a:solidFill>
                          <a:srgbClr val="FFFFFF"/>
                        </a:solidFill>
                        <a:ln w="9525" cap="flat" cmpd="sng">
                          <a:solidFill>
                            <a:srgbClr val="000000"/>
                          </a:solidFill>
                          <a:prstDash val="solid"/>
                          <a:miter/>
                          <a:headEnd type="none" w="med" len="med"/>
                          <a:tailEnd type="none" w="med" len="med"/>
                        </a:ln>
                      </wps:spPr>
                      <wps:txbx>
                        <w:txbxContent>
                          <w:p w14:paraId="48BBC555">
                            <w:pPr>
                              <w:keepNext w:val="0"/>
                              <w:keepLines w:val="0"/>
                              <w:pageBreakBefore w:val="0"/>
                              <w:widowControl w:val="0"/>
                              <w:kinsoku/>
                              <w:wordWrap/>
                              <w:overflowPunct/>
                              <w:topLinePunct w:val="0"/>
                              <w:bidi w:val="0"/>
                              <w:adjustRightInd/>
                              <w:snapToGrid w:val="0"/>
                              <w:textAlignment w:val="auto"/>
                              <w:rPr>
                                <w:rFonts w:hint="eastAsia" w:eastAsia="宋体"/>
                                <w:sz w:val="15"/>
                                <w:szCs w:val="15"/>
                                <w:lang w:eastAsia="zh-CN"/>
                              </w:rPr>
                            </w:pPr>
                            <w:r>
                              <w:rPr>
                                <w:rFonts w:hint="eastAsia"/>
                                <w:sz w:val="15"/>
                                <w:szCs w:val="15"/>
                                <w:lang w:val="en-US" w:eastAsia="zh-CN"/>
                              </w:rPr>
                              <w:t>弃渣场</w:t>
                            </w:r>
                            <w:r>
                              <w:rPr>
                                <w:rFonts w:hint="eastAsia"/>
                                <w:sz w:val="15"/>
                                <w:szCs w:val="15"/>
                                <w:lang w:eastAsia="zh-CN"/>
                              </w:rPr>
                              <w:t>:</w:t>
                            </w:r>
                            <w:r>
                              <w:rPr>
                                <w:rFonts w:hint="eastAsia"/>
                                <w:sz w:val="15"/>
                                <w:szCs w:val="15"/>
                                <w:lang w:val="en-US" w:eastAsia="zh-CN"/>
                              </w:rPr>
                              <w:t>控制堆放区域，</w:t>
                            </w:r>
                            <w:r>
                              <w:rPr>
                                <w:rFonts w:hint="eastAsia" w:cs="Times New Roman"/>
                                <w:bCs/>
                                <w:color w:val="auto"/>
                                <w:spacing w:val="0"/>
                                <w:sz w:val="15"/>
                                <w:szCs w:val="15"/>
                                <w:highlight w:val="none"/>
                                <w:lang w:val="en-US" w:eastAsia="zh-CN"/>
                              </w:rPr>
                              <w:t>回填高度</w:t>
                            </w:r>
                            <w:r>
                              <w:rPr>
                                <w:rFonts w:hint="default" w:ascii="Times New Roman" w:hAnsi="Times New Roman" w:eastAsia="宋体" w:cs="Times New Roman"/>
                                <w:bCs/>
                                <w:color w:val="auto"/>
                                <w:spacing w:val="0"/>
                                <w:sz w:val="15"/>
                                <w:szCs w:val="15"/>
                                <w:highlight w:val="none"/>
                              </w:rPr>
                              <w:t>控制在3</w:t>
                            </w:r>
                            <w:r>
                              <w:rPr>
                                <w:rFonts w:hint="default" w:ascii="Times New Roman" w:hAnsi="Times New Roman" w:cs="Times New Roman"/>
                                <w:bCs/>
                                <w:color w:val="auto"/>
                                <w:spacing w:val="0"/>
                                <w:sz w:val="15"/>
                                <w:szCs w:val="15"/>
                                <w:highlight w:val="none"/>
                                <w:lang w:eastAsia="zh-CN"/>
                              </w:rPr>
                              <w:t>m</w:t>
                            </w:r>
                            <w:r>
                              <w:rPr>
                                <w:rFonts w:hint="default" w:ascii="Times New Roman" w:hAnsi="Times New Roman" w:eastAsia="宋体" w:cs="Times New Roman"/>
                                <w:bCs/>
                                <w:color w:val="auto"/>
                                <w:spacing w:val="0"/>
                                <w:sz w:val="15"/>
                                <w:szCs w:val="15"/>
                                <w:highlight w:val="none"/>
                              </w:rPr>
                              <w:t>以内</w:t>
                            </w:r>
                          </w:p>
                        </w:txbxContent>
                      </wps:txbx>
                      <wps:bodyPr vert="horz" wrap="square" anchor="t" anchorCtr="0" upright="1"/>
                    </wps:wsp>
                  </a:graphicData>
                </a:graphic>
              </wp:anchor>
            </w:drawing>
          </mc:Choice>
          <mc:Fallback>
            <w:pict>
              <v:shape id="自选图形 772" o:spid="_x0000_s1026" o:spt="61" type="#_x0000_t61" style="position:absolute;left:0pt;margin-left:353.25pt;margin-top:353.05pt;height:39.05pt;width:72.8pt;z-index:251724800;mso-width-relative:page;mso-height-relative:page;" fillcolor="#FFFFFF" filled="t" stroked="t" coordsize="21600,21600" o:gfxdata="UEsDBAoAAAAAAIdO4kAAAAAAAAAAAAAAAAAEAAAAZHJzL1BLAwQUAAAACACHTuJA0bQOBNgAAAAL&#10;AQAADwAAAGRycy9kb3ducmV2LnhtbE2PQU/DMAyF70j8h8hI3FjSio6qNJ0QAk4gtLIDu3ltaCsS&#10;p2rSdfx7DBe4Pfs9PX8uNydnxdFMYfCkIVkpEIYa3w7Uadi9PV7lIEJEatF6Mhq+TIBNdX5WYtH6&#10;hbbmWMdOcAmFAjX0MY6FlKHpjcOw8qMh9j785DDyOHWynXDhcmdlqtRaOhyIL/Q4mvveNJ/17DQs&#10;9LTD54dXu9++NGjv5uy9q/daX14k6hZENKf4F4YffEaHipkOfqY2CKvhRq0zjv6KBAQn8ixlceBN&#10;fp2CrEr5/4fqG1BLAwQUAAAACACHTuJAQYfkUVkCAADEBAAADgAAAGRycy9lMm9Eb2MueG1srVRL&#10;ktMwEN1TxR1U2k8ce/KZpMaZRULYUDDFwAEUSbZF6YekxAkrdhRnmB1L7gC3mSq4BS3Z84VFFnhh&#10;t36v33ut9vnFXkm0484Lo0ucD4YYcU0NE7ou8ft365MzjHwgmhFpNC/xgXt8sXj+7Ly1c16YxkjG&#10;HQIQ7eetLXETgp1nmacNV8QPjOUaFivjFAkwdHXGHGkBXcmsGA4nWWscs85Q7j3MrrpF3CO6YwBN&#10;VQnKV4ZuFdehQ3VckgCSfCOsx4vEtqo4DW+qyvOAZIlBaUhvSALxJr6zxTmZ147YRtCeAjmGwhNN&#10;iggNSe+gViQQtHXiLyglqDPeVGFAjco6IckRUJEPn3hz1RDLkxaw2ts70/3/g6Wvd5cOCVbi0Qwj&#10;TRRU/NeX778/f725/nnz4xuaTotoUmv9HPZe2UvXjzyEUfG+cip+QQvaJ2MPd8byfUAUJmfFaDwB&#10;yyksjWbj2ek4Ymb3h63z4SU3CsWgxC1nNX8LxVsSKc02JGvJ7pUPyWPWEyXsQ45RpSSUbEckOikm&#10;Z5NJX9MHm4pHm/LTYT69JdCDApVbCjGDN1KwtZAyDVy9WUqHIEOJ1+np2T/aJjVqQem4GINOAo1R&#10;wYWEUFkw1+s6aXh0wj8EHqbnX8CR2Ir4piOQEDqJSgTu0gVuOGEvNEPhYKF+GvoWRzKKM4wkhzaP&#10;UdoZiJDH7ARDpIYSxbp3lY5R2G/2ffk3hh3g5sCPBOrVGPcJMkIbgdSPW+IgP9EUpksMHnThMnR9&#10;t7VO1A2cypPaiAuXO12HvhFj9zwcJx73P5/F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G0DgTY&#10;AAAACwEAAA8AAAAAAAAAAQAgAAAAIgAAAGRycy9kb3ducmV2LnhtbFBLAQIUABQAAAAIAIdO4kBB&#10;h+RRWQIAAMQEAAAOAAAAAAAAAAEAIAAAACcBAABkcnMvZTJvRG9jLnhtbFBLBQYAAAAABgAGAFkB&#10;AADyBQAAAAA=&#10;" adj="4997,-17318">
                <v:fill on="t" focussize="0,0"/>
                <v:stroke color="#000000" joinstyle="miter"/>
                <v:imagedata o:title=""/>
                <o:lock v:ext="edit" aspectratio="f"/>
                <v:textbox>
                  <w:txbxContent>
                    <w:p w14:paraId="48BBC555">
                      <w:pPr>
                        <w:keepNext w:val="0"/>
                        <w:keepLines w:val="0"/>
                        <w:pageBreakBefore w:val="0"/>
                        <w:widowControl w:val="0"/>
                        <w:kinsoku/>
                        <w:wordWrap/>
                        <w:overflowPunct/>
                        <w:topLinePunct w:val="0"/>
                        <w:bidi w:val="0"/>
                        <w:adjustRightInd/>
                        <w:snapToGrid w:val="0"/>
                        <w:textAlignment w:val="auto"/>
                        <w:rPr>
                          <w:rFonts w:hint="eastAsia" w:eastAsia="宋体"/>
                          <w:sz w:val="15"/>
                          <w:szCs w:val="15"/>
                          <w:lang w:eastAsia="zh-CN"/>
                        </w:rPr>
                      </w:pPr>
                      <w:r>
                        <w:rPr>
                          <w:rFonts w:hint="eastAsia"/>
                          <w:sz w:val="15"/>
                          <w:szCs w:val="15"/>
                          <w:lang w:val="en-US" w:eastAsia="zh-CN"/>
                        </w:rPr>
                        <w:t>弃渣场</w:t>
                      </w:r>
                      <w:r>
                        <w:rPr>
                          <w:rFonts w:hint="eastAsia"/>
                          <w:sz w:val="15"/>
                          <w:szCs w:val="15"/>
                          <w:lang w:eastAsia="zh-CN"/>
                        </w:rPr>
                        <w:t>:</w:t>
                      </w:r>
                      <w:r>
                        <w:rPr>
                          <w:rFonts w:hint="eastAsia"/>
                          <w:sz w:val="15"/>
                          <w:szCs w:val="15"/>
                          <w:lang w:val="en-US" w:eastAsia="zh-CN"/>
                        </w:rPr>
                        <w:t>控制堆放区域，</w:t>
                      </w:r>
                      <w:r>
                        <w:rPr>
                          <w:rFonts w:hint="eastAsia" w:cs="Times New Roman"/>
                          <w:bCs/>
                          <w:color w:val="auto"/>
                          <w:spacing w:val="0"/>
                          <w:sz w:val="15"/>
                          <w:szCs w:val="15"/>
                          <w:highlight w:val="none"/>
                          <w:lang w:val="en-US" w:eastAsia="zh-CN"/>
                        </w:rPr>
                        <w:t>回填高度</w:t>
                      </w:r>
                      <w:r>
                        <w:rPr>
                          <w:rFonts w:hint="default" w:ascii="Times New Roman" w:hAnsi="Times New Roman" w:eastAsia="宋体" w:cs="Times New Roman"/>
                          <w:bCs/>
                          <w:color w:val="auto"/>
                          <w:spacing w:val="0"/>
                          <w:sz w:val="15"/>
                          <w:szCs w:val="15"/>
                          <w:highlight w:val="none"/>
                        </w:rPr>
                        <w:t>控制在3</w:t>
                      </w:r>
                      <w:r>
                        <w:rPr>
                          <w:rFonts w:hint="default" w:ascii="Times New Roman" w:hAnsi="Times New Roman" w:cs="Times New Roman"/>
                          <w:bCs/>
                          <w:color w:val="auto"/>
                          <w:spacing w:val="0"/>
                          <w:sz w:val="15"/>
                          <w:szCs w:val="15"/>
                          <w:highlight w:val="none"/>
                          <w:lang w:eastAsia="zh-CN"/>
                        </w:rPr>
                        <w:t>m</w:t>
                      </w:r>
                      <w:r>
                        <w:rPr>
                          <w:rFonts w:hint="default" w:ascii="Times New Roman" w:hAnsi="Times New Roman" w:eastAsia="宋体" w:cs="Times New Roman"/>
                          <w:bCs/>
                          <w:color w:val="auto"/>
                          <w:spacing w:val="0"/>
                          <w:sz w:val="15"/>
                          <w:szCs w:val="15"/>
                          <w:highlight w:val="none"/>
                        </w:rPr>
                        <w:t>以内</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5888" behindDoc="0" locked="0" layoutInCell="1" allowOverlap="1">
                <wp:simplePos x="0" y="0"/>
                <wp:positionH relativeFrom="column">
                  <wp:posOffset>5050790</wp:posOffset>
                </wp:positionH>
                <wp:positionV relativeFrom="paragraph">
                  <wp:posOffset>4074160</wp:posOffset>
                </wp:positionV>
                <wp:extent cx="937260" cy="291465"/>
                <wp:effectExtent l="981075" t="736600" r="5715" b="19685"/>
                <wp:wrapNone/>
                <wp:docPr id="38" name="自选图形 772"/>
                <wp:cNvGraphicFramePr/>
                <a:graphic xmlns:a="http://schemas.openxmlformats.org/drawingml/2006/main">
                  <a:graphicData uri="http://schemas.microsoft.com/office/word/2010/wordprocessingShape">
                    <wps:wsp>
                      <wps:cNvSpPr/>
                      <wps:spPr>
                        <a:xfrm>
                          <a:off x="0" y="0"/>
                          <a:ext cx="937260" cy="291465"/>
                        </a:xfrm>
                        <a:prstGeom prst="wedgeRectCallout">
                          <a:avLst>
                            <a:gd name="adj1" fmla="val -151016"/>
                            <a:gd name="adj2" fmla="val -295098"/>
                          </a:avLst>
                        </a:prstGeom>
                        <a:solidFill>
                          <a:srgbClr val="FFFFFF"/>
                        </a:solidFill>
                        <a:ln w="9525" cap="flat" cmpd="sng">
                          <a:solidFill>
                            <a:srgbClr val="000000"/>
                          </a:solidFill>
                          <a:prstDash val="solid"/>
                          <a:miter/>
                          <a:headEnd type="none" w="med" len="med"/>
                          <a:tailEnd type="none" w="med" len="med"/>
                        </a:ln>
                      </wps:spPr>
                      <wps:txbx>
                        <w:txbxContent>
                          <w:p w14:paraId="3CC6307A">
                            <w:pPr>
                              <w:rPr>
                                <w:rFonts w:hint="default" w:eastAsia="宋体"/>
                                <w:lang w:val="en-US" w:eastAsia="zh-CN"/>
                              </w:rPr>
                            </w:pPr>
                            <w:r>
                              <w:rPr>
                                <w:rFonts w:hint="eastAsia"/>
                                <w:lang w:val="en-US" w:eastAsia="zh-CN"/>
                              </w:rPr>
                              <w:t>机械维修厂</w:t>
                            </w:r>
                          </w:p>
                        </w:txbxContent>
                      </wps:txbx>
                      <wps:bodyPr vert="horz" wrap="square" anchor="t" anchorCtr="0" upright="1"/>
                    </wps:wsp>
                  </a:graphicData>
                </a:graphic>
              </wp:anchor>
            </w:drawing>
          </mc:Choice>
          <mc:Fallback>
            <w:pict>
              <v:shape id="自选图形 772" o:spid="_x0000_s1026" o:spt="61" type="#_x0000_t61" style="position:absolute;left:0pt;margin-left:397.7pt;margin-top:320.8pt;height:22.95pt;width:73.8pt;z-index:251685888;mso-width-relative:page;mso-height-relative:page;" fillcolor="#FFFFFF" filled="t" stroked="t" coordsize="21600,21600" o:gfxdata="UEsDBAoAAAAAAIdO4kAAAAAAAAAAAAAAAAAEAAAAZHJzL1BLAwQUAAAACACHTuJAEwO8jNsAAAAL&#10;AQAADwAAAGRycy9kb3ducmV2LnhtbE2PwU7DMAyG70i8Q2Qkbiwt69qtNN2hYlxAAgaH7ea1XlPR&#10;JFWTbuPtMSc42v70+/uL9cX04kSj75xVEM8iEGRr13S2VfD5sblbgvABbYO9s6Tgmzysy+urAvPG&#10;ne07nbahFRxifY4KdAhDLqWvNRn0MzeQ5dvRjQYDj2MrmxHPHG56eR9FqTTYWf6gcaBKU/21nYyC&#10;4+blmV53++xNVxioepye2jkpdXsTRw8gAl3CHwy/+qwOJTsd3GQbL3oF2WqRMKogTeIUBBOrZM7t&#10;DrxZZguQZSH/dyh/AFBLAwQUAAAACACHTuJAnjm4E1sCAADFBAAADgAAAGRycy9lMm9Eb2MueG1s&#10;rVTNctMwEL4zwztodG/8U5I0mTg9NJQLAx0KD6BIsi1Gf0hKnHDixvAMvXHkHeBtOgNvwUo2aVM4&#10;9IAP9kpafbvft7tenO+URFvuvDC6wsUox4hrapjQTYXfvb08OcPIB6IZkUbzCu+5x+fLp08WnZ3z&#10;0rRGMu4QgGg/72yF2xDsPMs8bbkifmQs13BYG6dIgKVrMuZIB+hKZmWeT7LOOGadodx72F31h3hA&#10;dI8BNHUtKF8ZulFchx7VcUkCUPKtsB4vU7Z1zWl4XdeeByQrDExDekMQsNfxnS0XZN44YltBhxTI&#10;Y1J4wEkRoSHoAWpFAkEbJ/6CUoI6400dRtSorCeSFAEWRf5Am+uWWJ64gNTeHkT3/w+WvtpeOSRY&#10;hU+h7pooqPjPz99+ffpye/Pj9vtXNJ2WUaTO+jn4XtsrN6w8mJHxrnYqfoEL2iVh9wdh+S4gCpuz&#10;02k5AckpHJWz4tlkHDGzu8vW+fCCG4WiUeGOs4a/geJdECnNJiRpyfalD0ljNiRK2PsCo1pJKNmW&#10;SHRSjIu8mAxFvedVHnmVs3E+OxsyGFAhlz85xBDeSMEuhZRp4Zr1hXQIQlT4Mj3D5SM3qVEHVMfl&#10;GIgSmIwaOhJMZUFdr5tE4uiGvw+cp+dfwDGxFfFtn0BC6CkqEbhLHdxywp5rhsLeQgE1DC6OySjO&#10;MJIc5jxayTMQIR/jCYJIDTWKhe9LHa2wW++G+q8N20PrwJ8ECtYa9xEiwhwB1Q8b4iA+0RS2Kwwa&#10;9OZF6AdvY51oWrhVJLYRF7o79cMwiXF87q9THnd/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wO8jNsAAAALAQAADwAAAAAAAAABACAAAAAiAAAAZHJzL2Rvd25yZXYueG1sUEsBAhQAFAAAAAgA&#10;h07iQJ45uBNbAgAAxQQAAA4AAAAAAAAAAQAgAAAAKgEAAGRycy9lMm9Eb2MueG1sUEsFBgAAAAAG&#10;AAYAWQEAAPcFAAAAAA==&#10;" adj="-21819,-52941">
                <v:fill on="t" focussize="0,0"/>
                <v:stroke color="#000000" joinstyle="miter"/>
                <v:imagedata o:title=""/>
                <o:lock v:ext="edit" aspectratio="f"/>
                <v:textbox>
                  <w:txbxContent>
                    <w:p w14:paraId="3CC6307A">
                      <w:pPr>
                        <w:rPr>
                          <w:rFonts w:hint="default" w:eastAsia="宋体"/>
                          <w:lang w:val="en-US" w:eastAsia="zh-CN"/>
                        </w:rPr>
                      </w:pPr>
                      <w:r>
                        <w:rPr>
                          <w:rFonts w:hint="eastAsia"/>
                          <w:lang w:val="en-US" w:eastAsia="zh-CN"/>
                        </w:rPr>
                        <w:t>机械维修厂</w:t>
                      </w:r>
                    </w:p>
                  </w:txbxContent>
                </v:textbox>
              </v:shape>
            </w:pict>
          </mc:Fallback>
        </mc:AlternateContent>
      </w:r>
      <w:r>
        <w:rPr>
          <w:highlight w:val="none"/>
        </w:rPr>
        <w:drawing>
          <wp:inline distT="0" distB="0" distL="114300" distR="114300">
            <wp:extent cx="6925310" cy="5412740"/>
            <wp:effectExtent l="0" t="0" r="8890" b="16510"/>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5"/>
                    <a:stretch>
                      <a:fillRect/>
                    </a:stretch>
                  </pic:blipFill>
                  <pic:spPr>
                    <a:xfrm>
                      <a:off x="0" y="0"/>
                      <a:ext cx="6925310" cy="5412740"/>
                    </a:xfrm>
                    <a:prstGeom prst="rect">
                      <a:avLst/>
                    </a:prstGeom>
                    <a:noFill/>
                    <a:ln>
                      <a:noFill/>
                    </a:ln>
                  </pic:spPr>
                </pic:pic>
              </a:graphicData>
            </a:graphic>
          </wp:inline>
        </w:drawing>
      </w:r>
      <w:bookmarkStart w:id="74" w:name="_Toc14942"/>
    </w:p>
    <w:p w14:paraId="6BC860A7">
      <w:pPr>
        <w:bidi w:val="0"/>
        <w:jc w:val="center"/>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附图</w:t>
      </w:r>
      <w:r>
        <w:rPr>
          <w:rFonts w:hint="eastAsia" w:ascii="Times New Roman" w:hAnsi="Times New Roman" w:cs="Times New Roman"/>
          <w:b/>
          <w:bCs/>
          <w:highlight w:val="none"/>
          <w:lang w:val="en-US" w:eastAsia="zh-CN"/>
        </w:rPr>
        <w:t>10</w:t>
      </w:r>
      <w:r>
        <w:rPr>
          <w:rFonts w:hint="default" w:ascii="Times New Roman" w:hAnsi="Times New Roman" w:cs="Times New Roman"/>
          <w:b/>
          <w:bCs/>
          <w:highlight w:val="none"/>
          <w:lang w:val="en-US" w:eastAsia="zh-CN"/>
        </w:rPr>
        <w:t xml:space="preserve"> </w:t>
      </w:r>
      <w:r>
        <w:rPr>
          <w:rFonts w:hint="default" w:ascii="Times New Roman" w:hAnsi="Times New Roman" w:cs="Times New Roman"/>
          <w:b/>
          <w:bCs/>
          <w:highlight w:val="none"/>
          <w:lang w:eastAsia="zh-CN"/>
        </w:rPr>
        <w:t>典型生态措施分布图</w:t>
      </w:r>
      <w:bookmarkEnd w:id="74"/>
    </w:p>
    <w:p w14:paraId="4663E2EA">
      <w:pPr>
        <w:rPr>
          <w:rFonts w:hint="default" w:ascii="Times New Roman" w:hAnsi="Times New Roman" w:cs="Times New Roman"/>
          <w:highlight w:val="none"/>
          <w:lang w:eastAsia="zh-CN"/>
        </w:rPr>
      </w:pPr>
      <w:r>
        <w:rPr>
          <w:highlight w:val="none"/>
        </w:rPr>
        <w:drawing>
          <wp:inline distT="0" distB="0" distL="114300" distR="114300">
            <wp:extent cx="8058150" cy="3648075"/>
            <wp:effectExtent l="0" t="0" r="0" b="9525"/>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36"/>
                    <a:stretch>
                      <a:fillRect/>
                    </a:stretch>
                  </pic:blipFill>
                  <pic:spPr>
                    <a:xfrm>
                      <a:off x="0" y="0"/>
                      <a:ext cx="8058150" cy="3648075"/>
                    </a:xfrm>
                    <a:prstGeom prst="rect">
                      <a:avLst/>
                    </a:prstGeom>
                    <a:noFill/>
                    <a:ln>
                      <a:noFill/>
                    </a:ln>
                  </pic:spPr>
                </pic:pic>
              </a:graphicData>
            </a:graphic>
          </wp:inline>
        </w:drawing>
      </w:r>
    </w:p>
    <w:p w14:paraId="4E8B3902">
      <w:pPr>
        <w:bidi w:val="0"/>
        <w:jc w:val="center"/>
        <w:rPr>
          <w:rFonts w:hint="default" w:ascii="Times New Roman" w:hAnsi="Times New Roman" w:cs="Times New Roman"/>
          <w:b/>
          <w:bCs/>
          <w:highlight w:val="none"/>
          <w:lang w:eastAsia="zh-CN"/>
        </w:rPr>
      </w:pPr>
    </w:p>
    <w:p w14:paraId="1E4E52F9">
      <w:pPr>
        <w:bidi w:val="0"/>
        <w:jc w:val="center"/>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附图</w:t>
      </w:r>
      <w:r>
        <w:rPr>
          <w:rFonts w:hint="eastAsia" w:ascii="Times New Roman" w:hAnsi="Times New Roman" w:cs="Times New Roman"/>
          <w:b/>
          <w:bCs/>
          <w:highlight w:val="none"/>
          <w:lang w:val="en-US" w:eastAsia="zh-CN"/>
        </w:rPr>
        <w:t>1</w:t>
      </w:r>
      <w:r>
        <w:rPr>
          <w:rFonts w:hint="eastAsia" w:cs="Times New Roman"/>
          <w:b/>
          <w:bCs/>
          <w:highlight w:val="none"/>
          <w:lang w:val="en-US" w:eastAsia="zh-CN"/>
        </w:rPr>
        <w:t>1</w:t>
      </w:r>
      <w:r>
        <w:rPr>
          <w:rFonts w:hint="default" w:ascii="Times New Roman" w:hAnsi="Times New Roman" w:cs="Times New Roman"/>
          <w:b/>
          <w:bCs/>
          <w:highlight w:val="none"/>
          <w:lang w:val="en-US" w:eastAsia="zh-CN"/>
        </w:rPr>
        <w:t xml:space="preserve"> </w:t>
      </w:r>
      <w:r>
        <w:rPr>
          <w:rFonts w:hint="default" w:ascii="Times New Roman" w:hAnsi="Times New Roman" w:cs="Times New Roman"/>
          <w:b/>
          <w:bCs/>
          <w:highlight w:val="none"/>
          <w:lang w:eastAsia="zh-CN"/>
        </w:rPr>
        <w:t>典型生态措施分布图</w:t>
      </w:r>
      <w:r>
        <w:rPr>
          <w:rFonts w:hint="eastAsia" w:cs="Times New Roman"/>
          <w:b/>
          <w:bCs/>
          <w:highlight w:val="none"/>
          <w:lang w:eastAsia="zh-CN"/>
        </w:rPr>
        <w:t>（</w:t>
      </w:r>
      <w:r>
        <w:rPr>
          <w:rFonts w:hint="eastAsia" w:cs="Times New Roman"/>
          <w:b/>
          <w:bCs/>
          <w:highlight w:val="none"/>
          <w:lang w:val="en-US" w:eastAsia="zh-CN"/>
        </w:rPr>
        <w:t>详图</w:t>
      </w:r>
      <w:r>
        <w:rPr>
          <w:rFonts w:hint="eastAsia" w:cs="Times New Roman"/>
          <w:b/>
          <w:bCs/>
          <w:highlight w:val="none"/>
          <w:lang w:eastAsia="zh-CN"/>
        </w:rPr>
        <w:t>）</w:t>
      </w:r>
    </w:p>
    <w:p w14:paraId="3E5D8E49">
      <w:pPr>
        <w:pStyle w:val="2"/>
        <w:rPr>
          <w:rFonts w:hint="default" w:ascii="Times New Roman" w:hAnsi="Times New Roman" w:cs="Times New Roman"/>
          <w:highlight w:val="none"/>
          <w:lang w:eastAsia="zh-CN"/>
        </w:rPr>
        <w:sectPr>
          <w:pgSz w:w="16838" w:h="11906" w:orient="landscape"/>
          <w:pgMar w:top="1440" w:right="1800" w:bottom="1440" w:left="1800" w:header="851" w:footer="992" w:gutter="0"/>
          <w:cols w:space="0" w:num="1"/>
          <w:rtlGutter w:val="0"/>
          <w:docGrid w:type="lines" w:linePitch="322" w:charSpace="0"/>
        </w:sectPr>
      </w:pPr>
    </w:p>
    <w:p w14:paraId="6F1C0648">
      <w:pPr>
        <w:pStyle w:val="5"/>
        <w:bidi w:val="0"/>
        <w:rPr>
          <w:rFonts w:hint="default" w:ascii="Times New Roman" w:hAnsi="Times New Roman" w:cs="Times New Roman"/>
          <w:highlight w:val="none"/>
          <w:lang w:val="en-US" w:eastAsia="zh-CN"/>
        </w:rPr>
      </w:pPr>
      <w:bookmarkStart w:id="75" w:name="_Toc30977"/>
      <w:r>
        <w:rPr>
          <w:rFonts w:hint="default" w:ascii="Times New Roman" w:hAnsi="Times New Roman" w:cs="Times New Roman"/>
          <w:sz w:val="32"/>
          <w:highlight w:val="none"/>
        </w:rPr>
        <mc:AlternateContent>
          <mc:Choice Requires="wps">
            <w:drawing>
              <wp:anchor distT="0" distB="0" distL="114300" distR="114300" simplePos="0" relativeHeight="251674624" behindDoc="0" locked="0" layoutInCell="1" allowOverlap="1">
                <wp:simplePos x="0" y="0"/>
                <wp:positionH relativeFrom="column">
                  <wp:posOffset>6073775</wp:posOffset>
                </wp:positionH>
                <wp:positionV relativeFrom="paragraph">
                  <wp:posOffset>4811395</wp:posOffset>
                </wp:positionV>
                <wp:extent cx="123825" cy="114300"/>
                <wp:effectExtent l="8255" t="10160" r="20320" b="8890"/>
                <wp:wrapNone/>
                <wp:docPr id="54" name="自选图形 274"/>
                <wp:cNvGraphicFramePr/>
                <a:graphic xmlns:a="http://schemas.openxmlformats.org/drawingml/2006/main">
                  <a:graphicData uri="http://schemas.microsoft.com/office/word/2010/wordprocessingShape">
                    <wps:wsp>
                      <wps:cNvSpPr/>
                      <wps:spPr>
                        <a:xfrm>
                          <a:off x="0" y="0"/>
                          <a:ext cx="12382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274" o:spid="_x0000_s1026" o:spt="5" type="#_x0000_t5" style="position:absolute;left:0pt;margin-left:478.25pt;margin-top:378.85pt;height:9pt;width:9.75pt;z-index:251674624;mso-width-relative:page;mso-height-relative:page;" fillcolor="#FF0000" filled="t" stroked="t" coordsize="21600,21600" o:gfxdata="UEsDBAoAAAAAAIdO4kAAAAAAAAAAAAAAAAAEAAAAZHJzL1BLAwQUAAAACACHTuJAtm84XtcAAAAL&#10;AQAADwAAAGRycy9kb3ducmV2LnhtbE2PMU/DMBCFdyT+g3VILIg6RSShIU6FIrGxULp0c+xrHIjP&#10;Ueym5d9zTDDeu+/evVdvL34UC85xCKRgvcpAIJlgB+oV7D9e759AxKTJ6jEQKvjGCNvm+qrWlQ1n&#10;esdll3rBJhQrrcClNFVSRuPQ67gKExLvjmH2OvE499LO+szmfpQPWVZIrwfiD05P2Do0X7uT5xh3&#10;izwc2/1nFw+9bF1rHt9ejFK3N+vsGUTCS/qD4Tc+30DDmbpwIhvFqGCTFzmjCsq8LEEwsSkLbtex&#10;whLIppb/OzQ/UEsDBBQAAAAIAIdO4kAQVuakOgIAAIkEAAAOAAAAZHJzL2Uyb0RvYy54bWytVEuS&#10;0zAQ3VPFHVTaM04yCQyuOLOYEDYUTNXAATqSbIvSD0mJE1bsKM7AbpbcAW4zVXALWrIn82GTBV7Y&#10;Lan7db/Xas/Pd1qRrfBBWlPR8cmIEmGY5dI0Ff3wfvXsjJIQwXBQ1oiK7kWg54unT+adK8XEtlZx&#10;4QmCmFB2rqJtjK4sisBaoSGcWCcMHtbWa4i49E3BPXSIrlUxGY2eF5313HnLRAi4u+wP6YDojwG0&#10;dS2ZWFq20cLEHtULBREphVa6QBe52roWLL6r6yAiURVFpjG/MQna6/QuFnMoGw+ulWwoAY4p4REn&#10;DdJg0gPUEiKQjZf/QGnJvA22jifM6qInkhVBFuPRI22uWnAic0GpgzuIHv4fLHu7vfRE8orOppQY&#10;0Njx319//Pny7eb7r5uf12TyYppE6lwo0ffKXfphFdBMjHe11+mLXMguC7s/CCt2kTDcHE9OzyYz&#10;ShgejcfT01EWvrgLdj7E18JqkoyKRi/BNCpxhxK2b0LM2vKhQOAfKam1wk5tQZHZCJ9UJAIOzmjd&#10;QqbIYJXkK6lUXvhmfaE8wdCKrlb3gh+4KUO6ir6c5boBL3qNFwwpaIdiBdPk2h5EhOOAU2FLCG1f&#10;QEbor6GWUSR1oWwF8FeGk7h32A+Dc0hTMVpwSpTAsU1W9owg1TGeKIgyqFDqY9+5ZK0t32P78W+A&#10;orfWf8Y0OAvI79MGPCYFw3AbG3JrXsR+eDbOy6bFqHEWPoHhDc0tGKYpjcD9dU5+9wdZ/A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2bzhe1wAAAAsBAAAPAAAAAAAAAAEAIAAAACIAAABkcnMvZG93&#10;bnJldi54bWxQSwECFAAUAAAACACHTuJAEFbmpDoCAACJBAAADgAAAAAAAAABACAAAAAmAQAAZHJz&#10;L2Uyb0RvYy54bWxQSwUGAAAAAAYABgBZAQAA0gUAAAAA&#10;" adj="10800">
                <v:fill on="t" focussize="0,0"/>
                <v:stroke color="#FF000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6672" behindDoc="0" locked="0" layoutInCell="1" allowOverlap="1">
                <wp:simplePos x="0" y="0"/>
                <wp:positionH relativeFrom="column">
                  <wp:posOffset>6057265</wp:posOffset>
                </wp:positionH>
                <wp:positionV relativeFrom="paragraph">
                  <wp:posOffset>5024120</wp:posOffset>
                </wp:positionV>
                <wp:extent cx="152400" cy="133350"/>
                <wp:effectExtent l="15875" t="14605" r="22225" b="23495"/>
                <wp:wrapNone/>
                <wp:docPr id="56" name="自选图形 276"/>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shape id="自选图形 276" o:spid="_x0000_s1026" style="position:absolute;left:0pt;margin-left:476.95pt;margin-top:395.6pt;height:10.5pt;width:12pt;z-index:251676672;mso-width-relative:page;mso-height-relative:page;" fillcolor="#00B0F0" filled="t" stroked="t" coordsize="152400,133350" o:gfxdata="UEsDBAoAAAAAAIdO4kAAAAAAAAAAAAAAAAAEAAAAZHJzL1BLAwQUAAAACACHTuJAJd8aBtkAAAAL&#10;AQAADwAAAGRycy9kb3ducmV2LnhtbE2PTU/DMAyG70j8h8hI3FjaIujSNZ0QEtoNiTEJccsa03Yk&#10;TtVkX/x6zIkdbT96/bz18uSdOOAUh0Aa8lkGAqkNdqBOw+b95W4OIiZD1rhAqOGMEZbN9VVtKhuO&#10;9IaHdeoEh1CsjIY+pbGSMrY9ehNnYUTi21eYvEk8Tp20kzlyuHeyyLJH6c1A/KE3Iz732H6v917D&#10;apN/vLrxCd3nud2FlUzlT1Ba397k2QJEwlP6h+FPn9WhYadt2JONwmlQD/eKUQ2lygsQTKiy5M1W&#10;wzwvCpBNLS87NL9QSwMEFAAAAAgAh07iQE3MD5gmAgAAWgQAAA4AAABkcnMvZTJvRG9jLnhtbK1U&#10;zY7TMBC+I/EOlu80aUsKRE1XYku5IFhplweYOk5iyX/YbtNy4oZ4Bm575B3gbVZa3oKx0+2yy6UH&#10;Ls7YHn8z3zczmZ/tlCRb7rwwuqLjUU4J18zUQrcV/Xi1evaSEh9A1yCN5hXdc0/PFk+fzHtb8onp&#10;jKy5IwiifdnbinYh2DLLPOu4Aj8ylmu8bIxTEHDr2qx20CO6ktkkz2dZb1xtnWHcezxdDpf0gOhO&#10;ATRNIxhfGrZRXIcB1XEJASn5TlhPFynbpuEsfGgazwORFUWmIa0YBO11XLPFHMrWge0EO6QAp6Tw&#10;iJMCoTHoEWoJAcjGiX+glGDOeNOEETMqG4gkRZDFOH+kzWUHlicuKLW3R9H9/4Nl77cXjoi6osWM&#10;Eg0KK3779cfvL99uvv+6+XlNJi9mUaTe+hJ9L+2FO+w8mpHxrnEqfpEL2SVh90dh+S4QhofjYvI8&#10;R8kZXo2n02mRhM/uH1vnw1tuFIlGRbH/XJH0hO07HzAi+t75xGDeSFGvhJRp49r1uXRkC7HI+et8&#10;dQf/wE1q0lf0VTEpMBHAzm2wY9BUFtl73aZ4D17404BjYkvw3ZBAQhj6SonAo1xQdhzqN7omYW9R&#10;YI2DRWMyiteUSI5zGK3kGUDIUzxREKlRl1iYoRTRWpt6j/XE8UYVO+M+YxhsbuT3aQMOg4JmeFxR&#10;JD6Y52GYho11ou3w1TjmkWCx5ZLwh/GIPf33Pnnd/xI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l3xoG2QAAAAsBAAAPAAAAAAAAAAEAIAAAACIAAABkcnMvZG93bnJldi54bWxQSwECFAAUAAAA&#10;CACHTuJATcwPmCYCAABaBAAADgAAAAAAAAABACAAAAAoAQAAZHJzL2Uyb0RvYy54bWxQSwUGAAAA&#10;AAYABgBZAQAAwAU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3600" behindDoc="0" locked="0" layoutInCell="1" allowOverlap="1">
                <wp:simplePos x="0" y="0"/>
                <wp:positionH relativeFrom="column">
                  <wp:posOffset>5980430</wp:posOffset>
                </wp:positionH>
                <wp:positionV relativeFrom="paragraph">
                  <wp:posOffset>4745990</wp:posOffset>
                </wp:positionV>
                <wp:extent cx="1414145" cy="566420"/>
                <wp:effectExtent l="4445" t="5080" r="10160" b="19050"/>
                <wp:wrapNone/>
                <wp:docPr id="53" name="矩形 273"/>
                <wp:cNvGraphicFramePr/>
                <a:graphic xmlns:a="http://schemas.openxmlformats.org/drawingml/2006/main">
                  <a:graphicData uri="http://schemas.microsoft.com/office/word/2010/wordprocessingShape">
                    <wps:wsp>
                      <wps:cNvSpPr/>
                      <wps:spPr>
                        <a:xfrm>
                          <a:off x="0" y="0"/>
                          <a:ext cx="1414145" cy="5664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2302C9">
                            <w:pPr>
                              <w:keepNext w:val="0"/>
                              <w:keepLines w:val="0"/>
                              <w:pageBreakBefore w:val="0"/>
                              <w:widowControl w:val="0"/>
                              <w:kinsoku/>
                              <w:wordWrap/>
                              <w:overflowPunct/>
                              <w:topLinePunct w:val="0"/>
                              <w:bidi w:val="0"/>
                              <w:adjustRightInd/>
                              <w:snapToGrid/>
                              <w:spacing w:before="0"/>
                              <w:ind w:firstLine="360" w:firstLineChars="200"/>
                              <w:textAlignment w:val="auto"/>
                              <w:rPr>
                                <w:rFonts w:hint="eastAsia"/>
                                <w:sz w:val="18"/>
                                <w:szCs w:val="18"/>
                                <w:lang w:val="en-US" w:eastAsia="zh-CN"/>
                              </w:rPr>
                            </w:pPr>
                            <w:r>
                              <w:rPr>
                                <w:rFonts w:hint="eastAsia"/>
                                <w:sz w:val="18"/>
                                <w:szCs w:val="18"/>
                                <w:lang w:val="en-US" w:eastAsia="zh-CN"/>
                              </w:rPr>
                              <w:t>大气和噪声监测点</w:t>
                            </w:r>
                          </w:p>
                          <w:p w14:paraId="66DC3FD4">
                            <w:pPr>
                              <w:keepNext w:val="0"/>
                              <w:keepLines w:val="0"/>
                              <w:pageBreakBefore w:val="0"/>
                              <w:widowControl w:val="0"/>
                              <w:kinsoku/>
                              <w:wordWrap/>
                              <w:overflowPunct/>
                              <w:topLinePunct w:val="0"/>
                              <w:bidi w:val="0"/>
                              <w:adjustRightInd/>
                              <w:snapToGrid/>
                              <w:spacing w:before="0"/>
                              <w:ind w:firstLine="360" w:firstLineChars="200"/>
                              <w:textAlignment w:val="auto"/>
                              <w:rPr>
                                <w:rFonts w:hint="default"/>
                                <w:sz w:val="18"/>
                                <w:szCs w:val="18"/>
                                <w:lang w:val="en-US" w:eastAsia="zh-CN"/>
                              </w:rPr>
                            </w:pPr>
                            <w:r>
                              <w:rPr>
                                <w:rFonts w:hint="eastAsia"/>
                                <w:sz w:val="18"/>
                                <w:szCs w:val="18"/>
                                <w:lang w:val="en-US" w:eastAsia="zh-CN"/>
                              </w:rPr>
                              <w:t>地表水监测点</w:t>
                            </w:r>
                          </w:p>
                        </w:txbxContent>
                      </wps:txbx>
                      <wps:bodyPr vert="horz" wrap="square" anchor="t" anchorCtr="0" upright="1"/>
                    </wps:wsp>
                  </a:graphicData>
                </a:graphic>
              </wp:anchor>
            </w:drawing>
          </mc:Choice>
          <mc:Fallback>
            <w:pict>
              <v:rect id="矩形 273" o:spid="_x0000_s1026" o:spt="1" style="position:absolute;left:0pt;margin-left:470.9pt;margin-top:373.7pt;height:44.6pt;width:111.35pt;z-index:251673600;mso-width-relative:page;mso-height-relative:page;" fillcolor="#FFFFFF" filled="t" stroked="t" coordsize="21600,21600" o:gfxdata="UEsDBAoAAAAAAIdO4kAAAAAAAAAAAAAAAAAEAAAAZHJzL1BLAwQUAAAACACHTuJAAL6AOdoAAAAM&#10;AQAADwAAAGRycy9kb3ducmV2LnhtbE2PQU+DQBSE7yb+h80z8WYXWqQt8uhBUxOPLb14e7AroOxb&#10;wi4t+uvdnvQ4mcnMN/luNr0469F1lhHiRQRCc21Vxw3Cqdw/bEA4T6yot6wRvrWDXXF7k1Om7IUP&#10;+nz0jQgl7DJCaL0fMild3WpDbmEHzcH7sKMhH+TYSDXSJZSbXi6jKJWGOg4LLQ36udX113EyCFW3&#10;PNHPoXyNzHa/8m9z+Tm9vyDe38XREwivZ/8Xhit+QIciMFV2YuVEj7BN4oDuEdbJOgFxTcRp8gii&#10;Qtis0hRkkcv/J4pfUEsDBBQAAAAIAIdO4kD+e3hXIwIAAF8EAAAOAAAAZHJzL2Uyb0RvYy54bWyt&#10;VM2O0zAQviPxDpbvNG13WyBquoct5YJgpYUHmDpOYsl/jN0m5WWQuPEQPA7iNRg7pfsDhz2QSunY&#10;Hn8z3zczWV0NRrODxKCcrfhsMuVMWuFqZduKf/q4ffGKsxDB1qCdlRU/ysCv1s+frXpfyrnrnK4l&#10;MgKxoex9xbsYfVkUQXTSQJg4Ly0dNg4NRFpiW9QIPaEbXcyn02XRO6w9OiFDoN3NeMhPiPgUQNc0&#10;SsiNE3sjbRxRUWqIRCl0yge+ztk2jRTxQ9MEGZmuODGN+U1ByN6ld7FeQdki+E6JUwrwlBQecTKg&#10;LAU9Q20gAtuj+gvKKIEuuCZOhDPFSCQrQixm00fa3HbgZeZCUgd/Fj38P1jx/nCDTNUVX1xwZsFQ&#10;xX99/f7zxzc2f3mR5Ol9KMnr1t/gaRXITFyHBk36JxZsyJIez5LKITJBm7PL9FtwJuhssVxezrPm&#10;xd1tjyG+lc6wZFQcqWRZSTi8C5EikusflxQsOK3qrdI6L7DdXWtkB6DybvOTUqYrD9y0ZX3FXy/m&#10;KQ+gnm2oV8g0nngH2+Z4D26E+8DT/PwLOCW2gdCNCWSE5AalUVEmuaDsJNRvbM3i0ZO0lkaKp2SM&#10;rDnTkiYwWdkzgtJP8SR22hLJVJixFMmKw24gmGTuXH2kotKMk56dwy8UkTqcqH7eA1J8sIK2K04a&#10;jOZ1HEdi71G1Hd2aZbYJjPouC3qakdTY99c5j7vvw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L6AOdoAAAAMAQAADwAAAAAAAAABACAAAAAiAAAAZHJzL2Rvd25yZXYueG1sUEsBAhQAFAAAAAgA&#10;h07iQP57eFcjAgAAXwQAAA4AAAAAAAAAAQAgAAAAKQEAAGRycy9lMm9Eb2MueG1sUEsFBgAAAAAG&#10;AAYAWQEAAL4FAAAAAA==&#10;">
                <v:fill on="t" focussize="0,0"/>
                <v:stroke color="#000000" joinstyle="miter"/>
                <v:imagedata o:title=""/>
                <o:lock v:ext="edit" aspectratio="f"/>
                <v:textbox>
                  <w:txbxContent>
                    <w:p w14:paraId="362302C9">
                      <w:pPr>
                        <w:keepNext w:val="0"/>
                        <w:keepLines w:val="0"/>
                        <w:pageBreakBefore w:val="0"/>
                        <w:widowControl w:val="0"/>
                        <w:kinsoku/>
                        <w:wordWrap/>
                        <w:overflowPunct/>
                        <w:topLinePunct w:val="0"/>
                        <w:bidi w:val="0"/>
                        <w:adjustRightInd/>
                        <w:snapToGrid/>
                        <w:spacing w:before="0"/>
                        <w:ind w:firstLine="360" w:firstLineChars="200"/>
                        <w:textAlignment w:val="auto"/>
                        <w:rPr>
                          <w:rFonts w:hint="eastAsia"/>
                          <w:sz w:val="18"/>
                          <w:szCs w:val="18"/>
                          <w:lang w:val="en-US" w:eastAsia="zh-CN"/>
                        </w:rPr>
                      </w:pPr>
                      <w:r>
                        <w:rPr>
                          <w:rFonts w:hint="eastAsia"/>
                          <w:sz w:val="18"/>
                          <w:szCs w:val="18"/>
                          <w:lang w:val="en-US" w:eastAsia="zh-CN"/>
                        </w:rPr>
                        <w:t>大气和噪声监测点</w:t>
                      </w:r>
                    </w:p>
                    <w:p w14:paraId="66DC3FD4">
                      <w:pPr>
                        <w:keepNext w:val="0"/>
                        <w:keepLines w:val="0"/>
                        <w:pageBreakBefore w:val="0"/>
                        <w:widowControl w:val="0"/>
                        <w:kinsoku/>
                        <w:wordWrap/>
                        <w:overflowPunct/>
                        <w:topLinePunct w:val="0"/>
                        <w:bidi w:val="0"/>
                        <w:adjustRightInd/>
                        <w:snapToGrid/>
                        <w:spacing w:before="0"/>
                        <w:ind w:firstLine="360" w:firstLineChars="200"/>
                        <w:textAlignment w:val="auto"/>
                        <w:rPr>
                          <w:rFonts w:hint="default"/>
                          <w:sz w:val="18"/>
                          <w:szCs w:val="18"/>
                          <w:lang w:val="en-US" w:eastAsia="zh-CN"/>
                        </w:rPr>
                      </w:pPr>
                      <w:r>
                        <w:rPr>
                          <w:rFonts w:hint="eastAsia"/>
                          <w:sz w:val="18"/>
                          <w:szCs w:val="18"/>
                          <w:lang w:val="en-US" w:eastAsia="zh-CN"/>
                        </w:rPr>
                        <w:t>地表水监测点</w:t>
                      </w:r>
                    </w:p>
                  </w:txbxContent>
                </v:textbox>
              </v:rect>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8720" behindDoc="0" locked="0" layoutInCell="1" allowOverlap="1">
                <wp:simplePos x="0" y="0"/>
                <wp:positionH relativeFrom="column">
                  <wp:posOffset>2411095</wp:posOffset>
                </wp:positionH>
                <wp:positionV relativeFrom="paragraph">
                  <wp:posOffset>1597025</wp:posOffset>
                </wp:positionV>
                <wp:extent cx="152400" cy="133350"/>
                <wp:effectExtent l="15875" t="14605" r="22225" b="23495"/>
                <wp:wrapNone/>
                <wp:docPr id="58" name="自选图形 278"/>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wrap="square" upright="1"/>
                    </wps:wsp>
                  </a:graphicData>
                </a:graphic>
              </wp:anchor>
            </w:drawing>
          </mc:Choice>
          <mc:Fallback>
            <w:pict>
              <v:shape id="自选图形 278" o:spid="_x0000_s1026" style="position:absolute;left:0pt;margin-left:189.85pt;margin-top:125.75pt;height:10.5pt;width:12pt;z-index:251678720;mso-width-relative:page;mso-height-relative:page;" fillcolor="#00B0F0" filled="t" stroked="t" coordsize="152400,133350" o:gfxdata="UEsDBAoAAAAAAIdO4kAAAAAAAAAAAAAAAAAEAAAAZHJzL1BLAwQUAAAACACHTuJAw3ucldkAAAAL&#10;AQAADwAAAGRycy9kb3ducmV2LnhtbE2PTU/DMAyG70j8h8hI3FjSjlJWmk4ICe2GxJiEuGWNaQuJ&#10;UzXZF78ecxpHv370+nG9PHon9jjFIZCGbKZAILXBDtRp2Lw939yDiMmQNS4QajhhhGVzeVGbyoYD&#10;veJ+nTrBJRQro6FPaaykjG2P3sRZGJF49xkmbxKPUyftZA5c7p3MlbqT3gzEF3oz4lOP7fd65zWs&#10;Ntn7ixsf0X2c2q+wkqn8CQutr68y9QAi4TGdYfjTZ3Vo2GkbdmSjcBrm5aJkVENeZAUIJm7VnJMt&#10;J2VegGxq+f+H5hdQSwMEFAAAAAgAh07iQC5jVGgQAgAANQQAAA4AAABkcnMvZTJvRG9jLnhtbK1T&#10;zY7TMBC+I/EOlu9s0pbAEjVdCUq5IFhp4QGmtpNY8h+227Q3bohn4MZx3wHeZiV4C8ZOt8sulx64&#10;JGN7/M1833yeX+y0Ilvhg7SmoZOzkhJhmOXSdA39+GH15JySEMFwUNaIhu5FoBeLx4/mg6vF1PZW&#10;ceEJgphQD66hfYyuLorAeqEhnFknDB621muIuPRdwT0MiK5VMS3LZ8VgPXfeMhEC7i7HQ3pA9KcA&#10;2raVTCwt22hh4ojqhYKIlEIvXaCL3G3bChbft20QkaiGItOYv1gE43X6Fos51J0H10t2aAFOaeEB&#10;Jw3SYNEj1BIikI2X/0BpybwNto1nzOpiJJIVQRaT8oE2Vz04kbmg1MEdRQ//D5a92156InlDK5y7&#10;AY0T//Xl+vfnrzffft78+E6mz8+TSIMLNeZeuUt/WAUME+Nd63X6Ixeyy8Luj8KKXSQMNyfV9GmJ&#10;kjM8msxmsyoLX9xddj7EN8JqkoKGov98lfWE7dsQsSLm3uakYsEqyVdSqbzw3fqV8mQLacjly3J1&#10;C38vTRkyNPRFNa2wEUDntugYDLVD9sF0ud69G+E04NTYEkI/NpARRl9pGUWSC+peAH9tOIl7hwIb&#10;fFg0NaMFp0QJfIcpypkRpDolEwVRBnVJgxlHkaK15Xuc54CGRk6fNuCx0MZ52fUo6ySVyDfQTVnT&#10;g/OTXf9e56y7177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N7nJXZAAAACwEAAA8AAAAAAAAA&#10;AQAgAAAAIgAAAGRycy9kb3ducmV2LnhtbFBLAQIUABQAAAAIAIdO4kAuY1RoEAIAADUEAAAOAAAA&#10;AAAAAAEAIAAAACgBAABkcnMvZTJvRG9jLnhtbFBLBQYAAAAABgAGAFkBAACqBQ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sz w:val="32"/>
          <w:highlight w:val="none"/>
        </w:rPr>
        <mc:AlternateContent>
          <mc:Choice Requires="wps">
            <w:drawing>
              <wp:anchor distT="0" distB="0" distL="114300" distR="114300" simplePos="0" relativeHeight="251677696" behindDoc="0" locked="0" layoutInCell="1" allowOverlap="1">
                <wp:simplePos x="0" y="0"/>
                <wp:positionH relativeFrom="column">
                  <wp:posOffset>5554345</wp:posOffset>
                </wp:positionH>
                <wp:positionV relativeFrom="paragraph">
                  <wp:posOffset>3416300</wp:posOffset>
                </wp:positionV>
                <wp:extent cx="152400" cy="133350"/>
                <wp:effectExtent l="15875" t="14605" r="22225" b="23495"/>
                <wp:wrapNone/>
                <wp:docPr id="57" name="自选图形 277"/>
                <wp:cNvGraphicFramePr/>
                <a:graphic xmlns:a="http://schemas.openxmlformats.org/drawingml/2006/main">
                  <a:graphicData uri="http://schemas.microsoft.com/office/word/2010/wordprocessingShape">
                    <wps:wsp>
                      <wps:cNvSpPr/>
                      <wps:spPr>
                        <a:xfrm>
                          <a:off x="0" y="0"/>
                          <a:ext cx="152400" cy="133350"/>
                        </a:xfrm>
                        <a:prstGeom prst="star5">
                          <a:avLst/>
                        </a:prstGeom>
                        <a:solidFill>
                          <a:srgbClr val="00B0F0"/>
                        </a:solidFill>
                        <a:ln w="9525" cap="flat" cmpd="sng">
                          <a:solidFill>
                            <a:srgbClr val="00B0F0"/>
                          </a:solidFill>
                          <a:prstDash val="solid"/>
                          <a:miter/>
                          <a:headEnd type="none" w="med" len="med"/>
                          <a:tailEnd type="none" w="med" len="med"/>
                        </a:ln>
                      </wps:spPr>
                      <wps:bodyPr wrap="square" upright="1"/>
                    </wps:wsp>
                  </a:graphicData>
                </a:graphic>
              </wp:anchor>
            </w:drawing>
          </mc:Choice>
          <mc:Fallback>
            <w:pict>
              <v:shape id="自选图形 277" o:spid="_x0000_s1026" style="position:absolute;left:0pt;margin-left:437.35pt;margin-top:269pt;height:10.5pt;width:12pt;z-index:251677696;mso-width-relative:page;mso-height-relative:page;" fillcolor="#00B0F0" filled="t" stroked="t" coordsize="152400,133350" o:gfxdata="UEsDBAoAAAAAAIdO4kAAAAAAAAAAAAAAAAAEAAAAZHJzL1BLAwQUAAAACACHTuJAcwOTCNgAAAAL&#10;AQAADwAAAGRycy9kb3ducmV2LnhtbE2Py07DMBBF90j8gzVI7KgdoMQJcSqEhLpDolRC3bnJNAnY&#10;4yh2X3w9wwqWc+foPqrFyTtxwCkOgQxkMwUCqQntQJ2B9fvLjQYRk6XWukBo4IwRFvXlRWXLNhzp&#10;DQ+r1Ak2oVhaA31KYyllbHr0Ns7CiMS/XZi8TXxOnWwne2Rz7+StUg/S24E4obcjPvfYfK323sBy&#10;nX28uvEJ3ebcfIalTPl3KIy5vsrUI4iEp/QHw299rg41d9qGPbVROAM6v88ZNTC/0zyKCV1oVras&#10;zAsFsq7k/w31D1BLAwQUAAAACACHTuJATkcpWxACAAA1BAAADgAAAGRycy9lMm9Eb2MueG1srVPN&#10;jtMwEL4j8Q6W7zRpSihETVeCUi4IVlp4gKnjJJb8h+027Y0b4hm4cdx3gLdZCd6CsdPtssulBy7J&#10;2B5/M983nxcXeyXJjjsvjK7pdJJTwjUzjdBdTT9+WD95TokPoBuQRvOaHrinF8vHjxaDrXhheiMb&#10;7giCaF8NtqZ9CLbKMs96rsBPjOUaD1vjFARcui5rHAyIrmRW5PmzbDCusc4w7j3ursZDekR05wCa&#10;thWMrwzbKq7DiOq4hICUfC+sp8vUbdtyFt63reeByJoi05C+WATjTfxmywVUnQPbC3ZsAc5p4QEn&#10;BUJj0RPUCgKQrRP/QCnBnPGmDRNmVDYSSYogi2n+QJurHixPXFBqb0+i+/8Hy97tLh0RTU3LOSUa&#10;FE7815fr35+/3nz7efPjOynm8yjSYH2FuVf20h1XHsPIeN86Ff/IheyTsIeTsHwfCMPNaVk8zVFy&#10;hkfT2WxWJuGzu8vW+fCGG0ViUFP0nyuTnrB76wNWxNzbnFjMGymatZAyLVy3eSUd2UEccv4yX9/C&#10;30uTmgw1fVEWJTYC6NwWHYOhssje6y7Vu3fDnwccG1uB78cGEsLoKyUCj3JB1XNoXuuGhINFgTU+&#10;LBqbUbyhRHJ8hzFKmQGEPCcTBZEadYmDGUcRo41pDjjPAQ2NnD5twWGhrXWi61HWaSyRbqCbkqZH&#10;50e7/r1OWXevff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wOTCNgAAAALAQAADwAAAAAAAAAB&#10;ACAAAAAiAAAAZHJzL2Rvd25yZXYueG1sUEsBAhQAFAAAAAgAh07iQE5HKVsQAgAANQQAAA4AAAAA&#10;AAAAAQAgAAAAJwEAAGRycy9lMm9Eb2MueG1sUEsFBgAAAAAGAAYAWQEAAKkFAAAAAA==&#10;" path="m0,50935l58211,50935,76200,0,94188,50935,152399,50935,105305,82414,123294,133349,76200,101869,29105,133349,47094,82414xe">
                <v:path o:connectlocs="76200,0;0,50935;29105,133349;123294,133349;152399,50935" o:connectangles="247,164,82,82,0"/>
                <v:fill on="t" focussize="0,0"/>
                <v:stroke color="#00B0F0" joinstyle="miter"/>
                <v:imagedata o:title=""/>
                <o:lock v:ext="edit" aspectratio="f"/>
              </v:shape>
            </w:pict>
          </mc:Fallback>
        </mc:AlternateContent>
      </w:r>
      <w:r>
        <w:rPr>
          <w:rFonts w:hint="default" w:ascii="Times New Roman" w:hAnsi="Times New Roman" w:cs="Times New Roman"/>
          <w:highlight w:val="none"/>
        </w:rPr>
        <w:drawing>
          <wp:anchor distT="0" distB="0" distL="114300" distR="114300" simplePos="0" relativeHeight="251672576" behindDoc="0" locked="0" layoutInCell="1" allowOverlap="1">
            <wp:simplePos x="0" y="0"/>
            <wp:positionH relativeFrom="column">
              <wp:posOffset>6989445</wp:posOffset>
            </wp:positionH>
            <wp:positionV relativeFrom="paragraph">
              <wp:posOffset>-52705</wp:posOffset>
            </wp:positionV>
            <wp:extent cx="520700" cy="552450"/>
            <wp:effectExtent l="0" t="0" r="12700" b="0"/>
            <wp:wrapNone/>
            <wp:docPr id="5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2"/>
                    <pic:cNvPicPr>
                      <a:picLocks noChangeAspect="1"/>
                    </pic:cNvPicPr>
                  </pic:nvPicPr>
                  <pic:blipFill>
                    <a:blip r:embed="rId17"/>
                    <a:stretch>
                      <a:fillRect/>
                    </a:stretch>
                  </pic:blipFill>
                  <pic:spPr>
                    <a:xfrm>
                      <a:off x="0" y="0"/>
                      <a:ext cx="520700" cy="552450"/>
                    </a:xfrm>
                    <a:prstGeom prst="rect">
                      <a:avLst/>
                    </a:prstGeom>
                    <a:noFill/>
                    <a:ln>
                      <a:noFill/>
                    </a:ln>
                  </pic:spPr>
                </pic:pic>
              </a:graphicData>
            </a:graphic>
          </wp:anchor>
        </w:drawing>
      </w:r>
      <w:r>
        <w:rPr>
          <w:rFonts w:hint="default" w:ascii="Times New Roman" w:hAnsi="Times New Roman" w:cs="Times New Roman"/>
          <w:sz w:val="32"/>
          <w:highlight w:val="none"/>
        </w:rPr>
        <mc:AlternateContent>
          <mc:Choice Requires="wps">
            <w:drawing>
              <wp:anchor distT="0" distB="0" distL="114300" distR="114300" simplePos="0" relativeHeight="251675648" behindDoc="0" locked="0" layoutInCell="1" allowOverlap="1">
                <wp:simplePos x="0" y="0"/>
                <wp:positionH relativeFrom="column">
                  <wp:posOffset>4354195</wp:posOffset>
                </wp:positionH>
                <wp:positionV relativeFrom="paragraph">
                  <wp:posOffset>1892300</wp:posOffset>
                </wp:positionV>
                <wp:extent cx="123825" cy="114300"/>
                <wp:effectExtent l="8255" t="10160" r="20320" b="8890"/>
                <wp:wrapNone/>
                <wp:docPr id="55" name="自选图形 275"/>
                <wp:cNvGraphicFramePr/>
                <a:graphic xmlns:a="http://schemas.openxmlformats.org/drawingml/2006/main">
                  <a:graphicData uri="http://schemas.microsoft.com/office/word/2010/wordprocessingShape">
                    <wps:wsp>
                      <wps:cNvSpPr/>
                      <wps:spPr>
                        <a:xfrm>
                          <a:off x="0" y="0"/>
                          <a:ext cx="123825" cy="114300"/>
                        </a:xfrm>
                        <a:prstGeom prst="triangle">
                          <a:avLst>
                            <a:gd name="adj" fmla="val 50000"/>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275" o:spid="_x0000_s1026" o:spt="5" type="#_x0000_t5" style="position:absolute;left:0pt;margin-left:342.85pt;margin-top:149pt;height:9pt;width:9.75pt;z-index:251675648;mso-width-relative:page;mso-height-relative:page;" fillcolor="#FF0000" filled="t" stroked="t" coordsize="21600,21600" o:gfxdata="UEsDBAoAAAAAAIdO4kAAAAAAAAAAAAAAAAAEAAAAZHJzL1BLAwQUAAAACACHTuJAA0pAQ9kAAAAL&#10;AQAADwAAAGRycy9kb3ducmV2LnhtbE2PsU7DMBCGdyTewTokFkTtBJqGEKdCkdhYKF26ObYbB+Jz&#10;FLtpeXuOCcbTffff99fbix/ZYuc4BJSQrQQwizqYAXsJ+4/X+xJYTAqNGgNaCd82wra5vqpVZcIZ&#10;3+2ySz2jEIyVkuBSmirOo3bWq7gKk0XaHcPsVaJx7rmZ1ZnC/chzIQru1YD0wanJts7qr93Jk8bd&#10;wg/Hdv/ZxUPPW9fqx7cXLeXtTSaegSV7SX8w/OrTDTTk1IUTmshGCUW53hAqIX8qqRQRG7HOgXUS&#10;HrJCAG9q/r9D8wNQSwMEFAAAAAgAh07iQGAQDKckAgAAZAQAAA4AAABkcnMvZTJvRG9jLnhtbK1U&#10;S5LTMBDdU8UdVNoT2xkCgyvOLAhhQ8FUDRygI8m2KP2QlDjZsaM4AzuWcwe4zVTBLWgpJvNhkwVZ&#10;OC2r++m91y3PL3Zaka3wQVrT0GpSUiIMs1yarqEf3q+enFMSIhgOyhrR0L0I9GLx+NF8cLWY2t4q&#10;LjxBEBPqwTW0j9HVRRFYLzSEiXXC4GZrvYaIS98V3MOA6FoV07J8VgzWc+ctEyHg2+Vhk46I/hRA&#10;27aSiaVlGy1MPKB6oSCipNBLF+gis21bweK7tg0iEtVQVBrzEw/BeJ2exWIOdefB9ZKNFOAUCg80&#10;aZAGDz1CLSEC2Xj5D5SWzNtg2zhhVhcHIdkRVFGVD7y56sGJrAWtDu5oevh/sOzt9tITyRs6m1Fi&#10;QGPHf325/v356823nzc/vpPp81kyaXChxtwrd+nHVcAwKd61Xqd/1EJ22dj90Vixi4Thy2p6dj5F&#10;fIZbVfX0rMzGF7fFzof4WlhNUtDQ6CWYTiXtUMP2TYjZWz4SBP6RklYr7NQWFJmV+EskEXBMxugv&#10;ZKoMVkm+kkrlhe/WL5UnWNrQ1epO8b00ZcjQ0BezzBtw0FscMJSgHZoVTJe53asIpwEnYksI/YFA&#10;RjiMoZZRJHeh7gXwV4aTuHfYD4P3kCYyWnBKlMBrm6KcGUGqUzLREGXQodTHQ+dStLZ8j+0fcP5R&#10;06cNeDxo47zseuxClT1NeTh82d3xoqTpvrvOuLcfh8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0pAQ9kAAAALAQAADwAAAAAAAAABACAAAAAiAAAAZHJzL2Rvd25yZXYueG1sUEsBAhQAFAAAAAgA&#10;h07iQGAQDKckAgAAZAQAAA4AAAAAAAAAAQAgAAAAKAEAAGRycy9lMm9Eb2MueG1sUEsFBgAAAAAG&#10;AAYAWQEAAL4FAAAAAA==&#10;" adj="10800">
                <v:fill on="t" focussize="0,0"/>
                <v:stroke color="#FF0000" joinstyle="miter"/>
                <v:imagedata o:title=""/>
                <o:lock v:ext="edit" aspectratio="f"/>
              </v:shape>
            </w:pict>
          </mc:Fallback>
        </mc:AlternateContent>
      </w:r>
      <w:r>
        <w:rPr>
          <w:highlight w:val="none"/>
        </w:rPr>
        <w:drawing>
          <wp:inline distT="0" distB="0" distL="114300" distR="114300">
            <wp:extent cx="6487795" cy="5351780"/>
            <wp:effectExtent l="0" t="0" r="8255" b="1270"/>
            <wp:docPr id="1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
                    <pic:cNvPicPr>
                      <a:picLocks noChangeAspect="1"/>
                    </pic:cNvPicPr>
                  </pic:nvPicPr>
                  <pic:blipFill>
                    <a:blip r:embed="rId37"/>
                    <a:stretch>
                      <a:fillRect/>
                    </a:stretch>
                  </pic:blipFill>
                  <pic:spPr>
                    <a:xfrm>
                      <a:off x="0" y="0"/>
                      <a:ext cx="6487795" cy="5351780"/>
                    </a:xfrm>
                    <a:prstGeom prst="rect">
                      <a:avLst/>
                    </a:prstGeom>
                    <a:noFill/>
                    <a:ln>
                      <a:noFill/>
                    </a:ln>
                  </pic:spPr>
                </pic:pic>
              </a:graphicData>
            </a:graphic>
          </wp:inline>
        </w:drawing>
      </w:r>
      <w:r>
        <w:rPr>
          <w:rFonts w:hint="default" w:ascii="Times New Roman" w:hAnsi="Times New Roman" w:cs="Times New Roman"/>
          <w:highlight w:val="none"/>
        </w:rPr>
        <w:br w:type="textWrapping"/>
      </w:r>
      <w:r>
        <w:rPr>
          <w:rStyle w:val="36"/>
          <w:rFonts w:hint="default" w:ascii="Times New Roman" w:hAnsi="Times New Roman" w:cs="Times New Roman"/>
          <w:b/>
          <w:bCs/>
          <w:highlight w:val="none"/>
          <w:lang w:val="en-US" w:eastAsia="zh-CN"/>
        </w:rPr>
        <w:t>附</w:t>
      </w:r>
      <w:r>
        <w:rPr>
          <w:rStyle w:val="36"/>
          <w:rFonts w:hint="default" w:ascii="Times New Roman" w:hAnsi="Times New Roman" w:eastAsia="宋体" w:cs="Times New Roman"/>
          <w:b/>
          <w:bCs/>
          <w:highlight w:val="none"/>
          <w:lang w:val="en-US" w:eastAsia="zh-CN"/>
        </w:rPr>
        <w:t>图</w:t>
      </w:r>
      <w:r>
        <w:rPr>
          <w:rStyle w:val="36"/>
          <w:rFonts w:hint="default" w:ascii="Times New Roman" w:hAnsi="Times New Roman" w:cs="Times New Roman"/>
          <w:b/>
          <w:bCs/>
          <w:highlight w:val="none"/>
          <w:lang w:val="en-US" w:eastAsia="zh-CN"/>
        </w:rPr>
        <w:t>1</w:t>
      </w:r>
      <w:r>
        <w:rPr>
          <w:rStyle w:val="36"/>
          <w:rFonts w:hint="eastAsia" w:ascii="Times New Roman" w:hAnsi="Times New Roman" w:cs="Times New Roman"/>
          <w:b/>
          <w:bCs/>
          <w:highlight w:val="none"/>
          <w:lang w:val="en-US" w:eastAsia="zh-CN"/>
        </w:rPr>
        <w:t>2</w:t>
      </w:r>
      <w:r>
        <w:rPr>
          <w:rStyle w:val="36"/>
          <w:rFonts w:hint="default" w:ascii="Times New Roman" w:hAnsi="Times New Roman" w:cs="Times New Roman"/>
          <w:b/>
          <w:bCs/>
          <w:highlight w:val="none"/>
          <w:lang w:val="en-US" w:eastAsia="zh-CN"/>
        </w:rPr>
        <w:t xml:space="preserve">  生态监测布点图</w:t>
      </w:r>
      <w:bookmarkEnd w:id="75"/>
    </w:p>
    <w:p w14:paraId="093CA230">
      <w:pPr>
        <w:rPr>
          <w:rFonts w:hint="default" w:ascii="Times New Roman" w:hAnsi="Times New Roman" w:eastAsia="宋体" w:cs="Times New Roman"/>
          <w:b/>
          <w:bCs/>
          <w:color w:val="auto"/>
          <w:sz w:val="24"/>
          <w:szCs w:val="24"/>
          <w:highlight w:val="none"/>
          <w:lang w:val="en-US" w:eastAsia="zh-CN"/>
        </w:rPr>
        <w:sectPr>
          <w:pgSz w:w="16838" w:h="11906" w:orient="landscape"/>
          <w:pgMar w:top="1440" w:right="1803" w:bottom="1440" w:left="1803" w:header="851" w:footer="992" w:gutter="0"/>
          <w:cols w:space="720" w:num="1"/>
          <w:rtlGutter w:val="0"/>
          <w:docGrid w:type="lines" w:linePitch="322" w:charSpace="0"/>
        </w:sectPr>
      </w:pPr>
    </w:p>
    <w:p w14:paraId="54344F6F">
      <w:pPr>
        <w:outlineLvl w:val="0"/>
        <w:rPr>
          <w:rFonts w:hint="default" w:ascii="Times New Roman" w:hAnsi="Times New Roman" w:cs="Times New Roman"/>
          <w:b/>
          <w:color w:val="auto"/>
          <w:sz w:val="28"/>
          <w:szCs w:val="28"/>
          <w:highlight w:val="none"/>
        </w:rPr>
      </w:pPr>
      <w:bookmarkStart w:id="76" w:name="_Toc19776"/>
      <w:bookmarkStart w:id="77" w:name="_Toc22703"/>
      <w:r>
        <w:rPr>
          <w:rFonts w:hint="default" w:ascii="Times New Roman" w:hAnsi="Times New Roman" w:cs="Times New Roman"/>
          <w:b/>
          <w:color w:val="auto"/>
          <w:sz w:val="28"/>
          <w:szCs w:val="28"/>
          <w:highlight w:val="none"/>
        </w:rPr>
        <w:t>附件</w:t>
      </w:r>
      <w:bookmarkEnd w:id="76"/>
      <w:bookmarkEnd w:id="77"/>
    </w:p>
    <w:p w14:paraId="690BE0B5">
      <w:pPr>
        <w:pStyle w:val="5"/>
        <w:bidi w:val="0"/>
        <w:jc w:val="left"/>
        <w:rPr>
          <w:rFonts w:hint="default" w:ascii="Times New Roman" w:hAnsi="Times New Roman" w:cs="Times New Roman"/>
          <w:highlight w:val="none"/>
          <w:lang w:val="en-US" w:eastAsia="zh-CN"/>
        </w:rPr>
      </w:pPr>
      <w:bookmarkStart w:id="78" w:name="_Toc1019"/>
      <w:bookmarkStart w:id="79" w:name="_Toc82120813"/>
      <w:r>
        <w:rPr>
          <w:rFonts w:hint="default" w:ascii="Times New Roman" w:hAnsi="Times New Roman" w:cs="Times New Roman"/>
          <w:highlight w:val="none"/>
          <w:lang w:val="en-US" w:eastAsia="zh-CN"/>
        </w:rPr>
        <w:t>附件1 关于</w:t>
      </w:r>
      <w:r>
        <w:rPr>
          <w:rFonts w:hint="eastAsia" w:ascii="Times New Roman" w:hAnsi="Times New Roman" w:cs="Times New Roman"/>
          <w:highlight w:val="none"/>
          <w:lang w:val="en-US" w:eastAsia="zh-CN"/>
        </w:rPr>
        <w:t>庆安县格木克河改道项目</w:t>
      </w:r>
      <w:r>
        <w:rPr>
          <w:rFonts w:hint="default" w:ascii="Times New Roman" w:hAnsi="Times New Roman" w:cs="Times New Roman"/>
          <w:highlight w:val="none"/>
          <w:lang w:val="en-US" w:eastAsia="zh-CN"/>
        </w:rPr>
        <w:t>初步设计报告的批复</w:t>
      </w:r>
      <w:bookmarkEnd w:id="78"/>
      <w:bookmarkEnd w:id="79"/>
    </w:p>
    <w:p w14:paraId="621EEE9D">
      <w:pPr>
        <w:rPr>
          <w:rFonts w:hint="default" w:ascii="Times New Roman" w:hAnsi="Times New Roman" w:eastAsia="宋体" w:cs="Times New Roman"/>
          <w:color w:val="auto"/>
          <w:highlight w:val="none"/>
          <w:lang w:eastAsia="zh-CN"/>
        </w:rPr>
      </w:pPr>
      <w:r>
        <w:rPr>
          <w:highlight w:val="none"/>
        </w:rPr>
        <w:drawing>
          <wp:inline distT="0" distB="0" distL="114300" distR="114300">
            <wp:extent cx="5160645" cy="7106285"/>
            <wp:effectExtent l="0" t="0" r="1905" b="18415"/>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38"/>
                    <a:stretch>
                      <a:fillRect/>
                    </a:stretch>
                  </pic:blipFill>
                  <pic:spPr>
                    <a:xfrm>
                      <a:off x="0" y="0"/>
                      <a:ext cx="5160645" cy="7106285"/>
                    </a:xfrm>
                    <a:prstGeom prst="rect">
                      <a:avLst/>
                    </a:prstGeom>
                    <a:noFill/>
                    <a:ln>
                      <a:noFill/>
                    </a:ln>
                  </pic:spPr>
                </pic:pic>
              </a:graphicData>
            </a:graphic>
          </wp:inline>
        </w:drawing>
      </w:r>
      <w:r>
        <w:rPr>
          <w:highlight w:val="none"/>
        </w:rPr>
        <w:drawing>
          <wp:inline distT="0" distB="0" distL="114300" distR="114300">
            <wp:extent cx="5728335" cy="7844155"/>
            <wp:effectExtent l="0" t="0" r="5715" b="4445"/>
            <wp:docPr id="1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
                    <pic:cNvPicPr>
                      <a:picLocks noChangeAspect="1"/>
                    </pic:cNvPicPr>
                  </pic:nvPicPr>
                  <pic:blipFill>
                    <a:blip r:embed="rId39"/>
                    <a:stretch>
                      <a:fillRect/>
                    </a:stretch>
                  </pic:blipFill>
                  <pic:spPr>
                    <a:xfrm>
                      <a:off x="0" y="0"/>
                      <a:ext cx="5728335" cy="7844155"/>
                    </a:xfrm>
                    <a:prstGeom prst="rect">
                      <a:avLst/>
                    </a:prstGeom>
                    <a:noFill/>
                    <a:ln>
                      <a:noFill/>
                    </a:ln>
                  </pic:spPr>
                </pic:pic>
              </a:graphicData>
            </a:graphic>
          </wp:inline>
        </w:drawing>
      </w:r>
    </w:p>
    <w:p w14:paraId="42E3C7C0">
      <w:pPr>
        <w:rPr>
          <w:rFonts w:hint="default" w:ascii="Times New Roman" w:hAnsi="Times New Roman" w:cs="Times New Roman"/>
          <w:color w:val="auto"/>
          <w:highlight w:val="none"/>
        </w:rPr>
      </w:pPr>
    </w:p>
    <w:p w14:paraId="2A03611B">
      <w:pPr>
        <w:bidi w:val="0"/>
        <w:rPr>
          <w:rFonts w:hint="default" w:ascii="Times New Roman" w:hAnsi="Times New Roman" w:cs="Times New Roman"/>
          <w:highlight w:val="none"/>
        </w:rPr>
      </w:pPr>
    </w:p>
    <w:p w14:paraId="341AA8D9">
      <w:pPr>
        <w:rPr>
          <w:rFonts w:hint="default" w:ascii="Times New Roman" w:hAnsi="Times New Roman" w:cs="Times New Roman"/>
          <w:highlight w:val="none"/>
        </w:rPr>
        <w:sectPr>
          <w:pgSz w:w="11906" w:h="16838"/>
          <w:pgMar w:top="1803" w:right="1440" w:bottom="1803" w:left="1440" w:header="851" w:footer="992" w:gutter="0"/>
          <w:cols w:space="720" w:num="1"/>
          <w:rtlGutter w:val="0"/>
          <w:docGrid w:type="lines" w:linePitch="322" w:charSpace="0"/>
        </w:sectPr>
      </w:pPr>
    </w:p>
    <w:p w14:paraId="68432C77">
      <w:pPr>
        <w:pStyle w:val="5"/>
        <w:bidi w:val="0"/>
        <w:jc w:val="left"/>
        <w:rPr>
          <w:rFonts w:hint="default" w:ascii="Times New Roman" w:hAnsi="Times New Roman" w:cs="Times New Roman"/>
          <w:highlight w:val="none"/>
          <w:lang w:val="en-US" w:eastAsia="zh-CN"/>
        </w:rPr>
      </w:pPr>
      <w:bookmarkStart w:id="80" w:name="_Toc22934"/>
      <w:r>
        <w:rPr>
          <w:rFonts w:hint="default" w:ascii="Times New Roman" w:hAnsi="Times New Roman" w:cs="Times New Roman"/>
          <w:highlight w:val="none"/>
          <w:lang w:val="en-US" w:eastAsia="zh-CN"/>
        </w:rPr>
        <w:t>附件</w:t>
      </w:r>
      <w:r>
        <w:rPr>
          <w:rFonts w:hint="eastAsia" w:ascii="Times New Roman" w:hAnsi="Times New Roman" w:cs="Times New Roman"/>
          <w:highlight w:val="none"/>
          <w:lang w:val="en-US" w:eastAsia="zh-CN"/>
        </w:rPr>
        <w:t>2</w:t>
      </w:r>
      <w:r>
        <w:rPr>
          <w:rFonts w:hint="default" w:ascii="Times New Roman" w:hAnsi="Times New Roman" w:cs="Times New Roman"/>
          <w:highlight w:val="none"/>
          <w:lang w:val="en-US" w:eastAsia="zh-CN"/>
        </w:rPr>
        <w:t xml:space="preserve"> 生态环境分区管控报告</w:t>
      </w:r>
      <w:bookmarkEnd w:id="80"/>
    </w:p>
    <w:p w14:paraId="343D482E">
      <w:pPr>
        <w:jc w:val="center"/>
        <w:rPr>
          <w:rFonts w:hint="default" w:ascii="Times New Roman" w:hAnsi="Times New Roman" w:cs="Times New Roman"/>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7126605" cy="5038725"/>
            <wp:effectExtent l="0" t="0" r="17145" b="9525"/>
            <wp:docPr id="153" name="图片 153" descr="庆安县格木克河改道_2026年06月10日113537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庆安县格木克河改道_2026年06月10日113537_分析报告_01"/>
                    <pic:cNvPicPr>
                      <a:picLocks noChangeAspect="1"/>
                    </pic:cNvPicPr>
                  </pic:nvPicPr>
                  <pic:blipFill>
                    <a:blip r:embed="rId40"/>
                    <a:stretch>
                      <a:fillRect/>
                    </a:stretch>
                  </pic:blipFill>
                  <pic:spPr>
                    <a:xfrm>
                      <a:off x="0" y="0"/>
                      <a:ext cx="7126605" cy="503872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4" name="图片 154" descr="庆安县格木克河改道_2026年06月10日113537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庆安县格木克河改道_2026年06月10日113537_分析报告_02"/>
                    <pic:cNvPicPr>
                      <a:picLocks noChangeAspect="1"/>
                    </pic:cNvPicPr>
                  </pic:nvPicPr>
                  <pic:blipFill>
                    <a:blip r:embed="rId41"/>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5" name="图片 155" descr="庆安县格木克河改道_2026年06月10日113537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庆安县格木克河改道_2026年06月10日113537_分析报告_03"/>
                    <pic:cNvPicPr>
                      <a:picLocks noChangeAspect="1"/>
                    </pic:cNvPicPr>
                  </pic:nvPicPr>
                  <pic:blipFill>
                    <a:blip r:embed="rId42"/>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6" name="图片 156" descr="庆安县格木克河改道_2026年06月10日113537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庆安县格木克河改道_2026年06月10日113537_分析报告_04"/>
                    <pic:cNvPicPr>
                      <a:picLocks noChangeAspect="1"/>
                    </pic:cNvPicPr>
                  </pic:nvPicPr>
                  <pic:blipFill>
                    <a:blip r:embed="rId43"/>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7" name="图片 157" descr="庆安县格木克河改道_2026年06月10日113537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庆安县格木克河改道_2026年06月10日113537_分析报告_05"/>
                    <pic:cNvPicPr>
                      <a:picLocks noChangeAspect="1"/>
                    </pic:cNvPicPr>
                  </pic:nvPicPr>
                  <pic:blipFill>
                    <a:blip r:embed="rId44"/>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8" name="图片 158" descr="庆安县格木克河改道_2026年06月10日113537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庆安县格木克河改道_2026年06月10日113537_分析报告_06"/>
                    <pic:cNvPicPr>
                      <a:picLocks noChangeAspect="1"/>
                    </pic:cNvPicPr>
                  </pic:nvPicPr>
                  <pic:blipFill>
                    <a:blip r:embed="rId45"/>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59" name="图片 159" descr="庆安县格木克河改道_2026年06月10日113537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庆安县格木克河改道_2026年06月10日113537_分析报告_07"/>
                    <pic:cNvPicPr>
                      <a:picLocks noChangeAspect="1"/>
                    </pic:cNvPicPr>
                  </pic:nvPicPr>
                  <pic:blipFill>
                    <a:blip r:embed="rId46"/>
                    <a:stretch>
                      <a:fillRect/>
                    </a:stretch>
                  </pic:blipFill>
                  <pic:spPr>
                    <a:xfrm>
                      <a:off x="0" y="0"/>
                      <a:ext cx="8097520" cy="5725160"/>
                    </a:xfrm>
                    <a:prstGeom prst="rect">
                      <a:avLst/>
                    </a:prstGeom>
                  </pic:spPr>
                </pic:pic>
              </a:graphicData>
            </a:graphic>
          </wp:inline>
        </w:drawing>
      </w:r>
      <w:r>
        <w:rPr>
          <w:sz w:val="21"/>
        </w:rPr>
        <mc:AlternateContent>
          <mc:Choice Requires="wps">
            <w:drawing>
              <wp:anchor distT="0" distB="0" distL="114300" distR="114300" simplePos="0" relativeHeight="251756544" behindDoc="0" locked="0" layoutInCell="1" allowOverlap="1">
                <wp:simplePos x="0" y="0"/>
                <wp:positionH relativeFrom="column">
                  <wp:posOffset>4485640</wp:posOffset>
                </wp:positionH>
                <wp:positionV relativeFrom="paragraph">
                  <wp:posOffset>1715770</wp:posOffset>
                </wp:positionV>
                <wp:extent cx="895350" cy="295275"/>
                <wp:effectExtent l="105410" t="4445" r="8890" b="481330"/>
                <wp:wrapNone/>
                <wp:docPr id="110" name="矩形标注 110"/>
                <wp:cNvGraphicFramePr/>
                <a:graphic xmlns:a="http://schemas.openxmlformats.org/drawingml/2006/main">
                  <a:graphicData uri="http://schemas.microsoft.com/office/word/2010/wordprocessingShape">
                    <wps:wsp>
                      <wps:cNvSpPr/>
                      <wps:spPr>
                        <a:xfrm>
                          <a:off x="848995" y="2773045"/>
                          <a:ext cx="895350" cy="295275"/>
                        </a:xfrm>
                        <a:prstGeom prst="wedgeRectCallout">
                          <a:avLst>
                            <a:gd name="adj1" fmla="val -61276"/>
                            <a:gd name="adj2" fmla="val 207634"/>
                          </a:avLst>
                        </a:prstGeom>
                        <a:noFill/>
                        <a:ln w="6350">
                          <a:solidFill>
                            <a:schemeClr val="tx1"/>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txbx>
                        <w:txbxContent>
                          <w:p w14:paraId="28BD8C5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3.2pt;margin-top:135.1pt;height:23.25pt;width:70.5pt;z-index:251756544;v-text-anchor:middle;mso-width-relative:page;mso-height-relative:page;" filled="f" stroked="t" coordsize="21600,21600" o:gfxdata="UEsDBAoAAAAAAIdO4kAAAAAAAAAAAAAAAAAEAAAAZHJzL1BLAwQUAAAACACHTuJA7zw7CdgAAAAL&#10;AQAADwAAAGRycy9kb3ducmV2LnhtbE2PwU7DMAyG70i8Q2QkbixpN7VTqTuhSeOChGDAPWtMWtE4&#10;pcm68faEEzva/vT7++vN2Q1ipin0nhGyhQJB3HrTs0V4f9vdrUGEqNnowTMh/FCATXN9VevK+BO/&#10;0ryPVqQQDpVG6GIcKylD25HTYeFH4nT79JPTMY2TlWbSpxTuBpkrVUine04fOj3StqP2a390CLvu&#10;4TnOmVrG7ZN6efzwtmi/LeLtTabuQUQ6x38Y/vSTOjTJ6eCPbIIYEEpVrBKKkJcqB5GI9apMmwPC&#10;MitKkE0tLzs0v1BLAwQUAAAACACHTuJARyOL1wMDAAAZBgAADgAAAGRycy9lMm9Eb2MueG1srVTN&#10;ctMwEL4zwztodE/9E+d36nRC3DDMdGiHwnBWZDk2I0tCUuoUhjOPAcMJzpx5HMprsJKdNmk59EAO&#10;9kq7+Xb32897fLKtObpi2lRSpDg6CjFigsq8EusUv3m97I0xMpaInHApWIqvmcEns6dPjhs1ZbEs&#10;Jc+ZRgAizLRRKS6tVdMgMLRkNTFHUjEBzkLqmlg46nWQa9IAes2DOAyHQSN1rrSkzBi4zVon7hD1&#10;YwBlUVSUZZJuaiZsi6oZJxZaMmWlDJ75aouCUXteFIZZxFMMnVr/hCRgr9wzmB2T6VoTVVa0K4E8&#10;poR7PdWkEpD0FiojlqCNrh5A1RXV0sjCHlFZB20jnhHoIgrvcXNZEsV8L0C1Ubekm/8HS19eXWhU&#10;5aCECDgRpIaR//ny4/evbzdfP9/8/I7cPbDUKDOF4Et1obuTAdO1vC107d7QDNqmeJyMJ5MBRtcp&#10;jkejfpgMWpLZ1iLq/JNBfwCpqAuYDOKR9wd3OEob+5zJGjkjxQ3L1+wVDHJBOJcb62kmV2fGer7z&#10;rmaSv4swKmoO47siHPWGUTwadvPdC4r3g+JwNOwnLgjyd5hg7SpwCYRcVpx7mXCBmhQP2+oJSL8A&#10;yUEjtQL6jFhjRPgavilqtS/SSF7l7t8Ox+j1asE1gtpAd/7X5T0Ic6kzYso2zru6MC4cDLDYde74&#10;9Ar7OAknp+PTcdJL4uFpLwmzrDdfLpLecBmNBlk/Wyyy6JOrKEqmZZXnTLiidmqPksepqVN8q9Nb&#10;vR8Uf9BjshxHz7KHPQaHZXjqoZfd23cXOLW1+nKW3a62nehWMr8GwWoJygARGUWXFVB2Roy9IBpm&#10;D5ew3Ow5PAouYV6yszAqpf7wr3sXDxyAF6MGVgEM8/2GaIYRfyHgW5tESQKw1h+SwSiGg973rPY9&#10;YlMvJMwY1AjVedPFW74zCy3rt7AD5y4ruIigkLuVTXdY2HZFwRalbD73YbAvFLFn4lJRB95qc76x&#10;sqisE7AjqmWnO8DG8KR2282tpP2zj7rb6L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7zw7CdgA&#10;AAALAQAADwAAAAAAAAABACAAAAAiAAAAZHJzL2Rvd25yZXYueG1sUEsBAhQAFAAAAAgAh07iQEcj&#10;i9cDAwAAGQYAAA4AAAAAAAAAAQAgAAAAJwEAAGRycy9lMm9Eb2MueG1sUEsFBgAAAAAGAAYAWQEA&#10;AJwGAAAAAA==&#10;" adj="-2436,55649">
                <v:fill on="f" focussize="0,0"/>
                <v:stroke weight="0.5pt" color="#000000 [3213]" joinstyle="round"/>
                <v:imagedata o:title=""/>
                <o:lock v:ext="edit" aspectratio="f"/>
                <v:textbox>
                  <w:txbxContent>
                    <w:p w14:paraId="28BD8C5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弃渣场</w:t>
                      </w:r>
                    </w:p>
                  </w:txbxContent>
                </v:textbox>
              </v:shape>
            </w:pict>
          </mc:Fallback>
        </mc:AlternateContent>
      </w:r>
      <w:r>
        <w:rPr>
          <w:sz w:val="21"/>
          <w:highlight w:val="none"/>
        </w:rPr>
        <mc:AlternateContent>
          <mc:Choice Requires="wps">
            <w:drawing>
              <wp:anchor distT="0" distB="0" distL="114300" distR="114300" simplePos="0" relativeHeight="251755520" behindDoc="0" locked="0" layoutInCell="1" allowOverlap="1">
                <wp:simplePos x="0" y="0"/>
                <wp:positionH relativeFrom="column">
                  <wp:posOffset>4235450</wp:posOffset>
                </wp:positionH>
                <wp:positionV relativeFrom="paragraph">
                  <wp:posOffset>2370455</wp:posOffset>
                </wp:positionV>
                <wp:extent cx="200025" cy="161925"/>
                <wp:effectExtent l="12700" t="12700" r="15875" b="15875"/>
                <wp:wrapNone/>
                <wp:docPr id="109" name="矩形 109"/>
                <wp:cNvGraphicFramePr/>
                <a:graphic xmlns:a="http://schemas.openxmlformats.org/drawingml/2006/main">
                  <a:graphicData uri="http://schemas.microsoft.com/office/word/2010/wordprocessingShape">
                    <wps:wsp>
                      <wps:cNvSpPr/>
                      <wps:spPr>
                        <a:xfrm>
                          <a:off x="0" y="0"/>
                          <a:ext cx="200025" cy="161925"/>
                        </a:xfrm>
                        <a:prstGeom prst="rect">
                          <a:avLst/>
                        </a:prstGeom>
                        <a:noFill/>
                        <a:ln>
                          <a:solidFill>
                            <a:srgbClr val="FF0000"/>
                          </a:solidFill>
                        </a:ln>
                        <a:extLst>
                          <a:ext uri="{909E8E84-426E-40DD-AFC4-6F175D3DCCD1}">
                            <a14:hiddenFill xmlns:a14="http://schemas.microsoft.com/office/drawing/2010/main">
                              <a:solidFill>
                                <a:srgbClr val="FFC000"/>
                              </a:solidFill>
                            </a14:hiddenFill>
                          </a:ext>
                        </a:ex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5pt;margin-top:186.65pt;height:12.75pt;width:15.75pt;z-index:251755520;v-text-anchor:middle;mso-width-relative:page;mso-height-relative:page;" filled="f" stroked="t" coordsize="21600,21600" o:gfxdata="UEsDBAoAAAAAAIdO4kAAAAAAAAAAAAAAAAAEAAAAZHJzL1BLAwQUAAAACACHTuJACOxLSdoAAAAL&#10;AQAADwAAAGRycy9kb3ducmV2LnhtbE2PsU7DMBCGdyTewTokFkSdEuG6IU4lKtGBAYnC0s2Jr0nU&#10;2I5spylvzzHR8e5+fff95eZiB3bGEHvvFCwXGTB0jTe9axV8f709SmAxaWf04B0q+MEIm+r2ptSF&#10;8bP7xPM+tYwgLhZaQZfSWHAemw6tjgs/oqPb0QerE42h5SbomeB24E9ZJrjVvaMPnR5x22Fz2k9W&#10;Qb07hK18zXdpehCEPrXv+DErdX+3zF6AJbyk/zD86ZM6VORU+8mZyAYFQqyoS1KQr/IcGCXEWj4D&#10;q2mzlhJ4VfLrDtUvUEsDBBQAAAAIAIdO4kCPP0adugIAAJ8FAAAOAAAAZHJzL2Uyb0RvYy54bWyt&#10;VEtu2zAQ3RfoHQjuHUmu7MRG7MCw4qJA0ARIi64ZirIEUCRL0p+06FkKdNdD9DhFr9FHSnE+zSKL&#10;bqQZznBm3szjnJ7tW0m2wrpGqxnNjlJKhOK6bNR6Rj9+WA1OKHGeqZJJrcSM3gpHz+avX53uzFQM&#10;da1lKSxBEOWmOzOjtfdmmiSO16Jl7kgboWCstG2Zh2rXSWnZDtFbmQzTdJzstC2N1Vw4h9OiM9I+&#10;on1JQF1VDReF5ptWKN9FtUIyD0iuboyj81htVQnuL6vKCU/kjAKpj18kgXwTvsn8lE3Xlpm64X0J&#10;7CUlPMHUskYh6SFUwTwjG9v8E6ptuNVOV/6I6zbpgMSOAEWWPunNdc2MiFjQamcOTXf/Lyx/v72y&#10;pCnBhHRCiWItRv7n+8/fv36QcIL+7Iybwu3aXNlecxAD2H1l2/AHDLKPPb099FTsPeE4xMjT4YgS&#10;DlM2ziaQESW5v2ys82+FbkkQZtRiZLGTbHvhfOd65xJyKb1qpMQ5m0pFdkgwylNMkzNwsQIHILYG&#10;eJxaU8LkGiTn3saQTsumDNfDbWfXN0tpyZaBGqsVyoxsQGWP3ELugrm684umHoBUIQxwos5e6kb+&#10;dZJOzk/OT/JBPhyfD/K0KAaL1TIfjFfZ8ah4UyyXRfYtVJTl07opS6FCUXf0y/KXjbenYEecAwEf&#10;Ff8E4/JZjMnjMuJwgOruH9ElgQTd2IN0o8tb0MZqDAy9d4avGvTpgjl/xSweEA6xYvwlPpXUmJLu&#10;JUpqbb88dx78ARxWSnZ4kJjg5w2zghL5ToHxkyzPEdZHJR8dD6HYh5abhxa1aZcag81idVEM/l7e&#10;iZXV7SdsokXIChNTHLk7rvTK0neLAruMi8UiuuHVGuYv1LXhIXiYu9KLjddVE8l63x30Lyh4t7GT&#10;/Y4Ji+GhHr3u9+r8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AjsS0naAAAACwEAAA8AAAAAAAAA&#10;AQAgAAAAIgAAAGRycy9kb3ducmV2LnhtbFBLAQIUABQAAAAIAIdO4kCPP0adugIAAJ8FAAAOAAAA&#10;AAAAAAEAIAAAACkBAABkcnMvZTJvRG9jLnhtbFBLBQYAAAAABgAGAFkBAABVBgAAAAA=&#10;">
                <v:fill on="f" focussize="0,0"/>
                <v:stroke weight="2pt" color="#FF0000 [2404]" joinstyle="round"/>
                <v:imagedata o:title=""/>
                <o:lock v:ext="edit" aspectratio="f"/>
              </v:rect>
            </w:pict>
          </mc:Fallback>
        </mc:AlternateContent>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0" name="图片 160" descr="庆安县格木克河改道_2026年06月10日113537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庆安县格木克河改道_2026年06月10日113537_分析报告_08"/>
                    <pic:cNvPicPr>
                      <a:picLocks noChangeAspect="1"/>
                    </pic:cNvPicPr>
                  </pic:nvPicPr>
                  <pic:blipFill>
                    <a:blip r:embed="rId47"/>
                    <a:stretch>
                      <a:fillRect/>
                    </a:stretch>
                  </pic:blipFill>
                  <pic:spPr>
                    <a:xfrm>
                      <a:off x="0" y="0"/>
                      <a:ext cx="8097520" cy="5725160"/>
                    </a:xfrm>
                    <a:prstGeom prst="rect">
                      <a:avLst/>
                    </a:prstGeom>
                  </pic:spPr>
                </pic:pic>
              </a:graphicData>
            </a:graphic>
          </wp:inline>
        </w:drawing>
      </w:r>
      <w:r>
        <w:rPr>
          <w:sz w:val="21"/>
        </w:rPr>
        <mc:AlternateContent>
          <mc:Choice Requires="wps">
            <w:drawing>
              <wp:anchor distT="0" distB="0" distL="114300" distR="114300" simplePos="0" relativeHeight="251758592" behindDoc="0" locked="0" layoutInCell="1" allowOverlap="1">
                <wp:simplePos x="0" y="0"/>
                <wp:positionH relativeFrom="column">
                  <wp:posOffset>4523740</wp:posOffset>
                </wp:positionH>
                <wp:positionV relativeFrom="paragraph">
                  <wp:posOffset>1521460</wp:posOffset>
                </wp:positionV>
                <wp:extent cx="895350" cy="295275"/>
                <wp:effectExtent l="105410" t="4445" r="8890" b="481330"/>
                <wp:wrapNone/>
                <wp:docPr id="111" name="矩形标注 111"/>
                <wp:cNvGraphicFramePr/>
                <a:graphic xmlns:a="http://schemas.openxmlformats.org/drawingml/2006/main">
                  <a:graphicData uri="http://schemas.microsoft.com/office/word/2010/wordprocessingShape">
                    <wps:wsp>
                      <wps:cNvSpPr/>
                      <wps:spPr>
                        <a:xfrm>
                          <a:off x="0" y="0"/>
                          <a:ext cx="895350" cy="295275"/>
                        </a:xfrm>
                        <a:prstGeom prst="wedgeRectCallout">
                          <a:avLst>
                            <a:gd name="adj1" fmla="val -61276"/>
                            <a:gd name="adj2" fmla="val 207634"/>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B2C622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6.2pt;margin-top:119.8pt;height:23.25pt;width:70.5pt;z-index:251758592;v-text-anchor:middle;mso-width-relative:page;mso-height-relative:page;" filled="f" stroked="t" coordsize="21600,21600" o:gfxdata="UEsDBAoAAAAAAIdO4kAAAAAAAAAAAAAAAAAEAAAAZHJzL1BLAwQUAAAACACHTuJAKuYipNgAAAAL&#10;AQAADwAAAGRycy9kb3ducmV2LnhtbE2PwU7DMAyG70i8Q2QkbixJC6WUphOaNC5IaIztnjUhrWic&#10;0mTdeHvMCY7+/en353p59gOb7RT7gArkQgCz2AbTo1Owe1/flMBi0mj0ENAq+LYRls3lRa0rE074&#10;ZudtcoxKMFZaQZfSWHEe2856HRdhtEi7jzB5nWicHDeTPlG5H3gmRMG97pEudHq0q862n9ujV7Du&#10;nl7TLEWeVi9i87wPrmi/nFLXV1I8Akv2nP5g+NUndWjI6RCOaCIbFNzL7JZQBVn+UAAjorzLKTlQ&#10;UhYSeFPz/z80P1BLAwQUAAAACACHTuJAHoczwpoCAAAmBQAADgAAAGRycy9lMm9Eb2MueG1srVTN&#10;bhMxEL4j8Q6W7+0m2/y0UTdVlKgIqaIVBXF2vPaukf+wnWzKC/AYIE5w5szjUF6DsddtQ+HAgRyc&#10;Gc/sNzPfzPj0bKck2jLnhdEVHh4OMGKamlropsKvX50fHGPkA9E1kUazCt8wj8/mT5+cdnbGStMa&#10;WTOHAET7WWcr3IZgZ0XhacsU8YfGMg1GbpwiAVTXFLUjHaArWZSDwaTojKutM5R5D7er3ogzovsX&#10;QMO5oGxl6EYxHXpUxyQJUJJvhfV4nrLlnNFwyblnAckKQ6UhnRAE5HU8i/kpmTWO2FbQnAL5lxQe&#10;1aSI0BD0HmpFAkEbJ/6AUoI64w0Ph9Sooi8kMQJVDAePuLluiWWpFqDa23vS/f+DpS+2Vw6JGiZh&#10;OMRIEwUt//nx64/vn28/fbj99gXFe2Cps34Gztf2ymXNgxhL3nGn4j8Ug3aJ2Zt7ZtkuIAqXxyfj&#10;ozFwTsFUnozL6ThiFg8fW+fDM2YUikKFO1Y37CV0b0mkNJuQuCXbCx8SyXVOlNRvIWmuJPRsSyQ6&#10;mAzL6SQ3dc+p3HcqB9PJ0SjHz5iQyV0GMYA250LKNBtSo67Ckz57AvPOYc6gEGWBM68bjIhsYJFo&#10;cClJb6So49cRx7tmvZQOQW5ASfrluL+5xdAr4tveL5mym9TAUqS+JztKYbfe5Q6sTX0D3XOmH2tv&#10;6bkAqAviwxVxwAkwDpseLuHg0kAdJksYtca9/9t99IfxAitGHewFFPluQxzDSD7XMHgnw9EoLlJS&#10;RuNpCYrbt6z3LXqjlgZqhy5BdkmM/kHeidwZ9QYehEWMCiaiKcTu6czKMvT7Ck8KZYtFcoPlsSRc&#10;6GtLI3jfs8UmGC5CHKxIVM9OVmB90rzlVY/7ua8nr4fnbf4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KuYipNgAAAALAQAADwAAAAAAAAABACAAAAAiAAAAZHJzL2Rvd25yZXYueG1sUEsBAhQAFAAA&#10;AAgAh07iQB6HM8KaAgAAJgUAAA4AAAAAAAAAAQAgAAAAJwEAAGRycy9lMm9Eb2MueG1sUEsFBgAA&#10;AAAGAAYAWQEAADMGAAAAAA==&#10;" adj="-2436,55649">
                <v:fill on="f" focussize="0,0"/>
                <v:stroke weight="0.5pt" color="#000000 [3213]" joinstyle="round"/>
                <v:imagedata o:title=""/>
                <o:lock v:ext="edit" aspectratio="f"/>
                <v:textbox>
                  <w:txbxContent>
                    <w:p w14:paraId="5B2C622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弃渣场</w:t>
                      </w:r>
                    </w:p>
                  </w:txbxContent>
                </v:textbox>
              </v:shape>
            </w:pict>
          </mc:Fallback>
        </mc:AlternateContent>
      </w:r>
      <w:r>
        <w:rPr>
          <w:sz w:val="21"/>
          <w:highlight w:val="none"/>
        </w:rPr>
        <mc:AlternateContent>
          <mc:Choice Requires="wps">
            <w:drawing>
              <wp:anchor distT="0" distB="0" distL="114300" distR="114300" simplePos="0" relativeHeight="251757568" behindDoc="0" locked="0" layoutInCell="1" allowOverlap="1">
                <wp:simplePos x="0" y="0"/>
                <wp:positionH relativeFrom="column">
                  <wp:posOffset>4264025</wp:posOffset>
                </wp:positionH>
                <wp:positionV relativeFrom="paragraph">
                  <wp:posOffset>2214245</wp:posOffset>
                </wp:positionV>
                <wp:extent cx="200025" cy="161925"/>
                <wp:effectExtent l="12700" t="12700" r="15875" b="15875"/>
                <wp:wrapNone/>
                <wp:docPr id="112" name="矩形 112"/>
                <wp:cNvGraphicFramePr/>
                <a:graphic xmlns:a="http://schemas.openxmlformats.org/drawingml/2006/main">
                  <a:graphicData uri="http://schemas.microsoft.com/office/word/2010/wordprocessingShape">
                    <wps:wsp>
                      <wps:cNvSpPr/>
                      <wps:spPr>
                        <a:xfrm>
                          <a:off x="0" y="0"/>
                          <a:ext cx="200025" cy="16192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75pt;margin-top:174.35pt;height:12.75pt;width:15.75pt;z-index:251757568;v-text-anchor:middle;mso-width-relative:page;mso-height-relative:page;" filled="f" stroked="t" coordsize="21600,21600" o:gfxdata="UEsDBAoAAAAAAIdO4kAAAAAAAAAAAAAAAAAEAAAAZHJzL1BLAwQUAAAACACHTuJAsObpv9oAAAAL&#10;AQAADwAAAGRycy9kb3ducmV2LnhtbE2PsU7DMBCGdyTewTokFkTtNCWJQpxKVKIDAxKFhc2JjyRq&#10;bEe205S35zqV8e5+fff91fZsRnZCHwZnJSQrAQxt6/RgOwlfn6+PBbAQldVqdBYl/GKAbX17U6lS&#10;u8V+4OkQO0YQG0oloY9xKjkPbY9GhZWb0NLtx3mjIo2+49qrheBm5GshMm7UYOlDrybc9dgeD7OR&#10;0Oy//a54SfdxfsgIfeze8H2R8v4uEc/AIp7jNQwXfVKHmpwaN1sd2Cghy5MnikpIN0UOjBK5SKld&#10;Q5t8swZeV/x/h/oPUEsDBBQAAAAIAIdO4kB493gnXgIAALcEAAAOAAAAZHJzL2Uyb0RvYy54bWyt&#10;VM1uEzEQviPxDpbvdLNRWmjUpIoaBSFVtFJBnB2vnbXkP2wnm/IySNx4CB4H8Rp89m6bUDj0wGUz&#10;9oxn5vvmm1xc7o0mOxGicnZG65MRJcJy1yi7mdGPH1av3lASE7MN086KGb0XkV7OX7646PxUjF3r&#10;dCMCQRIbp52f0TYlP62qyFthWDxxXlg4pQuGJRzDpmoC65Dd6Go8Gp1VnQuND46LGHG77J10yBie&#10;k9BJqbhYOr41wqY+axCaJUCKrfKRzku3UgqebqSMIhE9o0CayhdFYK/zt5pfsOkmMN8qPrTAntPC&#10;E0yGKYuij6mWLDGyDeqvVEbx4KKT6YQ7U/VACiNAUY+ecHPXMi8KFlAd/SPp8f+l5e93t4GoBkqo&#10;x5RYZjDyX1+///zxjeQb8NP5OEXYnb8NwynCzGD3Mpj8CxhkXzi9f+RU7BPhuMTIR+NTSjhc9Vl9&#10;DhtZqsNjH2J6K5wh2ZjRgJEVJtnuOqY+9CEk17JupbTGPZtqSzoUOJ2MME3OoEUJDcA0Hnii3VDC&#10;9AYi5ymUlNFp1eTn+XUMm/WVDmTHII3VCm0WNaCzP8Jy7SWLbR9XXAMAbYEjk9PTka21a+5BZ3C9&#10;zqLnK4X31yymWxYgLDSK1Us3+Ejt0L0bLEpaF7786z7HY97wUtJBqED2ecuCoES/s1DCeT2ZZGWX&#10;w+T09RiHcOxZH3vs1lw5AK6x5J4XM8cn/WDK4MwnbOgiV4WLWY7aPYfD4Sr1C4Qd52KxKGFQs2fp&#10;2t55npP3k1psk5OqDPHAzkAa9FxkMOxeXpjjc4k6/N/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w5um/2gAAAAsBAAAPAAAAAAAAAAEAIAAAACIAAABkcnMvZG93bnJldi54bWxQSwECFAAUAAAA&#10;CACHTuJAePd4J14CAAC3BAAADgAAAAAAAAABACAAAAApAQAAZHJzL2Uyb0RvYy54bWxQSwUGAAAA&#10;AAYABgBZAQAA+QUAAAAA&#10;">
                <v:fill on="f" focussize="0,0"/>
                <v:stroke weight="2pt" color="#FF0000 [2404]" joinstyle="round"/>
                <v:imagedata o:title=""/>
                <o:lock v:ext="edit" aspectratio="f"/>
              </v:rect>
            </w:pict>
          </mc:Fallback>
        </mc:AlternateContent>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1" name="图片 161" descr="庆安县格木克河改道_2026年06月10日113537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庆安县格木克河改道_2026年06月10日113537_分析报告_09"/>
                    <pic:cNvPicPr>
                      <a:picLocks noChangeAspect="1"/>
                    </pic:cNvPicPr>
                  </pic:nvPicPr>
                  <pic:blipFill>
                    <a:blip r:embed="rId48"/>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2" name="图片 162" descr="庆安县格木克河改道_2026年06月10日113537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庆安县格木克河改道_2026年06月10日113537_分析报告_10"/>
                    <pic:cNvPicPr>
                      <a:picLocks noChangeAspect="1"/>
                    </pic:cNvPicPr>
                  </pic:nvPicPr>
                  <pic:blipFill>
                    <a:blip r:embed="rId49"/>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3" name="图片 163" descr="庆安县格木克河改道_2026年06月10日113537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庆安县格木克河改道_2026年06月10日113537_分析报告_11"/>
                    <pic:cNvPicPr>
                      <a:picLocks noChangeAspect="1"/>
                    </pic:cNvPicPr>
                  </pic:nvPicPr>
                  <pic:blipFill>
                    <a:blip r:embed="rId50"/>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4" name="图片 164" descr="庆安县格木克河改道_2026年06月10日113537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庆安县格木克河改道_2026年06月10日113537_分析报告_12"/>
                    <pic:cNvPicPr>
                      <a:picLocks noChangeAspect="1"/>
                    </pic:cNvPicPr>
                  </pic:nvPicPr>
                  <pic:blipFill>
                    <a:blip r:embed="rId51"/>
                    <a:stretch>
                      <a:fillRect/>
                    </a:stretch>
                  </pic:blipFill>
                  <pic:spPr>
                    <a:xfrm>
                      <a:off x="0" y="0"/>
                      <a:ext cx="8097520" cy="57251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8097520" cy="5725160"/>
            <wp:effectExtent l="0" t="0" r="17780" b="8890"/>
            <wp:docPr id="165" name="图片 165" descr="庆安县格木克河改道_2026年06月10日113537_分析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庆安县格木克河改道_2026年06月10日113537_分析报告_13"/>
                    <pic:cNvPicPr>
                      <a:picLocks noChangeAspect="1"/>
                    </pic:cNvPicPr>
                  </pic:nvPicPr>
                  <pic:blipFill>
                    <a:blip r:embed="rId52"/>
                    <a:stretch>
                      <a:fillRect/>
                    </a:stretch>
                  </pic:blipFill>
                  <pic:spPr>
                    <a:xfrm>
                      <a:off x="0" y="0"/>
                      <a:ext cx="8097520" cy="5725160"/>
                    </a:xfrm>
                    <a:prstGeom prst="rect">
                      <a:avLst/>
                    </a:prstGeom>
                  </pic:spPr>
                </pic:pic>
              </a:graphicData>
            </a:graphic>
          </wp:inline>
        </w:drawing>
      </w:r>
    </w:p>
    <w:sectPr>
      <w:pgSz w:w="16838" w:h="11906" w:orient="landscape"/>
      <w:pgMar w:top="1440" w:right="1803" w:bottom="1440" w:left="1803" w:header="851" w:footer="992" w:gutter="0"/>
      <w:cols w:space="0" w:num="1"/>
      <w:rtlGutter w:val="0"/>
      <w:docGrid w:type="lines" w:linePitch="32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modern"/>
    <w:pitch w:val="default"/>
    <w:sig w:usb0="A00002BF" w:usb1="38CF7CFA" w:usb2="00000016" w:usb3="00000000" w:csb0="0004000F" w:csb1="00000000"/>
  </w:font>
  <w:font w:name="永中宋体">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59A87">
    <w:pPr>
      <w:pStyle w:val="17"/>
      <w:framePr w:wrap="around" w:vAnchor="text" w:hAnchor="margin" w:xAlign="outside" w:y="1"/>
      <w:rPr>
        <w:rStyle w:val="30"/>
      </w:rPr>
    </w:pPr>
    <w:r>
      <w:fldChar w:fldCharType="begin"/>
    </w:r>
    <w:r>
      <w:rPr>
        <w:rStyle w:val="30"/>
      </w:rPr>
      <w:instrText xml:space="preserve">PAGE  </w:instrText>
    </w:r>
    <w:r>
      <w:fldChar w:fldCharType="end"/>
    </w:r>
  </w:p>
  <w:p w14:paraId="695C6E3E">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E3250">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0F3CC">
    <w:pPr>
      <w:pStyle w:val="17"/>
      <w:ind w:firstLine="360"/>
      <w:jc w:val="center"/>
    </w:pPr>
    <w:r>
      <w:fldChar w:fldCharType="begin"/>
    </w:r>
    <w:r>
      <w:instrText xml:space="preserve"> PAGE   \* MERGEFORMAT </w:instrText>
    </w:r>
    <w:r>
      <w:fldChar w:fldCharType="separate"/>
    </w:r>
    <w:r>
      <w:rPr>
        <w:lang w:val="zh-CN"/>
      </w:rPr>
      <w:t>122</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DB56A">
    <w:pPr>
      <w:pStyle w:val="1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8467865"/>
    <w:multiLevelType w:val="multilevel"/>
    <w:tmpl w:val="48467865"/>
    <w:lvl w:ilvl="0" w:tentative="0">
      <w:start w:val="1"/>
      <w:numFmt w:val="decimal"/>
      <w:suff w:val="space"/>
      <w:lvlText w:val="%1"/>
      <w:lvlJc w:val="left"/>
      <w:pPr>
        <w:ind w:left="0" w:firstLine="0"/>
      </w:pPr>
      <w:rPr>
        <w:rFonts w:hint="default" w:ascii="Times New Roman" w:hAnsi="Times New Roman" w:eastAsia="黑体"/>
        <w:b w:val="0"/>
        <w:i w:val="0"/>
        <w:sz w:val="32"/>
      </w:rPr>
    </w:lvl>
    <w:lvl w:ilvl="1" w:tentative="0">
      <w:start w:val="1"/>
      <w:numFmt w:val="decimal"/>
      <w:suff w:val="space"/>
      <w:lvlText w:val="%1.%2"/>
      <w:lvlJc w:val="left"/>
      <w:pPr>
        <w:ind w:left="0" w:firstLine="0"/>
      </w:pPr>
      <w:rPr>
        <w:rFonts w:hint="default" w:ascii="Times New Roman" w:hAnsi="Times New Roman" w:eastAsia="黑体"/>
        <w:b w:val="0"/>
        <w:i w:val="0"/>
        <w:sz w:val="30"/>
      </w:rPr>
    </w:lvl>
    <w:lvl w:ilvl="2" w:tentative="0">
      <w:start w:val="1"/>
      <w:numFmt w:val="decimal"/>
      <w:suff w:val="space"/>
      <w:lvlText w:val="%1.%2.%3"/>
      <w:lvlJc w:val="left"/>
      <w:pPr>
        <w:ind w:left="0" w:firstLine="0"/>
      </w:pPr>
      <w:rPr>
        <w:rFonts w:hint="default" w:ascii="Times New Roman" w:hAnsi="Times New Roman" w:eastAsia="黑体"/>
        <w:b w:val="0"/>
        <w:i w:val="0"/>
        <w:sz w:val="28"/>
      </w:rPr>
    </w:lvl>
    <w:lvl w:ilvl="3" w:tentative="0">
      <w:start w:val="1"/>
      <w:numFmt w:val="decimal"/>
      <w:suff w:val="space"/>
      <w:lvlText w:val="%1.%2.%3.%4"/>
      <w:lvlJc w:val="left"/>
      <w:pPr>
        <w:ind w:left="0" w:firstLine="0"/>
      </w:pPr>
      <w:rPr>
        <w:rFonts w:hint="eastAsia" w:ascii="黑体" w:hAnsi="黑体" w:eastAsia="黑体"/>
        <w:b w:val="0"/>
        <w:i w:val="0"/>
        <w:sz w:val="24"/>
      </w:rPr>
    </w:lvl>
    <w:lvl w:ilvl="4" w:tentative="0">
      <w:start w:val="1"/>
      <w:numFmt w:val="decimal"/>
      <w:lvlRestart w:val="2"/>
      <w:suff w:val="space"/>
      <w:lvlText w:val="表%1.%2-%5"/>
      <w:lvlJc w:val="left"/>
      <w:pPr>
        <w:ind w:left="0" w:firstLine="0"/>
      </w:pPr>
      <w:rPr>
        <w:rFonts w:hint="default" w:ascii="Times New Roman" w:hAnsi="Times New Roman" w:eastAsia="黑体"/>
        <w:b w:val="0"/>
        <w:i w:val="0"/>
        <w:sz w:val="24"/>
      </w:rPr>
    </w:lvl>
    <w:lvl w:ilvl="5" w:tentative="0">
      <w:start w:val="1"/>
      <w:numFmt w:val="decimal"/>
      <w:lvlRestart w:val="2"/>
      <w:suff w:val="space"/>
      <w:lvlText w:val="图%1.%2-%6"/>
      <w:lvlJc w:val="left"/>
      <w:pPr>
        <w:ind w:left="0" w:firstLine="0"/>
      </w:pPr>
      <w:rPr>
        <w:rFonts w:hint="eastAsia" w:ascii="黑体" w:hAnsi="黑体" w:eastAsia="黑体"/>
        <w:b w:val="0"/>
        <w:i w:val="0"/>
        <w:sz w:val="24"/>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lvlOverride w:ilvl="0">
      <w:lvl w:ilvl="0" w:tentative="1">
        <w:start w:val="1"/>
        <w:numFmt w:val="decimal"/>
        <w:suff w:val="space"/>
        <w:lvlText w:val="%1"/>
        <w:lvlJc w:val="left"/>
        <w:pPr>
          <w:ind w:left="0" w:firstLine="0"/>
        </w:pPr>
        <w:rPr>
          <w:rFonts w:hint="default" w:ascii="Times New Roman" w:hAnsi="Times New Roman" w:eastAsia="黑体"/>
          <w:b w:val="0"/>
          <w:i w:val="0"/>
          <w:sz w:val="32"/>
        </w:rPr>
      </w:lvl>
    </w:lvlOverride>
    <w:lvlOverride w:ilvl="1">
      <w:lvl w:ilvl="1" w:tentative="1">
        <w:start w:val="1"/>
        <w:numFmt w:val="decimal"/>
        <w:pStyle w:val="121"/>
        <w:suff w:val="space"/>
        <w:lvlText w:val="%1.%2"/>
        <w:lvlJc w:val="left"/>
        <w:pPr>
          <w:ind w:left="142" w:firstLine="0"/>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Override>
    <w:lvlOverride w:ilvl="2">
      <w:lvl w:ilvl="2" w:tentative="1">
        <w:start w:val="1"/>
        <w:numFmt w:val="decimal"/>
        <w:pStyle w:val="123"/>
        <w:suff w:val="space"/>
        <w:lvlText w:val="%1.%2.%3"/>
        <w:lvlJc w:val="left"/>
        <w:pPr>
          <w:ind w:left="426" w:firstLine="0"/>
        </w:pPr>
      </w:lvl>
    </w:lvlOverride>
    <w:lvlOverride w:ilvl="3">
      <w:lvl w:ilvl="3" w:tentative="1">
        <w:start w:val="1"/>
        <w:numFmt w:val="decimal"/>
        <w:suff w:val="space"/>
        <w:lvlText w:val="%1.%2.%3.%4"/>
        <w:lvlJc w:val="left"/>
        <w:pPr>
          <w:ind w:left="0" w:firstLine="0"/>
        </w:pPr>
        <w:rPr>
          <w:rFonts w:hint="default" w:ascii="Times New Roman" w:hAnsi="Times New Roman" w:eastAsia="黑体" w:cs="Times New Roman"/>
          <w:b w:val="0"/>
          <w:bCs w:val="0"/>
          <w:i w:val="0"/>
          <w:iCs w:val="0"/>
          <w:caps w:val="0"/>
          <w:smallCaps w:val="0"/>
          <w:strike w:val="0"/>
          <w:dstrike w:val="0"/>
          <w:outline w:val="0"/>
          <w:shadow w:val="0"/>
          <w:emboss w:val="0"/>
          <w:imprint w:val="0"/>
          <w:vanish w:val="0"/>
          <w:spacing w:val="0"/>
          <w:position w:val="0"/>
          <w:u w:val="none"/>
          <w:vertAlign w:val="baseline"/>
        </w:rPr>
      </w:lvl>
    </w:lvlOverride>
    <w:lvlOverride w:ilvl="4">
      <w:lvl w:ilvl="4" w:tentative="1">
        <w:start w:val="1"/>
        <w:numFmt w:val="decimal"/>
        <w:lvlRestart w:val="2"/>
        <w:suff w:val="space"/>
        <w:lvlText w:val="表%1.%2-%5"/>
        <w:lvlJc w:val="left"/>
        <w:pPr>
          <w:ind w:left="709" w:firstLine="0"/>
        </w:pPr>
      </w:lvl>
    </w:lvlOverride>
    <w:lvlOverride w:ilvl="5">
      <w:lvl w:ilvl="5" w:tentative="1">
        <w:start w:val="1"/>
        <w:numFmt w:val="decimal"/>
        <w:lvlRestart w:val="2"/>
        <w:suff w:val="space"/>
        <w:lvlText w:val="图%1.%2-%6"/>
        <w:lvlJc w:val="left"/>
        <w:pPr>
          <w:ind w:left="0" w:firstLine="0"/>
        </w:pPr>
        <w:rPr>
          <w:rFonts w:hint="eastAsia" w:ascii="黑体" w:hAnsi="黑体" w:eastAsia="黑体"/>
          <w:b w:val="0"/>
          <w:i w:val="0"/>
          <w:sz w:val="24"/>
        </w:rPr>
      </w:lvl>
    </w:lvlOverride>
    <w:lvlOverride w:ilvl="6">
      <w:lvl w:ilvl="6" w:tentative="1">
        <w:start w:val="1"/>
        <w:numFmt w:val="decimal"/>
        <w:lvlText w:val="%1.%2.%3.%4.%5.%6.%7"/>
        <w:lvlJc w:val="left"/>
        <w:pPr>
          <w:ind w:left="3827" w:hanging="1276"/>
        </w:pPr>
        <w:rPr>
          <w:rFonts w:hint="eastAsia"/>
        </w:rPr>
      </w:lvl>
    </w:lvlOverride>
    <w:lvlOverride w:ilvl="7">
      <w:lvl w:ilvl="7" w:tentative="1">
        <w:start w:val="1"/>
        <w:numFmt w:val="decimal"/>
        <w:lvlText w:val="%1.%2.%3.%4.%5.%6.%7.%8"/>
        <w:lvlJc w:val="left"/>
        <w:pPr>
          <w:ind w:left="4394" w:hanging="1418"/>
        </w:pPr>
        <w:rPr>
          <w:rFonts w:hint="eastAsia"/>
        </w:rPr>
      </w:lvl>
    </w:lvlOverride>
    <w:lvlOverride w:ilvl="8">
      <w:lvl w:ilvl="8" w:tentative="1">
        <w:start w:val="1"/>
        <w:numFmt w:val="decimal"/>
        <w:lvlText w:val="%1.%2.%3.%4.%5.%6.%7.%8.%9"/>
        <w:lvlJc w:val="left"/>
        <w:pPr>
          <w:ind w:left="5102" w:hanging="1700"/>
        </w:pPr>
        <w:rPr>
          <w:rFonts w:hint="eastAsia"/>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210"/>
  <w:drawingGridVerticalSpacing w:val="161"/>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E5MjkzYjI4MGI2NTA3NjRjZmQzZGJhZjJjYmE3YmIifQ=="/>
    <w:docVar w:name="KSO_WPS_MARK_KEY" w:val="f61f2b69-a209-4062-8835-53803fe82da1"/>
  </w:docVars>
  <w:rsids>
    <w:rsidRoot w:val="00172A27"/>
    <w:rsid w:val="00000220"/>
    <w:rsid w:val="000019B2"/>
    <w:rsid w:val="00001CE0"/>
    <w:rsid w:val="00001CED"/>
    <w:rsid w:val="00001E67"/>
    <w:rsid w:val="0000214C"/>
    <w:rsid w:val="0000235C"/>
    <w:rsid w:val="00003CD8"/>
    <w:rsid w:val="00004525"/>
    <w:rsid w:val="000059A4"/>
    <w:rsid w:val="00005E14"/>
    <w:rsid w:val="000070B9"/>
    <w:rsid w:val="00011A9B"/>
    <w:rsid w:val="000129C3"/>
    <w:rsid w:val="000138E9"/>
    <w:rsid w:val="000146FB"/>
    <w:rsid w:val="00014965"/>
    <w:rsid w:val="0001523A"/>
    <w:rsid w:val="00015DB8"/>
    <w:rsid w:val="00015F03"/>
    <w:rsid w:val="00016A50"/>
    <w:rsid w:val="00016ECB"/>
    <w:rsid w:val="000173CE"/>
    <w:rsid w:val="00023434"/>
    <w:rsid w:val="000234AF"/>
    <w:rsid w:val="000235BA"/>
    <w:rsid w:val="00026166"/>
    <w:rsid w:val="000269F6"/>
    <w:rsid w:val="0003014C"/>
    <w:rsid w:val="00030956"/>
    <w:rsid w:val="00031939"/>
    <w:rsid w:val="00032D25"/>
    <w:rsid w:val="00032F8F"/>
    <w:rsid w:val="00034C64"/>
    <w:rsid w:val="00034D60"/>
    <w:rsid w:val="00036197"/>
    <w:rsid w:val="000375B1"/>
    <w:rsid w:val="00042106"/>
    <w:rsid w:val="00043144"/>
    <w:rsid w:val="00045BC3"/>
    <w:rsid w:val="00046B58"/>
    <w:rsid w:val="0005025C"/>
    <w:rsid w:val="0005219D"/>
    <w:rsid w:val="000526F1"/>
    <w:rsid w:val="00053C10"/>
    <w:rsid w:val="00054BEF"/>
    <w:rsid w:val="0005568F"/>
    <w:rsid w:val="0006153D"/>
    <w:rsid w:val="00061923"/>
    <w:rsid w:val="00061B1F"/>
    <w:rsid w:val="0006328C"/>
    <w:rsid w:val="00065D1D"/>
    <w:rsid w:val="000664DB"/>
    <w:rsid w:val="00066EA9"/>
    <w:rsid w:val="00067303"/>
    <w:rsid w:val="0006762B"/>
    <w:rsid w:val="0007127D"/>
    <w:rsid w:val="000713BB"/>
    <w:rsid w:val="00071AE5"/>
    <w:rsid w:val="00074783"/>
    <w:rsid w:val="000750F3"/>
    <w:rsid w:val="0007605D"/>
    <w:rsid w:val="0007618E"/>
    <w:rsid w:val="00077A2F"/>
    <w:rsid w:val="000801E0"/>
    <w:rsid w:val="00082A29"/>
    <w:rsid w:val="00082A52"/>
    <w:rsid w:val="0008331D"/>
    <w:rsid w:val="00083C18"/>
    <w:rsid w:val="0008490C"/>
    <w:rsid w:val="00084A03"/>
    <w:rsid w:val="00085C85"/>
    <w:rsid w:val="000871C0"/>
    <w:rsid w:val="0008792B"/>
    <w:rsid w:val="000905F6"/>
    <w:rsid w:val="000913CF"/>
    <w:rsid w:val="00091901"/>
    <w:rsid w:val="000924F7"/>
    <w:rsid w:val="00092899"/>
    <w:rsid w:val="00093020"/>
    <w:rsid w:val="00097541"/>
    <w:rsid w:val="000A08BB"/>
    <w:rsid w:val="000A0F22"/>
    <w:rsid w:val="000A178E"/>
    <w:rsid w:val="000A1F97"/>
    <w:rsid w:val="000A3F41"/>
    <w:rsid w:val="000A557E"/>
    <w:rsid w:val="000A56B7"/>
    <w:rsid w:val="000A6300"/>
    <w:rsid w:val="000A7069"/>
    <w:rsid w:val="000A7986"/>
    <w:rsid w:val="000A7AA3"/>
    <w:rsid w:val="000A7F09"/>
    <w:rsid w:val="000B058F"/>
    <w:rsid w:val="000B1C04"/>
    <w:rsid w:val="000B21B6"/>
    <w:rsid w:val="000B437B"/>
    <w:rsid w:val="000B5EDD"/>
    <w:rsid w:val="000B632F"/>
    <w:rsid w:val="000B693F"/>
    <w:rsid w:val="000C09AC"/>
    <w:rsid w:val="000C0A63"/>
    <w:rsid w:val="000C14D9"/>
    <w:rsid w:val="000C1880"/>
    <w:rsid w:val="000C1AE9"/>
    <w:rsid w:val="000C1DD8"/>
    <w:rsid w:val="000C1EA5"/>
    <w:rsid w:val="000C2204"/>
    <w:rsid w:val="000C437E"/>
    <w:rsid w:val="000C654B"/>
    <w:rsid w:val="000C6AE4"/>
    <w:rsid w:val="000D278A"/>
    <w:rsid w:val="000D2974"/>
    <w:rsid w:val="000D38BB"/>
    <w:rsid w:val="000D51C8"/>
    <w:rsid w:val="000D6BD8"/>
    <w:rsid w:val="000D7BF8"/>
    <w:rsid w:val="000E0106"/>
    <w:rsid w:val="000E021E"/>
    <w:rsid w:val="000E3E96"/>
    <w:rsid w:val="000E4FB1"/>
    <w:rsid w:val="000E5470"/>
    <w:rsid w:val="000E5F16"/>
    <w:rsid w:val="000E6A99"/>
    <w:rsid w:val="000F1C80"/>
    <w:rsid w:val="000F4452"/>
    <w:rsid w:val="000F5645"/>
    <w:rsid w:val="000F5C72"/>
    <w:rsid w:val="000F5CA5"/>
    <w:rsid w:val="000F6DA1"/>
    <w:rsid w:val="000F701B"/>
    <w:rsid w:val="00103BB1"/>
    <w:rsid w:val="001056A0"/>
    <w:rsid w:val="00106AB4"/>
    <w:rsid w:val="0010716A"/>
    <w:rsid w:val="001072FE"/>
    <w:rsid w:val="0011028C"/>
    <w:rsid w:val="001124D1"/>
    <w:rsid w:val="001148F9"/>
    <w:rsid w:val="0011512D"/>
    <w:rsid w:val="00115279"/>
    <w:rsid w:val="00116CA0"/>
    <w:rsid w:val="00117459"/>
    <w:rsid w:val="0011749A"/>
    <w:rsid w:val="0012020B"/>
    <w:rsid w:val="00122108"/>
    <w:rsid w:val="001231E3"/>
    <w:rsid w:val="001235AE"/>
    <w:rsid w:val="001243E5"/>
    <w:rsid w:val="00125210"/>
    <w:rsid w:val="00126F4C"/>
    <w:rsid w:val="00127A68"/>
    <w:rsid w:val="00130D45"/>
    <w:rsid w:val="00131405"/>
    <w:rsid w:val="00132EE3"/>
    <w:rsid w:val="00133EF6"/>
    <w:rsid w:val="00135D09"/>
    <w:rsid w:val="00135E05"/>
    <w:rsid w:val="00136BA6"/>
    <w:rsid w:val="00137925"/>
    <w:rsid w:val="00137C06"/>
    <w:rsid w:val="00140B13"/>
    <w:rsid w:val="00141B68"/>
    <w:rsid w:val="00143FA2"/>
    <w:rsid w:val="00146051"/>
    <w:rsid w:val="001466DA"/>
    <w:rsid w:val="00147BEF"/>
    <w:rsid w:val="001517A0"/>
    <w:rsid w:val="001529DA"/>
    <w:rsid w:val="00152D6E"/>
    <w:rsid w:val="00154DE1"/>
    <w:rsid w:val="00155A38"/>
    <w:rsid w:val="00155B40"/>
    <w:rsid w:val="0015734B"/>
    <w:rsid w:val="00157435"/>
    <w:rsid w:val="00161156"/>
    <w:rsid w:val="00161DBB"/>
    <w:rsid w:val="001633CE"/>
    <w:rsid w:val="001637D0"/>
    <w:rsid w:val="00163DD2"/>
    <w:rsid w:val="00163EEA"/>
    <w:rsid w:val="00165DCD"/>
    <w:rsid w:val="00166F88"/>
    <w:rsid w:val="00167A07"/>
    <w:rsid w:val="00167AAD"/>
    <w:rsid w:val="0017046A"/>
    <w:rsid w:val="001704A3"/>
    <w:rsid w:val="00170EA1"/>
    <w:rsid w:val="0017232B"/>
    <w:rsid w:val="00173FBE"/>
    <w:rsid w:val="0017504D"/>
    <w:rsid w:val="001757CA"/>
    <w:rsid w:val="00176CBE"/>
    <w:rsid w:val="00177422"/>
    <w:rsid w:val="00177A77"/>
    <w:rsid w:val="0018062F"/>
    <w:rsid w:val="00180BF8"/>
    <w:rsid w:val="00181D4A"/>
    <w:rsid w:val="0018321B"/>
    <w:rsid w:val="00184F10"/>
    <w:rsid w:val="00185546"/>
    <w:rsid w:val="0018577D"/>
    <w:rsid w:val="00186726"/>
    <w:rsid w:val="00190B5E"/>
    <w:rsid w:val="00190EA6"/>
    <w:rsid w:val="001912AB"/>
    <w:rsid w:val="0019146B"/>
    <w:rsid w:val="00191DAB"/>
    <w:rsid w:val="00191F5F"/>
    <w:rsid w:val="00192E52"/>
    <w:rsid w:val="00194398"/>
    <w:rsid w:val="00196825"/>
    <w:rsid w:val="00197E2D"/>
    <w:rsid w:val="001A1D39"/>
    <w:rsid w:val="001A226D"/>
    <w:rsid w:val="001A5524"/>
    <w:rsid w:val="001A5D34"/>
    <w:rsid w:val="001A6337"/>
    <w:rsid w:val="001A767F"/>
    <w:rsid w:val="001A7D2A"/>
    <w:rsid w:val="001B0DF6"/>
    <w:rsid w:val="001B0FEE"/>
    <w:rsid w:val="001B161C"/>
    <w:rsid w:val="001B1A5E"/>
    <w:rsid w:val="001B1AB8"/>
    <w:rsid w:val="001B2E1F"/>
    <w:rsid w:val="001B4F03"/>
    <w:rsid w:val="001B574C"/>
    <w:rsid w:val="001B6498"/>
    <w:rsid w:val="001B7ECF"/>
    <w:rsid w:val="001C0AF9"/>
    <w:rsid w:val="001C1255"/>
    <w:rsid w:val="001C138B"/>
    <w:rsid w:val="001C155A"/>
    <w:rsid w:val="001C240E"/>
    <w:rsid w:val="001C2EED"/>
    <w:rsid w:val="001C42BC"/>
    <w:rsid w:val="001C48C0"/>
    <w:rsid w:val="001C48EF"/>
    <w:rsid w:val="001C7DFD"/>
    <w:rsid w:val="001D0877"/>
    <w:rsid w:val="001D0D40"/>
    <w:rsid w:val="001D2543"/>
    <w:rsid w:val="001D26FC"/>
    <w:rsid w:val="001D2DC9"/>
    <w:rsid w:val="001D381A"/>
    <w:rsid w:val="001D56E3"/>
    <w:rsid w:val="001D5E1A"/>
    <w:rsid w:val="001D640D"/>
    <w:rsid w:val="001D658E"/>
    <w:rsid w:val="001D6726"/>
    <w:rsid w:val="001D6CB0"/>
    <w:rsid w:val="001D750D"/>
    <w:rsid w:val="001D7A46"/>
    <w:rsid w:val="001E001C"/>
    <w:rsid w:val="001E0518"/>
    <w:rsid w:val="001E1330"/>
    <w:rsid w:val="001E1794"/>
    <w:rsid w:val="001E26FC"/>
    <w:rsid w:val="001E3CCF"/>
    <w:rsid w:val="001E6437"/>
    <w:rsid w:val="001E72FD"/>
    <w:rsid w:val="001E79D7"/>
    <w:rsid w:val="001F12A8"/>
    <w:rsid w:val="001F13BE"/>
    <w:rsid w:val="001F1705"/>
    <w:rsid w:val="001F17B5"/>
    <w:rsid w:val="001F3347"/>
    <w:rsid w:val="001F4440"/>
    <w:rsid w:val="001F5BFC"/>
    <w:rsid w:val="001F64F9"/>
    <w:rsid w:val="001F69E4"/>
    <w:rsid w:val="001F6BAC"/>
    <w:rsid w:val="00200E14"/>
    <w:rsid w:val="00201AE6"/>
    <w:rsid w:val="00202CF7"/>
    <w:rsid w:val="0020364F"/>
    <w:rsid w:val="00203C61"/>
    <w:rsid w:val="00206A65"/>
    <w:rsid w:val="00211F56"/>
    <w:rsid w:val="00212D31"/>
    <w:rsid w:val="002130C7"/>
    <w:rsid w:val="002143C6"/>
    <w:rsid w:val="00214813"/>
    <w:rsid w:val="00214B56"/>
    <w:rsid w:val="0021636A"/>
    <w:rsid w:val="002163ED"/>
    <w:rsid w:val="002206B1"/>
    <w:rsid w:val="002215FE"/>
    <w:rsid w:val="002218A8"/>
    <w:rsid w:val="0022306D"/>
    <w:rsid w:val="002239A3"/>
    <w:rsid w:val="00223C40"/>
    <w:rsid w:val="00226574"/>
    <w:rsid w:val="002278EC"/>
    <w:rsid w:val="00231640"/>
    <w:rsid w:val="002325C6"/>
    <w:rsid w:val="002334DC"/>
    <w:rsid w:val="00233832"/>
    <w:rsid w:val="00234B62"/>
    <w:rsid w:val="002357C7"/>
    <w:rsid w:val="002367C4"/>
    <w:rsid w:val="00236F33"/>
    <w:rsid w:val="00243780"/>
    <w:rsid w:val="00244D0A"/>
    <w:rsid w:val="0024675E"/>
    <w:rsid w:val="00246F15"/>
    <w:rsid w:val="00250730"/>
    <w:rsid w:val="00250794"/>
    <w:rsid w:val="00251049"/>
    <w:rsid w:val="002534AE"/>
    <w:rsid w:val="00255F23"/>
    <w:rsid w:val="00256164"/>
    <w:rsid w:val="002566D7"/>
    <w:rsid w:val="0025679E"/>
    <w:rsid w:val="00256A88"/>
    <w:rsid w:val="00260584"/>
    <w:rsid w:val="00260C68"/>
    <w:rsid w:val="00262891"/>
    <w:rsid w:val="0026446C"/>
    <w:rsid w:val="002648B0"/>
    <w:rsid w:val="00264C4E"/>
    <w:rsid w:val="00265FD5"/>
    <w:rsid w:val="0027176F"/>
    <w:rsid w:val="00271E1B"/>
    <w:rsid w:val="002729F4"/>
    <w:rsid w:val="00275271"/>
    <w:rsid w:val="0027535E"/>
    <w:rsid w:val="00275AA6"/>
    <w:rsid w:val="00277C71"/>
    <w:rsid w:val="002807D5"/>
    <w:rsid w:val="00282CCD"/>
    <w:rsid w:val="00283F76"/>
    <w:rsid w:val="002862DF"/>
    <w:rsid w:val="002873FD"/>
    <w:rsid w:val="002901A0"/>
    <w:rsid w:val="00292B79"/>
    <w:rsid w:val="00292CC2"/>
    <w:rsid w:val="00293877"/>
    <w:rsid w:val="00293CFB"/>
    <w:rsid w:val="00294618"/>
    <w:rsid w:val="00295529"/>
    <w:rsid w:val="00295ABB"/>
    <w:rsid w:val="00295E46"/>
    <w:rsid w:val="00297364"/>
    <w:rsid w:val="002A0FA1"/>
    <w:rsid w:val="002A10D0"/>
    <w:rsid w:val="002A168C"/>
    <w:rsid w:val="002A216D"/>
    <w:rsid w:val="002A28CC"/>
    <w:rsid w:val="002A2926"/>
    <w:rsid w:val="002A2C48"/>
    <w:rsid w:val="002A3618"/>
    <w:rsid w:val="002A3E08"/>
    <w:rsid w:val="002A3EED"/>
    <w:rsid w:val="002A4A39"/>
    <w:rsid w:val="002A51DA"/>
    <w:rsid w:val="002A5A17"/>
    <w:rsid w:val="002A6425"/>
    <w:rsid w:val="002A6C8D"/>
    <w:rsid w:val="002A78FD"/>
    <w:rsid w:val="002B0EE5"/>
    <w:rsid w:val="002B3FD7"/>
    <w:rsid w:val="002B42AE"/>
    <w:rsid w:val="002B49E2"/>
    <w:rsid w:val="002B53A0"/>
    <w:rsid w:val="002B5C47"/>
    <w:rsid w:val="002B7020"/>
    <w:rsid w:val="002B7B00"/>
    <w:rsid w:val="002B7C44"/>
    <w:rsid w:val="002C0A10"/>
    <w:rsid w:val="002C1388"/>
    <w:rsid w:val="002C3460"/>
    <w:rsid w:val="002C3C6A"/>
    <w:rsid w:val="002C630A"/>
    <w:rsid w:val="002D1821"/>
    <w:rsid w:val="002D295E"/>
    <w:rsid w:val="002D391D"/>
    <w:rsid w:val="002D42DB"/>
    <w:rsid w:val="002D7E88"/>
    <w:rsid w:val="002E0EF6"/>
    <w:rsid w:val="002E10AA"/>
    <w:rsid w:val="002E1F3A"/>
    <w:rsid w:val="002E298A"/>
    <w:rsid w:val="002E2DBD"/>
    <w:rsid w:val="002E51DB"/>
    <w:rsid w:val="002E6E75"/>
    <w:rsid w:val="002E7879"/>
    <w:rsid w:val="002F001D"/>
    <w:rsid w:val="002F02A4"/>
    <w:rsid w:val="002F098F"/>
    <w:rsid w:val="002F261F"/>
    <w:rsid w:val="002F272B"/>
    <w:rsid w:val="002F479E"/>
    <w:rsid w:val="002F6AB4"/>
    <w:rsid w:val="002F7C6D"/>
    <w:rsid w:val="003017E8"/>
    <w:rsid w:val="00301FE8"/>
    <w:rsid w:val="003027E4"/>
    <w:rsid w:val="0030332C"/>
    <w:rsid w:val="00303AC3"/>
    <w:rsid w:val="00303CC2"/>
    <w:rsid w:val="00304560"/>
    <w:rsid w:val="00304723"/>
    <w:rsid w:val="00306B13"/>
    <w:rsid w:val="003106D1"/>
    <w:rsid w:val="00312226"/>
    <w:rsid w:val="00312296"/>
    <w:rsid w:val="00312AD2"/>
    <w:rsid w:val="0031340E"/>
    <w:rsid w:val="00313692"/>
    <w:rsid w:val="00313A7A"/>
    <w:rsid w:val="00316464"/>
    <w:rsid w:val="00317977"/>
    <w:rsid w:val="0032073A"/>
    <w:rsid w:val="0032101F"/>
    <w:rsid w:val="00321D8E"/>
    <w:rsid w:val="003225EF"/>
    <w:rsid w:val="003234E4"/>
    <w:rsid w:val="003278AB"/>
    <w:rsid w:val="00327F8E"/>
    <w:rsid w:val="00330383"/>
    <w:rsid w:val="00330A5E"/>
    <w:rsid w:val="00332462"/>
    <w:rsid w:val="0033352A"/>
    <w:rsid w:val="003337CA"/>
    <w:rsid w:val="00334996"/>
    <w:rsid w:val="00335F5E"/>
    <w:rsid w:val="00336969"/>
    <w:rsid w:val="00336C52"/>
    <w:rsid w:val="00337238"/>
    <w:rsid w:val="00341B3E"/>
    <w:rsid w:val="00341B42"/>
    <w:rsid w:val="00342618"/>
    <w:rsid w:val="00343EBE"/>
    <w:rsid w:val="003444DD"/>
    <w:rsid w:val="00345154"/>
    <w:rsid w:val="0034560E"/>
    <w:rsid w:val="00345D76"/>
    <w:rsid w:val="00350406"/>
    <w:rsid w:val="00350523"/>
    <w:rsid w:val="0035075F"/>
    <w:rsid w:val="00350DF3"/>
    <w:rsid w:val="00351B80"/>
    <w:rsid w:val="00352975"/>
    <w:rsid w:val="003541C4"/>
    <w:rsid w:val="00354A59"/>
    <w:rsid w:val="003566B1"/>
    <w:rsid w:val="00356868"/>
    <w:rsid w:val="003574AE"/>
    <w:rsid w:val="00360A4C"/>
    <w:rsid w:val="00360A94"/>
    <w:rsid w:val="003632BE"/>
    <w:rsid w:val="00363E13"/>
    <w:rsid w:val="00364653"/>
    <w:rsid w:val="0036485B"/>
    <w:rsid w:val="00365C23"/>
    <w:rsid w:val="00371D0E"/>
    <w:rsid w:val="00373B0D"/>
    <w:rsid w:val="00373B76"/>
    <w:rsid w:val="00376988"/>
    <w:rsid w:val="00376A14"/>
    <w:rsid w:val="003778D0"/>
    <w:rsid w:val="0038002B"/>
    <w:rsid w:val="00380374"/>
    <w:rsid w:val="00381A72"/>
    <w:rsid w:val="00382BF5"/>
    <w:rsid w:val="003837E9"/>
    <w:rsid w:val="00384096"/>
    <w:rsid w:val="003900B3"/>
    <w:rsid w:val="0039091C"/>
    <w:rsid w:val="003960CC"/>
    <w:rsid w:val="00396A6E"/>
    <w:rsid w:val="00396B7C"/>
    <w:rsid w:val="00397D34"/>
    <w:rsid w:val="003A0011"/>
    <w:rsid w:val="003A175A"/>
    <w:rsid w:val="003A1948"/>
    <w:rsid w:val="003A5529"/>
    <w:rsid w:val="003A5A91"/>
    <w:rsid w:val="003A74F7"/>
    <w:rsid w:val="003A77BC"/>
    <w:rsid w:val="003B051F"/>
    <w:rsid w:val="003B152A"/>
    <w:rsid w:val="003B1B72"/>
    <w:rsid w:val="003B545B"/>
    <w:rsid w:val="003B7473"/>
    <w:rsid w:val="003C1016"/>
    <w:rsid w:val="003C2A2A"/>
    <w:rsid w:val="003C2A58"/>
    <w:rsid w:val="003C4D9F"/>
    <w:rsid w:val="003C5366"/>
    <w:rsid w:val="003C63F3"/>
    <w:rsid w:val="003C66EA"/>
    <w:rsid w:val="003C67FE"/>
    <w:rsid w:val="003C6F1D"/>
    <w:rsid w:val="003D1E06"/>
    <w:rsid w:val="003D3BB6"/>
    <w:rsid w:val="003D3DA8"/>
    <w:rsid w:val="003D3EE9"/>
    <w:rsid w:val="003D69FC"/>
    <w:rsid w:val="003D6E6C"/>
    <w:rsid w:val="003D7CF3"/>
    <w:rsid w:val="003E01E9"/>
    <w:rsid w:val="003E2B43"/>
    <w:rsid w:val="003E362C"/>
    <w:rsid w:val="003E4EAF"/>
    <w:rsid w:val="003E6F29"/>
    <w:rsid w:val="003E7681"/>
    <w:rsid w:val="003F0809"/>
    <w:rsid w:val="003F0905"/>
    <w:rsid w:val="003F6089"/>
    <w:rsid w:val="003F611C"/>
    <w:rsid w:val="003F6D1A"/>
    <w:rsid w:val="003F6D73"/>
    <w:rsid w:val="003F755C"/>
    <w:rsid w:val="004012AB"/>
    <w:rsid w:val="00403B84"/>
    <w:rsid w:val="00406F01"/>
    <w:rsid w:val="0040785D"/>
    <w:rsid w:val="004100F1"/>
    <w:rsid w:val="004109A0"/>
    <w:rsid w:val="00410D6C"/>
    <w:rsid w:val="00410E20"/>
    <w:rsid w:val="00411B36"/>
    <w:rsid w:val="00411E9D"/>
    <w:rsid w:val="004121D7"/>
    <w:rsid w:val="00413B0C"/>
    <w:rsid w:val="00413B9F"/>
    <w:rsid w:val="00416D50"/>
    <w:rsid w:val="00417772"/>
    <w:rsid w:val="00420E6A"/>
    <w:rsid w:val="004225CC"/>
    <w:rsid w:val="00422EE2"/>
    <w:rsid w:val="00425499"/>
    <w:rsid w:val="00426879"/>
    <w:rsid w:val="004275F8"/>
    <w:rsid w:val="004278D9"/>
    <w:rsid w:val="00430754"/>
    <w:rsid w:val="00430CE6"/>
    <w:rsid w:val="00431E9D"/>
    <w:rsid w:val="00432B95"/>
    <w:rsid w:val="00433CA9"/>
    <w:rsid w:val="0043473F"/>
    <w:rsid w:val="0043521D"/>
    <w:rsid w:val="00435881"/>
    <w:rsid w:val="004362D4"/>
    <w:rsid w:val="004401FC"/>
    <w:rsid w:val="004418CF"/>
    <w:rsid w:val="004419EF"/>
    <w:rsid w:val="00442024"/>
    <w:rsid w:val="0044254C"/>
    <w:rsid w:val="004432FC"/>
    <w:rsid w:val="004435A5"/>
    <w:rsid w:val="00443F6A"/>
    <w:rsid w:val="00445427"/>
    <w:rsid w:val="00445588"/>
    <w:rsid w:val="004470E6"/>
    <w:rsid w:val="004505FC"/>
    <w:rsid w:val="00450A17"/>
    <w:rsid w:val="00456290"/>
    <w:rsid w:val="00456898"/>
    <w:rsid w:val="004574B5"/>
    <w:rsid w:val="00457CD4"/>
    <w:rsid w:val="00461B4A"/>
    <w:rsid w:val="0046310A"/>
    <w:rsid w:val="004637B3"/>
    <w:rsid w:val="00466321"/>
    <w:rsid w:val="004663E6"/>
    <w:rsid w:val="004672AF"/>
    <w:rsid w:val="00467501"/>
    <w:rsid w:val="00467DBB"/>
    <w:rsid w:val="004727B0"/>
    <w:rsid w:val="00473487"/>
    <w:rsid w:val="00474718"/>
    <w:rsid w:val="00475AC5"/>
    <w:rsid w:val="00475C2F"/>
    <w:rsid w:val="004773A1"/>
    <w:rsid w:val="00480247"/>
    <w:rsid w:val="004802A2"/>
    <w:rsid w:val="0048081D"/>
    <w:rsid w:val="0048117E"/>
    <w:rsid w:val="00484195"/>
    <w:rsid w:val="00484DFE"/>
    <w:rsid w:val="004855F6"/>
    <w:rsid w:val="00486F0C"/>
    <w:rsid w:val="00487558"/>
    <w:rsid w:val="0049167A"/>
    <w:rsid w:val="00491753"/>
    <w:rsid w:val="00491C88"/>
    <w:rsid w:val="00493783"/>
    <w:rsid w:val="00494670"/>
    <w:rsid w:val="00495C49"/>
    <w:rsid w:val="00497C46"/>
    <w:rsid w:val="004A0AF8"/>
    <w:rsid w:val="004A0EB4"/>
    <w:rsid w:val="004A3823"/>
    <w:rsid w:val="004A51C4"/>
    <w:rsid w:val="004A59BB"/>
    <w:rsid w:val="004A6AD6"/>
    <w:rsid w:val="004A6BD3"/>
    <w:rsid w:val="004B2686"/>
    <w:rsid w:val="004B3B5C"/>
    <w:rsid w:val="004B43A3"/>
    <w:rsid w:val="004B47DB"/>
    <w:rsid w:val="004B4AF0"/>
    <w:rsid w:val="004B4C49"/>
    <w:rsid w:val="004B4FCE"/>
    <w:rsid w:val="004B58A5"/>
    <w:rsid w:val="004B63D9"/>
    <w:rsid w:val="004B7DCF"/>
    <w:rsid w:val="004C06FA"/>
    <w:rsid w:val="004C0882"/>
    <w:rsid w:val="004C0A28"/>
    <w:rsid w:val="004C0BBD"/>
    <w:rsid w:val="004C24D2"/>
    <w:rsid w:val="004C266B"/>
    <w:rsid w:val="004C30BC"/>
    <w:rsid w:val="004C55BE"/>
    <w:rsid w:val="004C63F1"/>
    <w:rsid w:val="004C745C"/>
    <w:rsid w:val="004C7ECE"/>
    <w:rsid w:val="004D04E8"/>
    <w:rsid w:val="004D3048"/>
    <w:rsid w:val="004D50BA"/>
    <w:rsid w:val="004D655B"/>
    <w:rsid w:val="004D69CF"/>
    <w:rsid w:val="004E0CB2"/>
    <w:rsid w:val="004E226D"/>
    <w:rsid w:val="004E4A0B"/>
    <w:rsid w:val="004E5B30"/>
    <w:rsid w:val="004E68A8"/>
    <w:rsid w:val="004E74BD"/>
    <w:rsid w:val="004F0779"/>
    <w:rsid w:val="004F1230"/>
    <w:rsid w:val="004F173F"/>
    <w:rsid w:val="004F177C"/>
    <w:rsid w:val="004F1ACE"/>
    <w:rsid w:val="004F2DCE"/>
    <w:rsid w:val="004F4336"/>
    <w:rsid w:val="004F4551"/>
    <w:rsid w:val="004F4DD9"/>
    <w:rsid w:val="004F55BD"/>
    <w:rsid w:val="004F5B72"/>
    <w:rsid w:val="004F6522"/>
    <w:rsid w:val="004F6AE3"/>
    <w:rsid w:val="004F73D2"/>
    <w:rsid w:val="005019AB"/>
    <w:rsid w:val="005033E5"/>
    <w:rsid w:val="005039CB"/>
    <w:rsid w:val="00504DBB"/>
    <w:rsid w:val="0050558F"/>
    <w:rsid w:val="005057E0"/>
    <w:rsid w:val="00506286"/>
    <w:rsid w:val="00506451"/>
    <w:rsid w:val="005100C1"/>
    <w:rsid w:val="0051048C"/>
    <w:rsid w:val="00510813"/>
    <w:rsid w:val="00510976"/>
    <w:rsid w:val="0051135B"/>
    <w:rsid w:val="00511DE0"/>
    <w:rsid w:val="0051463E"/>
    <w:rsid w:val="00515315"/>
    <w:rsid w:val="00515BE3"/>
    <w:rsid w:val="00515CCF"/>
    <w:rsid w:val="005165A4"/>
    <w:rsid w:val="005176DD"/>
    <w:rsid w:val="005178ED"/>
    <w:rsid w:val="00517F02"/>
    <w:rsid w:val="00521353"/>
    <w:rsid w:val="00521CDC"/>
    <w:rsid w:val="005232C9"/>
    <w:rsid w:val="00523442"/>
    <w:rsid w:val="00524547"/>
    <w:rsid w:val="0052468F"/>
    <w:rsid w:val="005258A2"/>
    <w:rsid w:val="00527783"/>
    <w:rsid w:val="0053072C"/>
    <w:rsid w:val="00530F7C"/>
    <w:rsid w:val="005311FB"/>
    <w:rsid w:val="00533BBA"/>
    <w:rsid w:val="00534567"/>
    <w:rsid w:val="00534B69"/>
    <w:rsid w:val="00534F43"/>
    <w:rsid w:val="00535549"/>
    <w:rsid w:val="00535A84"/>
    <w:rsid w:val="00536889"/>
    <w:rsid w:val="00537C0C"/>
    <w:rsid w:val="00542075"/>
    <w:rsid w:val="00542E07"/>
    <w:rsid w:val="00544814"/>
    <w:rsid w:val="00544916"/>
    <w:rsid w:val="0054605D"/>
    <w:rsid w:val="00546DEB"/>
    <w:rsid w:val="00546F96"/>
    <w:rsid w:val="005538EE"/>
    <w:rsid w:val="00553E4A"/>
    <w:rsid w:val="00554A7B"/>
    <w:rsid w:val="0055572C"/>
    <w:rsid w:val="0055637E"/>
    <w:rsid w:val="00556D17"/>
    <w:rsid w:val="0056064F"/>
    <w:rsid w:val="00561B84"/>
    <w:rsid w:val="00561ED5"/>
    <w:rsid w:val="00564518"/>
    <w:rsid w:val="0056496F"/>
    <w:rsid w:val="005660BD"/>
    <w:rsid w:val="00570C4D"/>
    <w:rsid w:val="00571C41"/>
    <w:rsid w:val="00571D98"/>
    <w:rsid w:val="005720AE"/>
    <w:rsid w:val="0057226D"/>
    <w:rsid w:val="00573900"/>
    <w:rsid w:val="00573D31"/>
    <w:rsid w:val="0057403D"/>
    <w:rsid w:val="0057429A"/>
    <w:rsid w:val="00574329"/>
    <w:rsid w:val="00574EBB"/>
    <w:rsid w:val="00575D55"/>
    <w:rsid w:val="005775D0"/>
    <w:rsid w:val="0058030D"/>
    <w:rsid w:val="00582045"/>
    <w:rsid w:val="00583697"/>
    <w:rsid w:val="00583894"/>
    <w:rsid w:val="00583C76"/>
    <w:rsid w:val="00590AE3"/>
    <w:rsid w:val="00590D33"/>
    <w:rsid w:val="005918F1"/>
    <w:rsid w:val="00594824"/>
    <w:rsid w:val="00595135"/>
    <w:rsid w:val="005967E3"/>
    <w:rsid w:val="00597A0E"/>
    <w:rsid w:val="005A00DB"/>
    <w:rsid w:val="005A06B7"/>
    <w:rsid w:val="005A08DF"/>
    <w:rsid w:val="005A1759"/>
    <w:rsid w:val="005A18A4"/>
    <w:rsid w:val="005A339A"/>
    <w:rsid w:val="005A438A"/>
    <w:rsid w:val="005A53D0"/>
    <w:rsid w:val="005A7FD2"/>
    <w:rsid w:val="005B303B"/>
    <w:rsid w:val="005B3839"/>
    <w:rsid w:val="005B4299"/>
    <w:rsid w:val="005B6E51"/>
    <w:rsid w:val="005C0060"/>
    <w:rsid w:val="005C12AC"/>
    <w:rsid w:val="005C2140"/>
    <w:rsid w:val="005C2D94"/>
    <w:rsid w:val="005C48CA"/>
    <w:rsid w:val="005C5D25"/>
    <w:rsid w:val="005C72A6"/>
    <w:rsid w:val="005C7374"/>
    <w:rsid w:val="005D0369"/>
    <w:rsid w:val="005D0D7B"/>
    <w:rsid w:val="005D1735"/>
    <w:rsid w:val="005D4571"/>
    <w:rsid w:val="005D4970"/>
    <w:rsid w:val="005D53FE"/>
    <w:rsid w:val="005D5A64"/>
    <w:rsid w:val="005D657C"/>
    <w:rsid w:val="005D6AEA"/>
    <w:rsid w:val="005D710D"/>
    <w:rsid w:val="005D7A0F"/>
    <w:rsid w:val="005E0010"/>
    <w:rsid w:val="005E0438"/>
    <w:rsid w:val="005E1791"/>
    <w:rsid w:val="005E29B8"/>
    <w:rsid w:val="005E2CE6"/>
    <w:rsid w:val="005E4D8E"/>
    <w:rsid w:val="005E5B94"/>
    <w:rsid w:val="005E6324"/>
    <w:rsid w:val="005E7B4E"/>
    <w:rsid w:val="005F0171"/>
    <w:rsid w:val="005F0D5F"/>
    <w:rsid w:val="005F228B"/>
    <w:rsid w:val="005F29CD"/>
    <w:rsid w:val="005F4DFB"/>
    <w:rsid w:val="005F5898"/>
    <w:rsid w:val="005F6CC0"/>
    <w:rsid w:val="005F7A80"/>
    <w:rsid w:val="005F7B66"/>
    <w:rsid w:val="00600B37"/>
    <w:rsid w:val="00602C64"/>
    <w:rsid w:val="00603E5B"/>
    <w:rsid w:val="006047F7"/>
    <w:rsid w:val="00604B9D"/>
    <w:rsid w:val="00604BC8"/>
    <w:rsid w:val="00604F68"/>
    <w:rsid w:val="00606A47"/>
    <w:rsid w:val="00607CF5"/>
    <w:rsid w:val="00610467"/>
    <w:rsid w:val="006107CC"/>
    <w:rsid w:val="0061094B"/>
    <w:rsid w:val="0061104A"/>
    <w:rsid w:val="006110EB"/>
    <w:rsid w:val="0061114F"/>
    <w:rsid w:val="00611BED"/>
    <w:rsid w:val="00611DB9"/>
    <w:rsid w:val="00612A2B"/>
    <w:rsid w:val="00614EB3"/>
    <w:rsid w:val="00615B4C"/>
    <w:rsid w:val="00615B5D"/>
    <w:rsid w:val="00617853"/>
    <w:rsid w:val="00620EBC"/>
    <w:rsid w:val="00621302"/>
    <w:rsid w:val="0062146F"/>
    <w:rsid w:val="00621FE6"/>
    <w:rsid w:val="006229A9"/>
    <w:rsid w:val="00623939"/>
    <w:rsid w:val="006309B4"/>
    <w:rsid w:val="00630D2F"/>
    <w:rsid w:val="006310FC"/>
    <w:rsid w:val="006334CF"/>
    <w:rsid w:val="006343AF"/>
    <w:rsid w:val="0063448A"/>
    <w:rsid w:val="0063634A"/>
    <w:rsid w:val="00636631"/>
    <w:rsid w:val="00636F44"/>
    <w:rsid w:val="0064160D"/>
    <w:rsid w:val="0064250D"/>
    <w:rsid w:val="00643090"/>
    <w:rsid w:val="0064452B"/>
    <w:rsid w:val="0065126E"/>
    <w:rsid w:val="006518F5"/>
    <w:rsid w:val="006535EB"/>
    <w:rsid w:val="00653B71"/>
    <w:rsid w:val="00657E44"/>
    <w:rsid w:val="006608CE"/>
    <w:rsid w:val="00663016"/>
    <w:rsid w:val="006644FE"/>
    <w:rsid w:val="00666FC4"/>
    <w:rsid w:val="00667302"/>
    <w:rsid w:val="00670464"/>
    <w:rsid w:val="00671C4F"/>
    <w:rsid w:val="006726D5"/>
    <w:rsid w:val="00673600"/>
    <w:rsid w:val="006737A5"/>
    <w:rsid w:val="00674605"/>
    <w:rsid w:val="00674739"/>
    <w:rsid w:val="006748B8"/>
    <w:rsid w:val="006764D5"/>
    <w:rsid w:val="00676FC2"/>
    <w:rsid w:val="00680F48"/>
    <w:rsid w:val="00681DEA"/>
    <w:rsid w:val="0068266F"/>
    <w:rsid w:val="00683006"/>
    <w:rsid w:val="0068535B"/>
    <w:rsid w:val="00687002"/>
    <w:rsid w:val="0068736E"/>
    <w:rsid w:val="0069113E"/>
    <w:rsid w:val="0069290A"/>
    <w:rsid w:val="00692FA7"/>
    <w:rsid w:val="0069383D"/>
    <w:rsid w:val="006942DD"/>
    <w:rsid w:val="006959C0"/>
    <w:rsid w:val="0069640B"/>
    <w:rsid w:val="00697032"/>
    <w:rsid w:val="006971B1"/>
    <w:rsid w:val="006975AC"/>
    <w:rsid w:val="00697F47"/>
    <w:rsid w:val="006A15FB"/>
    <w:rsid w:val="006A1B7E"/>
    <w:rsid w:val="006A2F1E"/>
    <w:rsid w:val="006A2FAE"/>
    <w:rsid w:val="006A4B52"/>
    <w:rsid w:val="006A6325"/>
    <w:rsid w:val="006A72BF"/>
    <w:rsid w:val="006B2381"/>
    <w:rsid w:val="006B332A"/>
    <w:rsid w:val="006B33BD"/>
    <w:rsid w:val="006B5B35"/>
    <w:rsid w:val="006C0B84"/>
    <w:rsid w:val="006C0DDE"/>
    <w:rsid w:val="006C1668"/>
    <w:rsid w:val="006C1A6A"/>
    <w:rsid w:val="006C3068"/>
    <w:rsid w:val="006C3726"/>
    <w:rsid w:val="006C3F75"/>
    <w:rsid w:val="006C46C7"/>
    <w:rsid w:val="006C4BD4"/>
    <w:rsid w:val="006C4CC5"/>
    <w:rsid w:val="006C50FE"/>
    <w:rsid w:val="006C58D8"/>
    <w:rsid w:val="006D0FB2"/>
    <w:rsid w:val="006D170E"/>
    <w:rsid w:val="006D1862"/>
    <w:rsid w:val="006D2CC8"/>
    <w:rsid w:val="006D3475"/>
    <w:rsid w:val="006D6E11"/>
    <w:rsid w:val="006D6FC8"/>
    <w:rsid w:val="006E06AF"/>
    <w:rsid w:val="006E1A4E"/>
    <w:rsid w:val="006E29D4"/>
    <w:rsid w:val="006E4135"/>
    <w:rsid w:val="006E460F"/>
    <w:rsid w:val="006E602C"/>
    <w:rsid w:val="006E68A3"/>
    <w:rsid w:val="006E70F4"/>
    <w:rsid w:val="006F0240"/>
    <w:rsid w:val="006F03AA"/>
    <w:rsid w:val="006F09FD"/>
    <w:rsid w:val="006F1789"/>
    <w:rsid w:val="006F1BFE"/>
    <w:rsid w:val="006F4D7D"/>
    <w:rsid w:val="006F52AA"/>
    <w:rsid w:val="007007AB"/>
    <w:rsid w:val="007020D6"/>
    <w:rsid w:val="00702AEF"/>
    <w:rsid w:val="007031A3"/>
    <w:rsid w:val="007032E7"/>
    <w:rsid w:val="00706C5D"/>
    <w:rsid w:val="0070731A"/>
    <w:rsid w:val="0070732C"/>
    <w:rsid w:val="007079A2"/>
    <w:rsid w:val="00707A1B"/>
    <w:rsid w:val="007118E6"/>
    <w:rsid w:val="0071290F"/>
    <w:rsid w:val="007143C0"/>
    <w:rsid w:val="0071500A"/>
    <w:rsid w:val="007158F8"/>
    <w:rsid w:val="00715E10"/>
    <w:rsid w:val="00720661"/>
    <w:rsid w:val="00720C94"/>
    <w:rsid w:val="00721965"/>
    <w:rsid w:val="00721F08"/>
    <w:rsid w:val="007225C9"/>
    <w:rsid w:val="0072368B"/>
    <w:rsid w:val="007256AD"/>
    <w:rsid w:val="007277F9"/>
    <w:rsid w:val="00731808"/>
    <w:rsid w:val="00732D5D"/>
    <w:rsid w:val="00733683"/>
    <w:rsid w:val="00733F67"/>
    <w:rsid w:val="007351EB"/>
    <w:rsid w:val="00735CD7"/>
    <w:rsid w:val="0073792C"/>
    <w:rsid w:val="00740463"/>
    <w:rsid w:val="00744E20"/>
    <w:rsid w:val="00747CD1"/>
    <w:rsid w:val="00752A17"/>
    <w:rsid w:val="00752AB4"/>
    <w:rsid w:val="00754034"/>
    <w:rsid w:val="00754BF1"/>
    <w:rsid w:val="00755A30"/>
    <w:rsid w:val="00755E1C"/>
    <w:rsid w:val="007563B3"/>
    <w:rsid w:val="00756556"/>
    <w:rsid w:val="0076132B"/>
    <w:rsid w:val="007623AE"/>
    <w:rsid w:val="00765AB0"/>
    <w:rsid w:val="00770B19"/>
    <w:rsid w:val="00772139"/>
    <w:rsid w:val="00772A95"/>
    <w:rsid w:val="00773699"/>
    <w:rsid w:val="00774FA0"/>
    <w:rsid w:val="00775B73"/>
    <w:rsid w:val="00776620"/>
    <w:rsid w:val="00777B6D"/>
    <w:rsid w:val="007800AB"/>
    <w:rsid w:val="00780121"/>
    <w:rsid w:val="00780924"/>
    <w:rsid w:val="007828CB"/>
    <w:rsid w:val="0078376F"/>
    <w:rsid w:val="00784855"/>
    <w:rsid w:val="00784F39"/>
    <w:rsid w:val="0078517B"/>
    <w:rsid w:val="0078545C"/>
    <w:rsid w:val="007854ED"/>
    <w:rsid w:val="00785900"/>
    <w:rsid w:val="00786DC4"/>
    <w:rsid w:val="007906C4"/>
    <w:rsid w:val="0079235A"/>
    <w:rsid w:val="0079310F"/>
    <w:rsid w:val="0079313F"/>
    <w:rsid w:val="007934C1"/>
    <w:rsid w:val="007940EA"/>
    <w:rsid w:val="007946BB"/>
    <w:rsid w:val="007967E8"/>
    <w:rsid w:val="00797211"/>
    <w:rsid w:val="007A0CB8"/>
    <w:rsid w:val="007A1829"/>
    <w:rsid w:val="007A38F7"/>
    <w:rsid w:val="007A40ED"/>
    <w:rsid w:val="007A4480"/>
    <w:rsid w:val="007A4798"/>
    <w:rsid w:val="007A60C9"/>
    <w:rsid w:val="007A63F2"/>
    <w:rsid w:val="007B181B"/>
    <w:rsid w:val="007B4A13"/>
    <w:rsid w:val="007B68DE"/>
    <w:rsid w:val="007B6E89"/>
    <w:rsid w:val="007B70CF"/>
    <w:rsid w:val="007B7B25"/>
    <w:rsid w:val="007B7BDE"/>
    <w:rsid w:val="007C015E"/>
    <w:rsid w:val="007C0A03"/>
    <w:rsid w:val="007C12CE"/>
    <w:rsid w:val="007C1857"/>
    <w:rsid w:val="007C240C"/>
    <w:rsid w:val="007C4433"/>
    <w:rsid w:val="007C514F"/>
    <w:rsid w:val="007C530D"/>
    <w:rsid w:val="007C63B9"/>
    <w:rsid w:val="007D0006"/>
    <w:rsid w:val="007D0970"/>
    <w:rsid w:val="007D0BE9"/>
    <w:rsid w:val="007D0F95"/>
    <w:rsid w:val="007D44D2"/>
    <w:rsid w:val="007D5531"/>
    <w:rsid w:val="007D7ECB"/>
    <w:rsid w:val="007E0215"/>
    <w:rsid w:val="007E15B1"/>
    <w:rsid w:val="007E25A1"/>
    <w:rsid w:val="007E2894"/>
    <w:rsid w:val="007E2DFB"/>
    <w:rsid w:val="007E3A28"/>
    <w:rsid w:val="007E433B"/>
    <w:rsid w:val="007E4BD2"/>
    <w:rsid w:val="007E6943"/>
    <w:rsid w:val="007E7145"/>
    <w:rsid w:val="007E7CCD"/>
    <w:rsid w:val="007E7D72"/>
    <w:rsid w:val="007E7D9E"/>
    <w:rsid w:val="007F0C38"/>
    <w:rsid w:val="007F1B13"/>
    <w:rsid w:val="007F3821"/>
    <w:rsid w:val="007F3908"/>
    <w:rsid w:val="007F3916"/>
    <w:rsid w:val="007F4C7E"/>
    <w:rsid w:val="007F57EB"/>
    <w:rsid w:val="007F75AA"/>
    <w:rsid w:val="00801179"/>
    <w:rsid w:val="0080245E"/>
    <w:rsid w:val="00802479"/>
    <w:rsid w:val="00802AD9"/>
    <w:rsid w:val="0080445B"/>
    <w:rsid w:val="008048F1"/>
    <w:rsid w:val="00805372"/>
    <w:rsid w:val="008053C6"/>
    <w:rsid w:val="0080594D"/>
    <w:rsid w:val="00805B7B"/>
    <w:rsid w:val="00807385"/>
    <w:rsid w:val="0081293E"/>
    <w:rsid w:val="008140BE"/>
    <w:rsid w:val="00814FFB"/>
    <w:rsid w:val="00817B86"/>
    <w:rsid w:val="00820568"/>
    <w:rsid w:val="0082084D"/>
    <w:rsid w:val="00822005"/>
    <w:rsid w:val="00822742"/>
    <w:rsid w:val="00824BE1"/>
    <w:rsid w:val="00825C1E"/>
    <w:rsid w:val="00825E2A"/>
    <w:rsid w:val="00826FB4"/>
    <w:rsid w:val="008276DD"/>
    <w:rsid w:val="008315CD"/>
    <w:rsid w:val="0083189E"/>
    <w:rsid w:val="00831A80"/>
    <w:rsid w:val="00832A9F"/>
    <w:rsid w:val="008332C8"/>
    <w:rsid w:val="00833743"/>
    <w:rsid w:val="008340A4"/>
    <w:rsid w:val="0083499F"/>
    <w:rsid w:val="008353F4"/>
    <w:rsid w:val="00836799"/>
    <w:rsid w:val="00837028"/>
    <w:rsid w:val="00837131"/>
    <w:rsid w:val="00840947"/>
    <w:rsid w:val="008428CA"/>
    <w:rsid w:val="008455EE"/>
    <w:rsid w:val="00845F57"/>
    <w:rsid w:val="00847745"/>
    <w:rsid w:val="00847F90"/>
    <w:rsid w:val="00852193"/>
    <w:rsid w:val="008521E0"/>
    <w:rsid w:val="008525B0"/>
    <w:rsid w:val="00855CF1"/>
    <w:rsid w:val="0085614C"/>
    <w:rsid w:val="008571A4"/>
    <w:rsid w:val="008631F8"/>
    <w:rsid w:val="00865C0D"/>
    <w:rsid w:val="00867CBC"/>
    <w:rsid w:val="008707FC"/>
    <w:rsid w:val="00870AB4"/>
    <w:rsid w:val="0087526D"/>
    <w:rsid w:val="008757FA"/>
    <w:rsid w:val="00876691"/>
    <w:rsid w:val="00876C30"/>
    <w:rsid w:val="00877017"/>
    <w:rsid w:val="008773C0"/>
    <w:rsid w:val="00880364"/>
    <w:rsid w:val="00881635"/>
    <w:rsid w:val="00882A2A"/>
    <w:rsid w:val="00884146"/>
    <w:rsid w:val="008850A1"/>
    <w:rsid w:val="00885740"/>
    <w:rsid w:val="00885897"/>
    <w:rsid w:val="008866D7"/>
    <w:rsid w:val="00886C4C"/>
    <w:rsid w:val="0088711C"/>
    <w:rsid w:val="0089118C"/>
    <w:rsid w:val="008914BF"/>
    <w:rsid w:val="00892ECF"/>
    <w:rsid w:val="00892F06"/>
    <w:rsid w:val="00894285"/>
    <w:rsid w:val="008946BA"/>
    <w:rsid w:val="00895796"/>
    <w:rsid w:val="00896EDA"/>
    <w:rsid w:val="008970A2"/>
    <w:rsid w:val="008977EC"/>
    <w:rsid w:val="00897BC4"/>
    <w:rsid w:val="008A242C"/>
    <w:rsid w:val="008A2B9D"/>
    <w:rsid w:val="008A40AE"/>
    <w:rsid w:val="008A4885"/>
    <w:rsid w:val="008A4E19"/>
    <w:rsid w:val="008A67C5"/>
    <w:rsid w:val="008A6B26"/>
    <w:rsid w:val="008B08BE"/>
    <w:rsid w:val="008B22E1"/>
    <w:rsid w:val="008B3C78"/>
    <w:rsid w:val="008B4AE9"/>
    <w:rsid w:val="008B4D33"/>
    <w:rsid w:val="008B55FA"/>
    <w:rsid w:val="008C093B"/>
    <w:rsid w:val="008C0B3D"/>
    <w:rsid w:val="008C2415"/>
    <w:rsid w:val="008C2C44"/>
    <w:rsid w:val="008C3087"/>
    <w:rsid w:val="008C30AD"/>
    <w:rsid w:val="008C407A"/>
    <w:rsid w:val="008C5750"/>
    <w:rsid w:val="008C64AE"/>
    <w:rsid w:val="008D068E"/>
    <w:rsid w:val="008D08AD"/>
    <w:rsid w:val="008D0F7A"/>
    <w:rsid w:val="008D3FAA"/>
    <w:rsid w:val="008D53D7"/>
    <w:rsid w:val="008D63BE"/>
    <w:rsid w:val="008D66A1"/>
    <w:rsid w:val="008E0CFF"/>
    <w:rsid w:val="008E4385"/>
    <w:rsid w:val="008E5D6B"/>
    <w:rsid w:val="008E689B"/>
    <w:rsid w:val="008E76F0"/>
    <w:rsid w:val="008F067C"/>
    <w:rsid w:val="008F15FE"/>
    <w:rsid w:val="008F2A94"/>
    <w:rsid w:val="008F5187"/>
    <w:rsid w:val="008F5FFE"/>
    <w:rsid w:val="008F709C"/>
    <w:rsid w:val="008F7258"/>
    <w:rsid w:val="00900930"/>
    <w:rsid w:val="00900E10"/>
    <w:rsid w:val="00901216"/>
    <w:rsid w:val="00901EA1"/>
    <w:rsid w:val="00902DB3"/>
    <w:rsid w:val="0090312B"/>
    <w:rsid w:val="00904961"/>
    <w:rsid w:val="00905151"/>
    <w:rsid w:val="00910B88"/>
    <w:rsid w:val="00911E60"/>
    <w:rsid w:val="00912713"/>
    <w:rsid w:val="0091273E"/>
    <w:rsid w:val="009128E7"/>
    <w:rsid w:val="0091736D"/>
    <w:rsid w:val="00920340"/>
    <w:rsid w:val="00920648"/>
    <w:rsid w:val="00920E1E"/>
    <w:rsid w:val="00921ECC"/>
    <w:rsid w:val="00921EFF"/>
    <w:rsid w:val="00923ED4"/>
    <w:rsid w:val="00926AD1"/>
    <w:rsid w:val="0093002B"/>
    <w:rsid w:val="00930BB2"/>
    <w:rsid w:val="00931001"/>
    <w:rsid w:val="00931236"/>
    <w:rsid w:val="00931863"/>
    <w:rsid w:val="00933524"/>
    <w:rsid w:val="00936EEC"/>
    <w:rsid w:val="009419D4"/>
    <w:rsid w:val="00941AE3"/>
    <w:rsid w:val="0094278D"/>
    <w:rsid w:val="0094414D"/>
    <w:rsid w:val="009460A1"/>
    <w:rsid w:val="00946E41"/>
    <w:rsid w:val="00946E6A"/>
    <w:rsid w:val="00952BAE"/>
    <w:rsid w:val="00953011"/>
    <w:rsid w:val="0095308A"/>
    <w:rsid w:val="009555C1"/>
    <w:rsid w:val="00955AEE"/>
    <w:rsid w:val="0095689A"/>
    <w:rsid w:val="00956F14"/>
    <w:rsid w:val="00957BA8"/>
    <w:rsid w:val="00957BAB"/>
    <w:rsid w:val="00957C97"/>
    <w:rsid w:val="00961521"/>
    <w:rsid w:val="0096165F"/>
    <w:rsid w:val="009620FD"/>
    <w:rsid w:val="009621A2"/>
    <w:rsid w:val="0096247A"/>
    <w:rsid w:val="00965A39"/>
    <w:rsid w:val="00965F4B"/>
    <w:rsid w:val="00967B6D"/>
    <w:rsid w:val="00970986"/>
    <w:rsid w:val="00970F8A"/>
    <w:rsid w:val="009716FF"/>
    <w:rsid w:val="00971FB5"/>
    <w:rsid w:val="00972D2A"/>
    <w:rsid w:val="00975CC5"/>
    <w:rsid w:val="00976328"/>
    <w:rsid w:val="00976B4E"/>
    <w:rsid w:val="009770B4"/>
    <w:rsid w:val="00982218"/>
    <w:rsid w:val="009824AA"/>
    <w:rsid w:val="00982E85"/>
    <w:rsid w:val="009839D9"/>
    <w:rsid w:val="00984458"/>
    <w:rsid w:val="00984AB2"/>
    <w:rsid w:val="00985283"/>
    <w:rsid w:val="00985402"/>
    <w:rsid w:val="009859AB"/>
    <w:rsid w:val="0098600F"/>
    <w:rsid w:val="00986452"/>
    <w:rsid w:val="00987322"/>
    <w:rsid w:val="009903CC"/>
    <w:rsid w:val="00996427"/>
    <w:rsid w:val="00996DC1"/>
    <w:rsid w:val="00997775"/>
    <w:rsid w:val="00997A0C"/>
    <w:rsid w:val="009A0409"/>
    <w:rsid w:val="009A0F3B"/>
    <w:rsid w:val="009A1DB1"/>
    <w:rsid w:val="009A3A20"/>
    <w:rsid w:val="009A3A4F"/>
    <w:rsid w:val="009A3DA5"/>
    <w:rsid w:val="009A453B"/>
    <w:rsid w:val="009A543D"/>
    <w:rsid w:val="009A5BA4"/>
    <w:rsid w:val="009A64C7"/>
    <w:rsid w:val="009A6A20"/>
    <w:rsid w:val="009A72C7"/>
    <w:rsid w:val="009B032D"/>
    <w:rsid w:val="009B0897"/>
    <w:rsid w:val="009B1B71"/>
    <w:rsid w:val="009B2DEF"/>
    <w:rsid w:val="009C0E85"/>
    <w:rsid w:val="009C1763"/>
    <w:rsid w:val="009C266F"/>
    <w:rsid w:val="009C579B"/>
    <w:rsid w:val="009C6BBE"/>
    <w:rsid w:val="009C7137"/>
    <w:rsid w:val="009C7DAA"/>
    <w:rsid w:val="009D07D2"/>
    <w:rsid w:val="009D0852"/>
    <w:rsid w:val="009D1D69"/>
    <w:rsid w:val="009D1FBF"/>
    <w:rsid w:val="009D2BDF"/>
    <w:rsid w:val="009D32B8"/>
    <w:rsid w:val="009D6B81"/>
    <w:rsid w:val="009D71BF"/>
    <w:rsid w:val="009E0220"/>
    <w:rsid w:val="009E08D2"/>
    <w:rsid w:val="009E3857"/>
    <w:rsid w:val="009E399C"/>
    <w:rsid w:val="009E3A08"/>
    <w:rsid w:val="009E43C1"/>
    <w:rsid w:val="009E4627"/>
    <w:rsid w:val="009E4F1F"/>
    <w:rsid w:val="009E5DCB"/>
    <w:rsid w:val="009E652E"/>
    <w:rsid w:val="009E7445"/>
    <w:rsid w:val="009E7E95"/>
    <w:rsid w:val="009F0960"/>
    <w:rsid w:val="009F0C7C"/>
    <w:rsid w:val="009F116F"/>
    <w:rsid w:val="009F329E"/>
    <w:rsid w:val="009F4987"/>
    <w:rsid w:val="009F49A7"/>
    <w:rsid w:val="009F4AA1"/>
    <w:rsid w:val="009F527B"/>
    <w:rsid w:val="009F7ED3"/>
    <w:rsid w:val="00A012F5"/>
    <w:rsid w:val="00A015A7"/>
    <w:rsid w:val="00A020D2"/>
    <w:rsid w:val="00A03607"/>
    <w:rsid w:val="00A047FF"/>
    <w:rsid w:val="00A0489E"/>
    <w:rsid w:val="00A04FEF"/>
    <w:rsid w:val="00A060F0"/>
    <w:rsid w:val="00A06D7C"/>
    <w:rsid w:val="00A07417"/>
    <w:rsid w:val="00A10FFE"/>
    <w:rsid w:val="00A11A7A"/>
    <w:rsid w:val="00A11E90"/>
    <w:rsid w:val="00A122CD"/>
    <w:rsid w:val="00A12A32"/>
    <w:rsid w:val="00A14248"/>
    <w:rsid w:val="00A14947"/>
    <w:rsid w:val="00A15958"/>
    <w:rsid w:val="00A15D6F"/>
    <w:rsid w:val="00A173A4"/>
    <w:rsid w:val="00A176C9"/>
    <w:rsid w:val="00A20A4F"/>
    <w:rsid w:val="00A22B21"/>
    <w:rsid w:val="00A23B1B"/>
    <w:rsid w:val="00A23DC5"/>
    <w:rsid w:val="00A24AF2"/>
    <w:rsid w:val="00A261C2"/>
    <w:rsid w:val="00A268BE"/>
    <w:rsid w:val="00A30D47"/>
    <w:rsid w:val="00A33082"/>
    <w:rsid w:val="00A339B4"/>
    <w:rsid w:val="00A34028"/>
    <w:rsid w:val="00A34D0C"/>
    <w:rsid w:val="00A35568"/>
    <w:rsid w:val="00A37056"/>
    <w:rsid w:val="00A371C1"/>
    <w:rsid w:val="00A401AF"/>
    <w:rsid w:val="00A40918"/>
    <w:rsid w:val="00A41C9B"/>
    <w:rsid w:val="00A42BAD"/>
    <w:rsid w:val="00A4358F"/>
    <w:rsid w:val="00A44025"/>
    <w:rsid w:val="00A44563"/>
    <w:rsid w:val="00A458C6"/>
    <w:rsid w:val="00A46F67"/>
    <w:rsid w:val="00A51254"/>
    <w:rsid w:val="00A5172D"/>
    <w:rsid w:val="00A52C76"/>
    <w:rsid w:val="00A549F5"/>
    <w:rsid w:val="00A54AA1"/>
    <w:rsid w:val="00A55455"/>
    <w:rsid w:val="00A55FD1"/>
    <w:rsid w:val="00A56061"/>
    <w:rsid w:val="00A568FF"/>
    <w:rsid w:val="00A57B26"/>
    <w:rsid w:val="00A606D2"/>
    <w:rsid w:val="00A61496"/>
    <w:rsid w:val="00A61833"/>
    <w:rsid w:val="00A6202E"/>
    <w:rsid w:val="00A62199"/>
    <w:rsid w:val="00A624C6"/>
    <w:rsid w:val="00A62F51"/>
    <w:rsid w:val="00A63CEC"/>
    <w:rsid w:val="00A63D29"/>
    <w:rsid w:val="00A65C72"/>
    <w:rsid w:val="00A6657D"/>
    <w:rsid w:val="00A672B5"/>
    <w:rsid w:val="00A7031E"/>
    <w:rsid w:val="00A7070A"/>
    <w:rsid w:val="00A7116E"/>
    <w:rsid w:val="00A728B1"/>
    <w:rsid w:val="00A72B45"/>
    <w:rsid w:val="00A72CA4"/>
    <w:rsid w:val="00A75422"/>
    <w:rsid w:val="00A763DE"/>
    <w:rsid w:val="00A76A7C"/>
    <w:rsid w:val="00A76B01"/>
    <w:rsid w:val="00A76E92"/>
    <w:rsid w:val="00A77E4D"/>
    <w:rsid w:val="00A803D6"/>
    <w:rsid w:val="00A81102"/>
    <w:rsid w:val="00A81282"/>
    <w:rsid w:val="00A81647"/>
    <w:rsid w:val="00A8206D"/>
    <w:rsid w:val="00A84AE4"/>
    <w:rsid w:val="00A85CB8"/>
    <w:rsid w:val="00A8713F"/>
    <w:rsid w:val="00A8775D"/>
    <w:rsid w:val="00A91167"/>
    <w:rsid w:val="00A9171C"/>
    <w:rsid w:val="00A928A8"/>
    <w:rsid w:val="00A9292F"/>
    <w:rsid w:val="00A92FFD"/>
    <w:rsid w:val="00A95812"/>
    <w:rsid w:val="00A95975"/>
    <w:rsid w:val="00A95984"/>
    <w:rsid w:val="00A9708D"/>
    <w:rsid w:val="00AA167E"/>
    <w:rsid w:val="00AA1843"/>
    <w:rsid w:val="00AA2C17"/>
    <w:rsid w:val="00AA4172"/>
    <w:rsid w:val="00AA76BC"/>
    <w:rsid w:val="00AB0DFB"/>
    <w:rsid w:val="00AB1733"/>
    <w:rsid w:val="00AB1914"/>
    <w:rsid w:val="00AB1963"/>
    <w:rsid w:val="00AB1E50"/>
    <w:rsid w:val="00AB4DE5"/>
    <w:rsid w:val="00AB5330"/>
    <w:rsid w:val="00AB5555"/>
    <w:rsid w:val="00AB55EC"/>
    <w:rsid w:val="00AB65EA"/>
    <w:rsid w:val="00AB7747"/>
    <w:rsid w:val="00AC06E3"/>
    <w:rsid w:val="00AC0DBC"/>
    <w:rsid w:val="00AC2532"/>
    <w:rsid w:val="00AC26FE"/>
    <w:rsid w:val="00AC739E"/>
    <w:rsid w:val="00AD1507"/>
    <w:rsid w:val="00AD19BF"/>
    <w:rsid w:val="00AD208C"/>
    <w:rsid w:val="00AD2DC3"/>
    <w:rsid w:val="00AD3037"/>
    <w:rsid w:val="00AD33B5"/>
    <w:rsid w:val="00AD5A70"/>
    <w:rsid w:val="00AD738B"/>
    <w:rsid w:val="00AD7865"/>
    <w:rsid w:val="00AE13FA"/>
    <w:rsid w:val="00AE153C"/>
    <w:rsid w:val="00AE1BF4"/>
    <w:rsid w:val="00AE2DBD"/>
    <w:rsid w:val="00AE56DC"/>
    <w:rsid w:val="00AE5D97"/>
    <w:rsid w:val="00AE6794"/>
    <w:rsid w:val="00AE7377"/>
    <w:rsid w:val="00AE7CC4"/>
    <w:rsid w:val="00AF096C"/>
    <w:rsid w:val="00AF0CA4"/>
    <w:rsid w:val="00AF289D"/>
    <w:rsid w:val="00AF66D4"/>
    <w:rsid w:val="00AF7DAC"/>
    <w:rsid w:val="00B0057A"/>
    <w:rsid w:val="00B00A0E"/>
    <w:rsid w:val="00B01110"/>
    <w:rsid w:val="00B02262"/>
    <w:rsid w:val="00B02EA6"/>
    <w:rsid w:val="00B03CEC"/>
    <w:rsid w:val="00B04419"/>
    <w:rsid w:val="00B04D7A"/>
    <w:rsid w:val="00B06324"/>
    <w:rsid w:val="00B06452"/>
    <w:rsid w:val="00B0736A"/>
    <w:rsid w:val="00B07861"/>
    <w:rsid w:val="00B07A91"/>
    <w:rsid w:val="00B10D49"/>
    <w:rsid w:val="00B1209F"/>
    <w:rsid w:val="00B120CE"/>
    <w:rsid w:val="00B12AD0"/>
    <w:rsid w:val="00B1342E"/>
    <w:rsid w:val="00B148DD"/>
    <w:rsid w:val="00B1490A"/>
    <w:rsid w:val="00B150AD"/>
    <w:rsid w:val="00B1558B"/>
    <w:rsid w:val="00B2237B"/>
    <w:rsid w:val="00B239BD"/>
    <w:rsid w:val="00B24F30"/>
    <w:rsid w:val="00B25DE9"/>
    <w:rsid w:val="00B263BF"/>
    <w:rsid w:val="00B2662E"/>
    <w:rsid w:val="00B266DC"/>
    <w:rsid w:val="00B26715"/>
    <w:rsid w:val="00B3051F"/>
    <w:rsid w:val="00B30734"/>
    <w:rsid w:val="00B31ABF"/>
    <w:rsid w:val="00B335AE"/>
    <w:rsid w:val="00B33860"/>
    <w:rsid w:val="00B34C3A"/>
    <w:rsid w:val="00B3556D"/>
    <w:rsid w:val="00B35D5B"/>
    <w:rsid w:val="00B370AD"/>
    <w:rsid w:val="00B37CE1"/>
    <w:rsid w:val="00B40ACF"/>
    <w:rsid w:val="00B415AE"/>
    <w:rsid w:val="00B46BAA"/>
    <w:rsid w:val="00B471AE"/>
    <w:rsid w:val="00B508C7"/>
    <w:rsid w:val="00B50B5F"/>
    <w:rsid w:val="00B50BB2"/>
    <w:rsid w:val="00B5115F"/>
    <w:rsid w:val="00B536C7"/>
    <w:rsid w:val="00B54128"/>
    <w:rsid w:val="00B5423A"/>
    <w:rsid w:val="00B54F3E"/>
    <w:rsid w:val="00B55430"/>
    <w:rsid w:val="00B55826"/>
    <w:rsid w:val="00B56759"/>
    <w:rsid w:val="00B5727A"/>
    <w:rsid w:val="00B57D71"/>
    <w:rsid w:val="00B57DEA"/>
    <w:rsid w:val="00B60426"/>
    <w:rsid w:val="00B6194D"/>
    <w:rsid w:val="00B61F6D"/>
    <w:rsid w:val="00B622DD"/>
    <w:rsid w:val="00B63522"/>
    <w:rsid w:val="00B6785C"/>
    <w:rsid w:val="00B7054C"/>
    <w:rsid w:val="00B72391"/>
    <w:rsid w:val="00B735CC"/>
    <w:rsid w:val="00B737F3"/>
    <w:rsid w:val="00B76ECA"/>
    <w:rsid w:val="00B76F1D"/>
    <w:rsid w:val="00B804A8"/>
    <w:rsid w:val="00B806B2"/>
    <w:rsid w:val="00B806F3"/>
    <w:rsid w:val="00B83896"/>
    <w:rsid w:val="00B83E30"/>
    <w:rsid w:val="00B83FD8"/>
    <w:rsid w:val="00B86242"/>
    <w:rsid w:val="00B92A19"/>
    <w:rsid w:val="00B92EF4"/>
    <w:rsid w:val="00B950FF"/>
    <w:rsid w:val="00B951E7"/>
    <w:rsid w:val="00B9544C"/>
    <w:rsid w:val="00B95F6A"/>
    <w:rsid w:val="00BA021F"/>
    <w:rsid w:val="00BA29E9"/>
    <w:rsid w:val="00BA43DD"/>
    <w:rsid w:val="00BA51E5"/>
    <w:rsid w:val="00BA5493"/>
    <w:rsid w:val="00BA5ABC"/>
    <w:rsid w:val="00BA6027"/>
    <w:rsid w:val="00BB012A"/>
    <w:rsid w:val="00BB067E"/>
    <w:rsid w:val="00BB2456"/>
    <w:rsid w:val="00BB2659"/>
    <w:rsid w:val="00BB3221"/>
    <w:rsid w:val="00BB3618"/>
    <w:rsid w:val="00BB5E4C"/>
    <w:rsid w:val="00BB6F98"/>
    <w:rsid w:val="00BC0C9E"/>
    <w:rsid w:val="00BC32DC"/>
    <w:rsid w:val="00BC5EE6"/>
    <w:rsid w:val="00BC600E"/>
    <w:rsid w:val="00BC6478"/>
    <w:rsid w:val="00BC6BB0"/>
    <w:rsid w:val="00BC7287"/>
    <w:rsid w:val="00BC7D6F"/>
    <w:rsid w:val="00BD0AD3"/>
    <w:rsid w:val="00BD19E1"/>
    <w:rsid w:val="00BD1B51"/>
    <w:rsid w:val="00BD38BD"/>
    <w:rsid w:val="00BD3BA7"/>
    <w:rsid w:val="00BD4487"/>
    <w:rsid w:val="00BD47BE"/>
    <w:rsid w:val="00BD47F6"/>
    <w:rsid w:val="00BD4DE7"/>
    <w:rsid w:val="00BD5CB5"/>
    <w:rsid w:val="00BD62A8"/>
    <w:rsid w:val="00BD78C2"/>
    <w:rsid w:val="00BE24A8"/>
    <w:rsid w:val="00BE312D"/>
    <w:rsid w:val="00BE35F6"/>
    <w:rsid w:val="00BE3FCA"/>
    <w:rsid w:val="00BE56DD"/>
    <w:rsid w:val="00BE7150"/>
    <w:rsid w:val="00BF0F27"/>
    <w:rsid w:val="00BF31BF"/>
    <w:rsid w:val="00BF4F63"/>
    <w:rsid w:val="00BF5467"/>
    <w:rsid w:val="00BF7904"/>
    <w:rsid w:val="00C00938"/>
    <w:rsid w:val="00C03E47"/>
    <w:rsid w:val="00C04FFD"/>
    <w:rsid w:val="00C05314"/>
    <w:rsid w:val="00C05719"/>
    <w:rsid w:val="00C06251"/>
    <w:rsid w:val="00C06365"/>
    <w:rsid w:val="00C06413"/>
    <w:rsid w:val="00C10188"/>
    <w:rsid w:val="00C10578"/>
    <w:rsid w:val="00C10C91"/>
    <w:rsid w:val="00C12BC5"/>
    <w:rsid w:val="00C138FC"/>
    <w:rsid w:val="00C14595"/>
    <w:rsid w:val="00C16224"/>
    <w:rsid w:val="00C1622C"/>
    <w:rsid w:val="00C17D62"/>
    <w:rsid w:val="00C21FDC"/>
    <w:rsid w:val="00C2304B"/>
    <w:rsid w:val="00C23190"/>
    <w:rsid w:val="00C24EE7"/>
    <w:rsid w:val="00C250C7"/>
    <w:rsid w:val="00C2596A"/>
    <w:rsid w:val="00C26237"/>
    <w:rsid w:val="00C271BE"/>
    <w:rsid w:val="00C27425"/>
    <w:rsid w:val="00C321AE"/>
    <w:rsid w:val="00C328FE"/>
    <w:rsid w:val="00C33A05"/>
    <w:rsid w:val="00C33F3A"/>
    <w:rsid w:val="00C35BB5"/>
    <w:rsid w:val="00C35C3D"/>
    <w:rsid w:val="00C36F56"/>
    <w:rsid w:val="00C40217"/>
    <w:rsid w:val="00C409E7"/>
    <w:rsid w:val="00C40E26"/>
    <w:rsid w:val="00C41B2F"/>
    <w:rsid w:val="00C41CCA"/>
    <w:rsid w:val="00C42500"/>
    <w:rsid w:val="00C42AAA"/>
    <w:rsid w:val="00C42FBC"/>
    <w:rsid w:val="00C43D56"/>
    <w:rsid w:val="00C4409D"/>
    <w:rsid w:val="00C44828"/>
    <w:rsid w:val="00C4501D"/>
    <w:rsid w:val="00C455BE"/>
    <w:rsid w:val="00C51E5F"/>
    <w:rsid w:val="00C52367"/>
    <w:rsid w:val="00C5395C"/>
    <w:rsid w:val="00C54743"/>
    <w:rsid w:val="00C54D76"/>
    <w:rsid w:val="00C56770"/>
    <w:rsid w:val="00C618EB"/>
    <w:rsid w:val="00C61E4B"/>
    <w:rsid w:val="00C62E0C"/>
    <w:rsid w:val="00C62E3A"/>
    <w:rsid w:val="00C640CA"/>
    <w:rsid w:val="00C644A9"/>
    <w:rsid w:val="00C64503"/>
    <w:rsid w:val="00C64A1F"/>
    <w:rsid w:val="00C64BFF"/>
    <w:rsid w:val="00C65939"/>
    <w:rsid w:val="00C66B08"/>
    <w:rsid w:val="00C67BAF"/>
    <w:rsid w:val="00C70576"/>
    <w:rsid w:val="00C7291E"/>
    <w:rsid w:val="00C729F5"/>
    <w:rsid w:val="00C733C9"/>
    <w:rsid w:val="00C7378C"/>
    <w:rsid w:val="00C744B3"/>
    <w:rsid w:val="00C763C9"/>
    <w:rsid w:val="00C76417"/>
    <w:rsid w:val="00C80057"/>
    <w:rsid w:val="00C803D2"/>
    <w:rsid w:val="00C80C20"/>
    <w:rsid w:val="00C82C79"/>
    <w:rsid w:val="00C8341E"/>
    <w:rsid w:val="00C8389C"/>
    <w:rsid w:val="00C84753"/>
    <w:rsid w:val="00C852A6"/>
    <w:rsid w:val="00C85F8F"/>
    <w:rsid w:val="00C90824"/>
    <w:rsid w:val="00C91611"/>
    <w:rsid w:val="00C93B1A"/>
    <w:rsid w:val="00C948C9"/>
    <w:rsid w:val="00C95417"/>
    <w:rsid w:val="00C957EF"/>
    <w:rsid w:val="00C96BE3"/>
    <w:rsid w:val="00CA0DD0"/>
    <w:rsid w:val="00CA1F34"/>
    <w:rsid w:val="00CA2768"/>
    <w:rsid w:val="00CA3585"/>
    <w:rsid w:val="00CA3744"/>
    <w:rsid w:val="00CA3D5A"/>
    <w:rsid w:val="00CA41BE"/>
    <w:rsid w:val="00CA4C7C"/>
    <w:rsid w:val="00CA64DC"/>
    <w:rsid w:val="00CA71CE"/>
    <w:rsid w:val="00CA7501"/>
    <w:rsid w:val="00CA7825"/>
    <w:rsid w:val="00CA797C"/>
    <w:rsid w:val="00CA7C68"/>
    <w:rsid w:val="00CB0183"/>
    <w:rsid w:val="00CB0C82"/>
    <w:rsid w:val="00CB1803"/>
    <w:rsid w:val="00CB1854"/>
    <w:rsid w:val="00CB1EA3"/>
    <w:rsid w:val="00CB468D"/>
    <w:rsid w:val="00CB552C"/>
    <w:rsid w:val="00CB5F38"/>
    <w:rsid w:val="00CB6A9E"/>
    <w:rsid w:val="00CB7903"/>
    <w:rsid w:val="00CC0C87"/>
    <w:rsid w:val="00CC1FB1"/>
    <w:rsid w:val="00CC2086"/>
    <w:rsid w:val="00CC236A"/>
    <w:rsid w:val="00CC26B3"/>
    <w:rsid w:val="00CC28DA"/>
    <w:rsid w:val="00CC310D"/>
    <w:rsid w:val="00CC3AA1"/>
    <w:rsid w:val="00CC44AB"/>
    <w:rsid w:val="00CC4D0A"/>
    <w:rsid w:val="00CC540E"/>
    <w:rsid w:val="00CC54D3"/>
    <w:rsid w:val="00CC5D1E"/>
    <w:rsid w:val="00CC6181"/>
    <w:rsid w:val="00CD1F7B"/>
    <w:rsid w:val="00CD2BCD"/>
    <w:rsid w:val="00CD36AA"/>
    <w:rsid w:val="00CD3791"/>
    <w:rsid w:val="00CD5646"/>
    <w:rsid w:val="00CD65B0"/>
    <w:rsid w:val="00CD6ED2"/>
    <w:rsid w:val="00CE02CD"/>
    <w:rsid w:val="00CE0E14"/>
    <w:rsid w:val="00CE10E9"/>
    <w:rsid w:val="00CE1D3E"/>
    <w:rsid w:val="00CE560E"/>
    <w:rsid w:val="00CE7410"/>
    <w:rsid w:val="00CF051A"/>
    <w:rsid w:val="00CF1D40"/>
    <w:rsid w:val="00CF2610"/>
    <w:rsid w:val="00CF4088"/>
    <w:rsid w:val="00CF4997"/>
    <w:rsid w:val="00CF7AD5"/>
    <w:rsid w:val="00D0072E"/>
    <w:rsid w:val="00D0108A"/>
    <w:rsid w:val="00D01163"/>
    <w:rsid w:val="00D02DF2"/>
    <w:rsid w:val="00D02FC8"/>
    <w:rsid w:val="00D0736A"/>
    <w:rsid w:val="00D11271"/>
    <w:rsid w:val="00D1190B"/>
    <w:rsid w:val="00D12515"/>
    <w:rsid w:val="00D13CC2"/>
    <w:rsid w:val="00D13FC8"/>
    <w:rsid w:val="00D15727"/>
    <w:rsid w:val="00D15850"/>
    <w:rsid w:val="00D15A20"/>
    <w:rsid w:val="00D16332"/>
    <w:rsid w:val="00D16A22"/>
    <w:rsid w:val="00D17DB6"/>
    <w:rsid w:val="00D20162"/>
    <w:rsid w:val="00D201AE"/>
    <w:rsid w:val="00D215D1"/>
    <w:rsid w:val="00D24226"/>
    <w:rsid w:val="00D242A9"/>
    <w:rsid w:val="00D24972"/>
    <w:rsid w:val="00D2515E"/>
    <w:rsid w:val="00D266BB"/>
    <w:rsid w:val="00D2757D"/>
    <w:rsid w:val="00D2758C"/>
    <w:rsid w:val="00D308ED"/>
    <w:rsid w:val="00D309F0"/>
    <w:rsid w:val="00D3160C"/>
    <w:rsid w:val="00D32608"/>
    <w:rsid w:val="00D32FD8"/>
    <w:rsid w:val="00D3348A"/>
    <w:rsid w:val="00D33633"/>
    <w:rsid w:val="00D33E7E"/>
    <w:rsid w:val="00D348BD"/>
    <w:rsid w:val="00D34E62"/>
    <w:rsid w:val="00D355C6"/>
    <w:rsid w:val="00D35C5D"/>
    <w:rsid w:val="00D364AC"/>
    <w:rsid w:val="00D428DE"/>
    <w:rsid w:val="00D429AD"/>
    <w:rsid w:val="00D437CD"/>
    <w:rsid w:val="00D443C0"/>
    <w:rsid w:val="00D44693"/>
    <w:rsid w:val="00D45048"/>
    <w:rsid w:val="00D47896"/>
    <w:rsid w:val="00D5391B"/>
    <w:rsid w:val="00D556BB"/>
    <w:rsid w:val="00D56178"/>
    <w:rsid w:val="00D5635E"/>
    <w:rsid w:val="00D56CF0"/>
    <w:rsid w:val="00D56F5C"/>
    <w:rsid w:val="00D60337"/>
    <w:rsid w:val="00D63D6C"/>
    <w:rsid w:val="00D63DFE"/>
    <w:rsid w:val="00D652AB"/>
    <w:rsid w:val="00D65EEE"/>
    <w:rsid w:val="00D672C5"/>
    <w:rsid w:val="00D704B1"/>
    <w:rsid w:val="00D709B8"/>
    <w:rsid w:val="00D70B63"/>
    <w:rsid w:val="00D72B92"/>
    <w:rsid w:val="00D72ED4"/>
    <w:rsid w:val="00D73287"/>
    <w:rsid w:val="00D73F61"/>
    <w:rsid w:val="00D7467F"/>
    <w:rsid w:val="00D74AFB"/>
    <w:rsid w:val="00D754C0"/>
    <w:rsid w:val="00D776A2"/>
    <w:rsid w:val="00D77C98"/>
    <w:rsid w:val="00D801C4"/>
    <w:rsid w:val="00D80862"/>
    <w:rsid w:val="00D81D8D"/>
    <w:rsid w:val="00D84CC9"/>
    <w:rsid w:val="00D84CD8"/>
    <w:rsid w:val="00D90836"/>
    <w:rsid w:val="00D92142"/>
    <w:rsid w:val="00D937DD"/>
    <w:rsid w:val="00D9384E"/>
    <w:rsid w:val="00D9531F"/>
    <w:rsid w:val="00D95896"/>
    <w:rsid w:val="00D95CC6"/>
    <w:rsid w:val="00DA11B7"/>
    <w:rsid w:val="00DA1E89"/>
    <w:rsid w:val="00DA2DA3"/>
    <w:rsid w:val="00DA2E1B"/>
    <w:rsid w:val="00DA46D0"/>
    <w:rsid w:val="00DA48A9"/>
    <w:rsid w:val="00DA6615"/>
    <w:rsid w:val="00DA716D"/>
    <w:rsid w:val="00DA76AE"/>
    <w:rsid w:val="00DB135C"/>
    <w:rsid w:val="00DB181E"/>
    <w:rsid w:val="00DB1917"/>
    <w:rsid w:val="00DB1C7A"/>
    <w:rsid w:val="00DB2983"/>
    <w:rsid w:val="00DB343D"/>
    <w:rsid w:val="00DB41DD"/>
    <w:rsid w:val="00DB4C84"/>
    <w:rsid w:val="00DB5579"/>
    <w:rsid w:val="00DB5CFE"/>
    <w:rsid w:val="00DB6503"/>
    <w:rsid w:val="00DB787F"/>
    <w:rsid w:val="00DC208E"/>
    <w:rsid w:val="00DC2307"/>
    <w:rsid w:val="00DC26B8"/>
    <w:rsid w:val="00DC2747"/>
    <w:rsid w:val="00DC28D5"/>
    <w:rsid w:val="00DC3C4A"/>
    <w:rsid w:val="00DC4798"/>
    <w:rsid w:val="00DC6CF2"/>
    <w:rsid w:val="00DC72A6"/>
    <w:rsid w:val="00DD0066"/>
    <w:rsid w:val="00DD2113"/>
    <w:rsid w:val="00DD265E"/>
    <w:rsid w:val="00DD435E"/>
    <w:rsid w:val="00DD4788"/>
    <w:rsid w:val="00DD482C"/>
    <w:rsid w:val="00DD52B0"/>
    <w:rsid w:val="00DD5C63"/>
    <w:rsid w:val="00DD5E50"/>
    <w:rsid w:val="00DD732F"/>
    <w:rsid w:val="00DD7434"/>
    <w:rsid w:val="00DD7485"/>
    <w:rsid w:val="00DE08F7"/>
    <w:rsid w:val="00DE0982"/>
    <w:rsid w:val="00DE329E"/>
    <w:rsid w:val="00DE381B"/>
    <w:rsid w:val="00DE4AA0"/>
    <w:rsid w:val="00DE5500"/>
    <w:rsid w:val="00DE7641"/>
    <w:rsid w:val="00DF06AF"/>
    <w:rsid w:val="00DF1930"/>
    <w:rsid w:val="00DF1956"/>
    <w:rsid w:val="00DF514A"/>
    <w:rsid w:val="00DF530C"/>
    <w:rsid w:val="00DF5AF9"/>
    <w:rsid w:val="00DF60B1"/>
    <w:rsid w:val="00DF6E92"/>
    <w:rsid w:val="00E0220A"/>
    <w:rsid w:val="00E02777"/>
    <w:rsid w:val="00E02B93"/>
    <w:rsid w:val="00E0358D"/>
    <w:rsid w:val="00E04B61"/>
    <w:rsid w:val="00E04CAE"/>
    <w:rsid w:val="00E04EFC"/>
    <w:rsid w:val="00E05363"/>
    <w:rsid w:val="00E054B2"/>
    <w:rsid w:val="00E06327"/>
    <w:rsid w:val="00E06D9B"/>
    <w:rsid w:val="00E0776D"/>
    <w:rsid w:val="00E104DB"/>
    <w:rsid w:val="00E107A4"/>
    <w:rsid w:val="00E118A0"/>
    <w:rsid w:val="00E12A25"/>
    <w:rsid w:val="00E1493E"/>
    <w:rsid w:val="00E15780"/>
    <w:rsid w:val="00E16850"/>
    <w:rsid w:val="00E2064B"/>
    <w:rsid w:val="00E20ADA"/>
    <w:rsid w:val="00E20EB3"/>
    <w:rsid w:val="00E21481"/>
    <w:rsid w:val="00E25239"/>
    <w:rsid w:val="00E265B1"/>
    <w:rsid w:val="00E2672A"/>
    <w:rsid w:val="00E275B0"/>
    <w:rsid w:val="00E30BE5"/>
    <w:rsid w:val="00E31B26"/>
    <w:rsid w:val="00E31F7D"/>
    <w:rsid w:val="00E3705A"/>
    <w:rsid w:val="00E37ACC"/>
    <w:rsid w:val="00E37E1B"/>
    <w:rsid w:val="00E40B25"/>
    <w:rsid w:val="00E412B2"/>
    <w:rsid w:val="00E412D0"/>
    <w:rsid w:val="00E437C5"/>
    <w:rsid w:val="00E4529D"/>
    <w:rsid w:val="00E455A1"/>
    <w:rsid w:val="00E45712"/>
    <w:rsid w:val="00E45C97"/>
    <w:rsid w:val="00E47375"/>
    <w:rsid w:val="00E47559"/>
    <w:rsid w:val="00E47CDB"/>
    <w:rsid w:val="00E47CFC"/>
    <w:rsid w:val="00E503C3"/>
    <w:rsid w:val="00E51F76"/>
    <w:rsid w:val="00E521E8"/>
    <w:rsid w:val="00E5520A"/>
    <w:rsid w:val="00E566BC"/>
    <w:rsid w:val="00E56E33"/>
    <w:rsid w:val="00E57B84"/>
    <w:rsid w:val="00E57E5A"/>
    <w:rsid w:val="00E60982"/>
    <w:rsid w:val="00E60C68"/>
    <w:rsid w:val="00E60C8D"/>
    <w:rsid w:val="00E6162F"/>
    <w:rsid w:val="00E630F0"/>
    <w:rsid w:val="00E6311B"/>
    <w:rsid w:val="00E65D97"/>
    <w:rsid w:val="00E66F20"/>
    <w:rsid w:val="00E67961"/>
    <w:rsid w:val="00E67D82"/>
    <w:rsid w:val="00E67EFD"/>
    <w:rsid w:val="00E702DC"/>
    <w:rsid w:val="00E70BAA"/>
    <w:rsid w:val="00E71FFB"/>
    <w:rsid w:val="00E72347"/>
    <w:rsid w:val="00E74383"/>
    <w:rsid w:val="00E75929"/>
    <w:rsid w:val="00E76D1D"/>
    <w:rsid w:val="00E77DC8"/>
    <w:rsid w:val="00E77ECF"/>
    <w:rsid w:val="00E806F8"/>
    <w:rsid w:val="00E813A7"/>
    <w:rsid w:val="00E833DC"/>
    <w:rsid w:val="00E83D37"/>
    <w:rsid w:val="00E84053"/>
    <w:rsid w:val="00E8428A"/>
    <w:rsid w:val="00E84814"/>
    <w:rsid w:val="00E85C91"/>
    <w:rsid w:val="00E8758D"/>
    <w:rsid w:val="00E87752"/>
    <w:rsid w:val="00E8784E"/>
    <w:rsid w:val="00E87913"/>
    <w:rsid w:val="00E8793B"/>
    <w:rsid w:val="00E90F81"/>
    <w:rsid w:val="00E91452"/>
    <w:rsid w:val="00E91A6D"/>
    <w:rsid w:val="00E9242D"/>
    <w:rsid w:val="00E93034"/>
    <w:rsid w:val="00E94F59"/>
    <w:rsid w:val="00E97C1D"/>
    <w:rsid w:val="00EA28C7"/>
    <w:rsid w:val="00EA421A"/>
    <w:rsid w:val="00EA5232"/>
    <w:rsid w:val="00EB041C"/>
    <w:rsid w:val="00EB0E9A"/>
    <w:rsid w:val="00EB1BBE"/>
    <w:rsid w:val="00EB230B"/>
    <w:rsid w:val="00EB31E6"/>
    <w:rsid w:val="00EB52FA"/>
    <w:rsid w:val="00EB6733"/>
    <w:rsid w:val="00EC4025"/>
    <w:rsid w:val="00EC4B3D"/>
    <w:rsid w:val="00EC5874"/>
    <w:rsid w:val="00EC6AC7"/>
    <w:rsid w:val="00EC7258"/>
    <w:rsid w:val="00ED02CC"/>
    <w:rsid w:val="00ED02E2"/>
    <w:rsid w:val="00ED192D"/>
    <w:rsid w:val="00ED30B4"/>
    <w:rsid w:val="00ED31F5"/>
    <w:rsid w:val="00ED3890"/>
    <w:rsid w:val="00ED3E1B"/>
    <w:rsid w:val="00ED4937"/>
    <w:rsid w:val="00ED6026"/>
    <w:rsid w:val="00ED638D"/>
    <w:rsid w:val="00ED74C1"/>
    <w:rsid w:val="00ED7AB3"/>
    <w:rsid w:val="00EE45A4"/>
    <w:rsid w:val="00EE7210"/>
    <w:rsid w:val="00EF1F5F"/>
    <w:rsid w:val="00EF2759"/>
    <w:rsid w:val="00EF3D09"/>
    <w:rsid w:val="00EF4475"/>
    <w:rsid w:val="00EF45EB"/>
    <w:rsid w:val="00EF5099"/>
    <w:rsid w:val="00EF523A"/>
    <w:rsid w:val="00EF5E33"/>
    <w:rsid w:val="00EF75FA"/>
    <w:rsid w:val="00EF7BFE"/>
    <w:rsid w:val="00F00075"/>
    <w:rsid w:val="00F003DF"/>
    <w:rsid w:val="00F0090A"/>
    <w:rsid w:val="00F01A8E"/>
    <w:rsid w:val="00F05080"/>
    <w:rsid w:val="00F07822"/>
    <w:rsid w:val="00F11E23"/>
    <w:rsid w:val="00F13F35"/>
    <w:rsid w:val="00F140AD"/>
    <w:rsid w:val="00F155EB"/>
    <w:rsid w:val="00F15C95"/>
    <w:rsid w:val="00F16D8D"/>
    <w:rsid w:val="00F17E7D"/>
    <w:rsid w:val="00F22956"/>
    <w:rsid w:val="00F22985"/>
    <w:rsid w:val="00F22DE2"/>
    <w:rsid w:val="00F241AB"/>
    <w:rsid w:val="00F31382"/>
    <w:rsid w:val="00F31731"/>
    <w:rsid w:val="00F34014"/>
    <w:rsid w:val="00F342BC"/>
    <w:rsid w:val="00F35695"/>
    <w:rsid w:val="00F35829"/>
    <w:rsid w:val="00F35DCB"/>
    <w:rsid w:val="00F36366"/>
    <w:rsid w:val="00F42868"/>
    <w:rsid w:val="00F42D99"/>
    <w:rsid w:val="00F465A7"/>
    <w:rsid w:val="00F466F0"/>
    <w:rsid w:val="00F4760D"/>
    <w:rsid w:val="00F50B7C"/>
    <w:rsid w:val="00F5202D"/>
    <w:rsid w:val="00F52CF6"/>
    <w:rsid w:val="00F54496"/>
    <w:rsid w:val="00F6021C"/>
    <w:rsid w:val="00F61097"/>
    <w:rsid w:val="00F6331F"/>
    <w:rsid w:val="00F715B4"/>
    <w:rsid w:val="00F7236A"/>
    <w:rsid w:val="00F7373E"/>
    <w:rsid w:val="00F74345"/>
    <w:rsid w:val="00F74441"/>
    <w:rsid w:val="00F747DC"/>
    <w:rsid w:val="00F74B57"/>
    <w:rsid w:val="00F77F30"/>
    <w:rsid w:val="00F800DA"/>
    <w:rsid w:val="00F80CEE"/>
    <w:rsid w:val="00F82589"/>
    <w:rsid w:val="00F82695"/>
    <w:rsid w:val="00F82B19"/>
    <w:rsid w:val="00F83058"/>
    <w:rsid w:val="00F85050"/>
    <w:rsid w:val="00F876F5"/>
    <w:rsid w:val="00F87EB1"/>
    <w:rsid w:val="00F907F1"/>
    <w:rsid w:val="00F90AA7"/>
    <w:rsid w:val="00F9212D"/>
    <w:rsid w:val="00F93476"/>
    <w:rsid w:val="00F937BD"/>
    <w:rsid w:val="00F949A9"/>
    <w:rsid w:val="00F9782A"/>
    <w:rsid w:val="00F979E6"/>
    <w:rsid w:val="00FA08EA"/>
    <w:rsid w:val="00FA19E5"/>
    <w:rsid w:val="00FA250A"/>
    <w:rsid w:val="00FA287D"/>
    <w:rsid w:val="00FA301A"/>
    <w:rsid w:val="00FA33A6"/>
    <w:rsid w:val="00FA3531"/>
    <w:rsid w:val="00FA406A"/>
    <w:rsid w:val="00FA48BE"/>
    <w:rsid w:val="00FA4CE9"/>
    <w:rsid w:val="00FA5CB6"/>
    <w:rsid w:val="00FA7C6D"/>
    <w:rsid w:val="00FB3482"/>
    <w:rsid w:val="00FB38BC"/>
    <w:rsid w:val="00FB5530"/>
    <w:rsid w:val="00FB6A14"/>
    <w:rsid w:val="00FB6D2A"/>
    <w:rsid w:val="00FB7EF1"/>
    <w:rsid w:val="00FC1373"/>
    <w:rsid w:val="00FC14AD"/>
    <w:rsid w:val="00FC161D"/>
    <w:rsid w:val="00FC3D05"/>
    <w:rsid w:val="00FC40C9"/>
    <w:rsid w:val="00FC433E"/>
    <w:rsid w:val="00FC5382"/>
    <w:rsid w:val="00FC53F3"/>
    <w:rsid w:val="00FC5BBD"/>
    <w:rsid w:val="00FC5E0A"/>
    <w:rsid w:val="00FC66AC"/>
    <w:rsid w:val="00FC6ECD"/>
    <w:rsid w:val="00FD061F"/>
    <w:rsid w:val="00FD18F4"/>
    <w:rsid w:val="00FD1FE9"/>
    <w:rsid w:val="00FD2825"/>
    <w:rsid w:val="00FD2CD9"/>
    <w:rsid w:val="00FD2E36"/>
    <w:rsid w:val="00FD74B4"/>
    <w:rsid w:val="00FD76B2"/>
    <w:rsid w:val="00FD76E2"/>
    <w:rsid w:val="00FD7851"/>
    <w:rsid w:val="00FE1936"/>
    <w:rsid w:val="00FE2C39"/>
    <w:rsid w:val="00FE550D"/>
    <w:rsid w:val="00FE5A82"/>
    <w:rsid w:val="00FE68D8"/>
    <w:rsid w:val="00FE6E09"/>
    <w:rsid w:val="00FE7332"/>
    <w:rsid w:val="00FE738E"/>
    <w:rsid w:val="00FF0884"/>
    <w:rsid w:val="00FF1573"/>
    <w:rsid w:val="00FF2BF9"/>
    <w:rsid w:val="00FF3774"/>
    <w:rsid w:val="00FF3DCB"/>
    <w:rsid w:val="00FF4642"/>
    <w:rsid w:val="00FF46A6"/>
    <w:rsid w:val="00FF58DB"/>
    <w:rsid w:val="00FF61A8"/>
    <w:rsid w:val="00FF6FCE"/>
    <w:rsid w:val="00FF7518"/>
    <w:rsid w:val="00FF7FD8"/>
    <w:rsid w:val="01325A8F"/>
    <w:rsid w:val="015821CD"/>
    <w:rsid w:val="01652B2F"/>
    <w:rsid w:val="01814321"/>
    <w:rsid w:val="01840BB5"/>
    <w:rsid w:val="018A2598"/>
    <w:rsid w:val="01AE3368"/>
    <w:rsid w:val="01B841CE"/>
    <w:rsid w:val="01BA22B8"/>
    <w:rsid w:val="01C35D3E"/>
    <w:rsid w:val="01D46B46"/>
    <w:rsid w:val="020C0D2B"/>
    <w:rsid w:val="024737BC"/>
    <w:rsid w:val="02710956"/>
    <w:rsid w:val="029D1AD3"/>
    <w:rsid w:val="029E016E"/>
    <w:rsid w:val="02FD6493"/>
    <w:rsid w:val="030B388D"/>
    <w:rsid w:val="03100052"/>
    <w:rsid w:val="03250913"/>
    <w:rsid w:val="036D2DAF"/>
    <w:rsid w:val="03791F51"/>
    <w:rsid w:val="03CA6964"/>
    <w:rsid w:val="03D2580E"/>
    <w:rsid w:val="04097F02"/>
    <w:rsid w:val="04255A76"/>
    <w:rsid w:val="04472FCF"/>
    <w:rsid w:val="04603B11"/>
    <w:rsid w:val="048B33C9"/>
    <w:rsid w:val="04935CE7"/>
    <w:rsid w:val="04A91BBC"/>
    <w:rsid w:val="04AD3516"/>
    <w:rsid w:val="04CF7CD0"/>
    <w:rsid w:val="050B7BC1"/>
    <w:rsid w:val="052129A1"/>
    <w:rsid w:val="052247F0"/>
    <w:rsid w:val="053F6E04"/>
    <w:rsid w:val="05742AC8"/>
    <w:rsid w:val="05872CC9"/>
    <w:rsid w:val="058C6E17"/>
    <w:rsid w:val="05912076"/>
    <w:rsid w:val="05CE0012"/>
    <w:rsid w:val="05EF72B6"/>
    <w:rsid w:val="06007F0A"/>
    <w:rsid w:val="06352F05"/>
    <w:rsid w:val="063E7D85"/>
    <w:rsid w:val="06513081"/>
    <w:rsid w:val="068218BB"/>
    <w:rsid w:val="069468A4"/>
    <w:rsid w:val="06A927DF"/>
    <w:rsid w:val="06C55DD4"/>
    <w:rsid w:val="06CA0BB7"/>
    <w:rsid w:val="06E415DA"/>
    <w:rsid w:val="06E50BCF"/>
    <w:rsid w:val="07052B23"/>
    <w:rsid w:val="070875E0"/>
    <w:rsid w:val="07293586"/>
    <w:rsid w:val="07295285"/>
    <w:rsid w:val="07416327"/>
    <w:rsid w:val="074B1CC4"/>
    <w:rsid w:val="07770C56"/>
    <w:rsid w:val="077753AB"/>
    <w:rsid w:val="07D450B7"/>
    <w:rsid w:val="07F819D1"/>
    <w:rsid w:val="081B3A19"/>
    <w:rsid w:val="08337756"/>
    <w:rsid w:val="085714EB"/>
    <w:rsid w:val="08793B9B"/>
    <w:rsid w:val="088A61B1"/>
    <w:rsid w:val="08A748A3"/>
    <w:rsid w:val="08AE1E9F"/>
    <w:rsid w:val="08E474D4"/>
    <w:rsid w:val="08FF26FB"/>
    <w:rsid w:val="09000221"/>
    <w:rsid w:val="09197006"/>
    <w:rsid w:val="091D09BE"/>
    <w:rsid w:val="092217DD"/>
    <w:rsid w:val="093A7294"/>
    <w:rsid w:val="093E1725"/>
    <w:rsid w:val="09436B6C"/>
    <w:rsid w:val="09883572"/>
    <w:rsid w:val="0998366B"/>
    <w:rsid w:val="09CB44D3"/>
    <w:rsid w:val="09FD0DFD"/>
    <w:rsid w:val="0A362E60"/>
    <w:rsid w:val="0A381E37"/>
    <w:rsid w:val="0A4C5E14"/>
    <w:rsid w:val="0A570314"/>
    <w:rsid w:val="0A8670D2"/>
    <w:rsid w:val="0AB671DD"/>
    <w:rsid w:val="0AC01E9A"/>
    <w:rsid w:val="0AC4641E"/>
    <w:rsid w:val="0AF25902"/>
    <w:rsid w:val="0B0D6008"/>
    <w:rsid w:val="0B0E131B"/>
    <w:rsid w:val="0B113DED"/>
    <w:rsid w:val="0B3B6682"/>
    <w:rsid w:val="0B792C38"/>
    <w:rsid w:val="0B8D6ACF"/>
    <w:rsid w:val="0B955B9A"/>
    <w:rsid w:val="0B963AEC"/>
    <w:rsid w:val="0BA67416"/>
    <w:rsid w:val="0BCB0FBA"/>
    <w:rsid w:val="0BD27BF6"/>
    <w:rsid w:val="0BEE2322"/>
    <w:rsid w:val="0C232647"/>
    <w:rsid w:val="0C3E77CB"/>
    <w:rsid w:val="0C63115C"/>
    <w:rsid w:val="0C6C00A7"/>
    <w:rsid w:val="0C923042"/>
    <w:rsid w:val="0CB952B6"/>
    <w:rsid w:val="0CD36569"/>
    <w:rsid w:val="0CD46CA9"/>
    <w:rsid w:val="0CD72B89"/>
    <w:rsid w:val="0CDA1A87"/>
    <w:rsid w:val="0CFF34DF"/>
    <w:rsid w:val="0D0A43E8"/>
    <w:rsid w:val="0D156991"/>
    <w:rsid w:val="0D2C62DE"/>
    <w:rsid w:val="0D31711B"/>
    <w:rsid w:val="0D804797"/>
    <w:rsid w:val="0D8138C6"/>
    <w:rsid w:val="0D98330A"/>
    <w:rsid w:val="0DCF4D92"/>
    <w:rsid w:val="0E0A2F32"/>
    <w:rsid w:val="0E110D06"/>
    <w:rsid w:val="0EA0672E"/>
    <w:rsid w:val="0EA556A7"/>
    <w:rsid w:val="0ED9579C"/>
    <w:rsid w:val="0EDA433D"/>
    <w:rsid w:val="0EF146A7"/>
    <w:rsid w:val="0F136F00"/>
    <w:rsid w:val="0F13775A"/>
    <w:rsid w:val="0F1F38D3"/>
    <w:rsid w:val="0F36499C"/>
    <w:rsid w:val="0F416C8B"/>
    <w:rsid w:val="0F9A112B"/>
    <w:rsid w:val="0FAD318D"/>
    <w:rsid w:val="0FC11657"/>
    <w:rsid w:val="0FC14BAE"/>
    <w:rsid w:val="0FD13EBE"/>
    <w:rsid w:val="0FD20B97"/>
    <w:rsid w:val="0FDE143F"/>
    <w:rsid w:val="0FE708DB"/>
    <w:rsid w:val="1021564D"/>
    <w:rsid w:val="102854E8"/>
    <w:rsid w:val="103F1B00"/>
    <w:rsid w:val="10466E61"/>
    <w:rsid w:val="106D2F64"/>
    <w:rsid w:val="106F62D4"/>
    <w:rsid w:val="10733760"/>
    <w:rsid w:val="10744EF1"/>
    <w:rsid w:val="10A4718B"/>
    <w:rsid w:val="10B63710"/>
    <w:rsid w:val="110A4333"/>
    <w:rsid w:val="111C2F7A"/>
    <w:rsid w:val="113013DE"/>
    <w:rsid w:val="114C04A7"/>
    <w:rsid w:val="114E06C3"/>
    <w:rsid w:val="11853D3E"/>
    <w:rsid w:val="118C0B72"/>
    <w:rsid w:val="11BC2DDF"/>
    <w:rsid w:val="11DD5F37"/>
    <w:rsid w:val="11F76665"/>
    <w:rsid w:val="12246685"/>
    <w:rsid w:val="122A3566"/>
    <w:rsid w:val="122B06C2"/>
    <w:rsid w:val="129E2F84"/>
    <w:rsid w:val="129E553B"/>
    <w:rsid w:val="12BC165D"/>
    <w:rsid w:val="12CF1390"/>
    <w:rsid w:val="12DB4D5B"/>
    <w:rsid w:val="12E77DF8"/>
    <w:rsid w:val="12FC3D1C"/>
    <w:rsid w:val="13056E6A"/>
    <w:rsid w:val="1322220A"/>
    <w:rsid w:val="1356560D"/>
    <w:rsid w:val="137B2604"/>
    <w:rsid w:val="1383005A"/>
    <w:rsid w:val="13951726"/>
    <w:rsid w:val="13D125D7"/>
    <w:rsid w:val="141C6E34"/>
    <w:rsid w:val="14396509"/>
    <w:rsid w:val="1447165C"/>
    <w:rsid w:val="14587163"/>
    <w:rsid w:val="146A2E8A"/>
    <w:rsid w:val="14AE5274"/>
    <w:rsid w:val="14FE7D0A"/>
    <w:rsid w:val="150B2580"/>
    <w:rsid w:val="15B82ED9"/>
    <w:rsid w:val="15D553E2"/>
    <w:rsid w:val="15F64E85"/>
    <w:rsid w:val="15F96A74"/>
    <w:rsid w:val="1643333A"/>
    <w:rsid w:val="16504596"/>
    <w:rsid w:val="165559B8"/>
    <w:rsid w:val="16556617"/>
    <w:rsid w:val="167B7F3D"/>
    <w:rsid w:val="16872E8C"/>
    <w:rsid w:val="16BC7326"/>
    <w:rsid w:val="16C77E18"/>
    <w:rsid w:val="16D1595C"/>
    <w:rsid w:val="172D64A6"/>
    <w:rsid w:val="17345B41"/>
    <w:rsid w:val="173C4B1A"/>
    <w:rsid w:val="175F75EE"/>
    <w:rsid w:val="17735226"/>
    <w:rsid w:val="17B9472A"/>
    <w:rsid w:val="17BB2CBE"/>
    <w:rsid w:val="17CE60BA"/>
    <w:rsid w:val="17D336D0"/>
    <w:rsid w:val="17E15CF4"/>
    <w:rsid w:val="17F27311"/>
    <w:rsid w:val="18377797"/>
    <w:rsid w:val="184B770B"/>
    <w:rsid w:val="18960842"/>
    <w:rsid w:val="18A252ED"/>
    <w:rsid w:val="18AC1CDC"/>
    <w:rsid w:val="18C33745"/>
    <w:rsid w:val="18EE0096"/>
    <w:rsid w:val="18F314B5"/>
    <w:rsid w:val="19123509"/>
    <w:rsid w:val="191D5EC2"/>
    <w:rsid w:val="193D5DEC"/>
    <w:rsid w:val="19404D95"/>
    <w:rsid w:val="197364FF"/>
    <w:rsid w:val="198D3D53"/>
    <w:rsid w:val="19A73CEB"/>
    <w:rsid w:val="19B4308D"/>
    <w:rsid w:val="19B72B7E"/>
    <w:rsid w:val="19BA09DD"/>
    <w:rsid w:val="19E219A9"/>
    <w:rsid w:val="19F17E3E"/>
    <w:rsid w:val="1A1C66C0"/>
    <w:rsid w:val="1A42393B"/>
    <w:rsid w:val="1A874D5B"/>
    <w:rsid w:val="1A9133CF"/>
    <w:rsid w:val="1A975C0F"/>
    <w:rsid w:val="1A9928ED"/>
    <w:rsid w:val="1B046F80"/>
    <w:rsid w:val="1B2772DC"/>
    <w:rsid w:val="1B2852C5"/>
    <w:rsid w:val="1B3267B5"/>
    <w:rsid w:val="1B355E64"/>
    <w:rsid w:val="1B664A48"/>
    <w:rsid w:val="1B686134"/>
    <w:rsid w:val="1BA013E4"/>
    <w:rsid w:val="1BA3357F"/>
    <w:rsid w:val="1BA36DC7"/>
    <w:rsid w:val="1BAE077A"/>
    <w:rsid w:val="1BB66110"/>
    <w:rsid w:val="1BC25DC8"/>
    <w:rsid w:val="1BCE0496"/>
    <w:rsid w:val="1BDC38F3"/>
    <w:rsid w:val="1BEF2AA3"/>
    <w:rsid w:val="1BF400B9"/>
    <w:rsid w:val="1C1A4926"/>
    <w:rsid w:val="1C2564C4"/>
    <w:rsid w:val="1C2F67FF"/>
    <w:rsid w:val="1C36422E"/>
    <w:rsid w:val="1C566E7F"/>
    <w:rsid w:val="1C5E7925"/>
    <w:rsid w:val="1C791147"/>
    <w:rsid w:val="1C887FC8"/>
    <w:rsid w:val="1C9A47BD"/>
    <w:rsid w:val="1CAA0778"/>
    <w:rsid w:val="1CAE2016"/>
    <w:rsid w:val="1CDA7AC0"/>
    <w:rsid w:val="1CEB1FF8"/>
    <w:rsid w:val="1D061E52"/>
    <w:rsid w:val="1D2C4EF6"/>
    <w:rsid w:val="1D4B067B"/>
    <w:rsid w:val="1D5C173A"/>
    <w:rsid w:val="1D5F6196"/>
    <w:rsid w:val="1D6132A5"/>
    <w:rsid w:val="1D8E56D5"/>
    <w:rsid w:val="1DFF7BBC"/>
    <w:rsid w:val="1E181BDB"/>
    <w:rsid w:val="1E22493A"/>
    <w:rsid w:val="1E2D340E"/>
    <w:rsid w:val="1E2E1C24"/>
    <w:rsid w:val="1E4D7207"/>
    <w:rsid w:val="1E7A43DA"/>
    <w:rsid w:val="1EB277FE"/>
    <w:rsid w:val="1EE47F71"/>
    <w:rsid w:val="1F330EF8"/>
    <w:rsid w:val="1F6D2ACC"/>
    <w:rsid w:val="1F9A0E17"/>
    <w:rsid w:val="1FBF5E68"/>
    <w:rsid w:val="1FD95BC7"/>
    <w:rsid w:val="1FE7539E"/>
    <w:rsid w:val="1FE81720"/>
    <w:rsid w:val="2027193B"/>
    <w:rsid w:val="205B03BF"/>
    <w:rsid w:val="20660F77"/>
    <w:rsid w:val="20740B35"/>
    <w:rsid w:val="208E0B23"/>
    <w:rsid w:val="208F45EA"/>
    <w:rsid w:val="20963CB8"/>
    <w:rsid w:val="20B07FB6"/>
    <w:rsid w:val="20D80E64"/>
    <w:rsid w:val="20EC5803"/>
    <w:rsid w:val="20F5069F"/>
    <w:rsid w:val="213B74B1"/>
    <w:rsid w:val="214062DA"/>
    <w:rsid w:val="214C732C"/>
    <w:rsid w:val="214F39A8"/>
    <w:rsid w:val="215A2310"/>
    <w:rsid w:val="21861B91"/>
    <w:rsid w:val="21BC3427"/>
    <w:rsid w:val="21DE318A"/>
    <w:rsid w:val="21EF5B80"/>
    <w:rsid w:val="21F76892"/>
    <w:rsid w:val="22576990"/>
    <w:rsid w:val="229C4EAB"/>
    <w:rsid w:val="22BD6F16"/>
    <w:rsid w:val="22C67236"/>
    <w:rsid w:val="23345F1E"/>
    <w:rsid w:val="23482F54"/>
    <w:rsid w:val="23566043"/>
    <w:rsid w:val="235B00E1"/>
    <w:rsid w:val="23713D9D"/>
    <w:rsid w:val="23856963"/>
    <w:rsid w:val="238C750F"/>
    <w:rsid w:val="23AA3203"/>
    <w:rsid w:val="23B56380"/>
    <w:rsid w:val="242958CE"/>
    <w:rsid w:val="243169A6"/>
    <w:rsid w:val="2443723A"/>
    <w:rsid w:val="244601C9"/>
    <w:rsid w:val="245A0A9E"/>
    <w:rsid w:val="245F009A"/>
    <w:rsid w:val="24650667"/>
    <w:rsid w:val="248C684D"/>
    <w:rsid w:val="24AB32DF"/>
    <w:rsid w:val="24F5112A"/>
    <w:rsid w:val="24F7089A"/>
    <w:rsid w:val="250F1AC0"/>
    <w:rsid w:val="25292B82"/>
    <w:rsid w:val="252D53FE"/>
    <w:rsid w:val="254070EF"/>
    <w:rsid w:val="254C3768"/>
    <w:rsid w:val="255B4D05"/>
    <w:rsid w:val="25AB3597"/>
    <w:rsid w:val="25BA194F"/>
    <w:rsid w:val="25C12A4E"/>
    <w:rsid w:val="25C97EC1"/>
    <w:rsid w:val="25EC2D81"/>
    <w:rsid w:val="25F012F0"/>
    <w:rsid w:val="25F64696"/>
    <w:rsid w:val="2605469A"/>
    <w:rsid w:val="261A4B22"/>
    <w:rsid w:val="263A5E5B"/>
    <w:rsid w:val="264528BD"/>
    <w:rsid w:val="265D3EA9"/>
    <w:rsid w:val="265E4AAD"/>
    <w:rsid w:val="269B42B1"/>
    <w:rsid w:val="26DC3C24"/>
    <w:rsid w:val="27182EAE"/>
    <w:rsid w:val="272555CB"/>
    <w:rsid w:val="27376C3F"/>
    <w:rsid w:val="273807F7"/>
    <w:rsid w:val="27406B3F"/>
    <w:rsid w:val="275A53B0"/>
    <w:rsid w:val="27633147"/>
    <w:rsid w:val="27BA6BDA"/>
    <w:rsid w:val="27C546B8"/>
    <w:rsid w:val="27C93C5B"/>
    <w:rsid w:val="27CC1EEA"/>
    <w:rsid w:val="27D15DD1"/>
    <w:rsid w:val="27F42C3B"/>
    <w:rsid w:val="286A6D1E"/>
    <w:rsid w:val="28A76295"/>
    <w:rsid w:val="28DB0637"/>
    <w:rsid w:val="28DE0127"/>
    <w:rsid w:val="28E97405"/>
    <w:rsid w:val="28ED036A"/>
    <w:rsid w:val="29206EB8"/>
    <w:rsid w:val="29262C2A"/>
    <w:rsid w:val="292C0E92"/>
    <w:rsid w:val="292F2E7A"/>
    <w:rsid w:val="29310257"/>
    <w:rsid w:val="293E0BC6"/>
    <w:rsid w:val="294A756A"/>
    <w:rsid w:val="29836B2B"/>
    <w:rsid w:val="298B3B92"/>
    <w:rsid w:val="29C32BB8"/>
    <w:rsid w:val="29C5514B"/>
    <w:rsid w:val="29E325E0"/>
    <w:rsid w:val="29E50BD8"/>
    <w:rsid w:val="29F44D4A"/>
    <w:rsid w:val="2A3B3FE3"/>
    <w:rsid w:val="2A452503"/>
    <w:rsid w:val="2A506E02"/>
    <w:rsid w:val="2A6E0388"/>
    <w:rsid w:val="2A7B152F"/>
    <w:rsid w:val="2A936297"/>
    <w:rsid w:val="2AA8488A"/>
    <w:rsid w:val="2ACD3FAF"/>
    <w:rsid w:val="2B151C05"/>
    <w:rsid w:val="2B2F5AA0"/>
    <w:rsid w:val="2B3C7681"/>
    <w:rsid w:val="2B6366AD"/>
    <w:rsid w:val="2B773E3F"/>
    <w:rsid w:val="2B856638"/>
    <w:rsid w:val="2B8C0182"/>
    <w:rsid w:val="2BA936A8"/>
    <w:rsid w:val="2BB37649"/>
    <w:rsid w:val="2BB71B63"/>
    <w:rsid w:val="2BC809DB"/>
    <w:rsid w:val="2BFE6AE3"/>
    <w:rsid w:val="2C11436F"/>
    <w:rsid w:val="2C267E1B"/>
    <w:rsid w:val="2C315A5A"/>
    <w:rsid w:val="2C6C4BD5"/>
    <w:rsid w:val="2CA55C6E"/>
    <w:rsid w:val="2CDA38A5"/>
    <w:rsid w:val="2CE46022"/>
    <w:rsid w:val="2CE73722"/>
    <w:rsid w:val="2D077487"/>
    <w:rsid w:val="2D281D80"/>
    <w:rsid w:val="2D490026"/>
    <w:rsid w:val="2D5938BF"/>
    <w:rsid w:val="2D9E56F5"/>
    <w:rsid w:val="2DC325EB"/>
    <w:rsid w:val="2DD13DB6"/>
    <w:rsid w:val="2DEE33F5"/>
    <w:rsid w:val="2DFE19B4"/>
    <w:rsid w:val="2E485CFC"/>
    <w:rsid w:val="2E4B55E7"/>
    <w:rsid w:val="2E667F96"/>
    <w:rsid w:val="2E7B39DE"/>
    <w:rsid w:val="2E7E11FB"/>
    <w:rsid w:val="2E8226AB"/>
    <w:rsid w:val="2E856AEE"/>
    <w:rsid w:val="2E9E6A61"/>
    <w:rsid w:val="2EE4431A"/>
    <w:rsid w:val="2EE82043"/>
    <w:rsid w:val="2F0E4B96"/>
    <w:rsid w:val="2F1B7042"/>
    <w:rsid w:val="2F3740ED"/>
    <w:rsid w:val="2F474F28"/>
    <w:rsid w:val="2F827A5E"/>
    <w:rsid w:val="2F832C79"/>
    <w:rsid w:val="2F8A6913"/>
    <w:rsid w:val="2F9C21A2"/>
    <w:rsid w:val="2FA13739"/>
    <w:rsid w:val="2FAA03E8"/>
    <w:rsid w:val="2FEC2A7B"/>
    <w:rsid w:val="2FEF2D58"/>
    <w:rsid w:val="2FFD5094"/>
    <w:rsid w:val="30174D65"/>
    <w:rsid w:val="30322561"/>
    <w:rsid w:val="30394D70"/>
    <w:rsid w:val="304154CB"/>
    <w:rsid w:val="30432CA9"/>
    <w:rsid w:val="30580BC9"/>
    <w:rsid w:val="308B0B94"/>
    <w:rsid w:val="30EB33E1"/>
    <w:rsid w:val="30FA1876"/>
    <w:rsid w:val="31103685"/>
    <w:rsid w:val="311E2ED7"/>
    <w:rsid w:val="31231901"/>
    <w:rsid w:val="314D0B3A"/>
    <w:rsid w:val="315C449C"/>
    <w:rsid w:val="31817949"/>
    <w:rsid w:val="31913241"/>
    <w:rsid w:val="31B82709"/>
    <w:rsid w:val="31CC5B06"/>
    <w:rsid w:val="31D06EBF"/>
    <w:rsid w:val="31E62731"/>
    <w:rsid w:val="31EA5447"/>
    <w:rsid w:val="31EF51D6"/>
    <w:rsid w:val="31F97D80"/>
    <w:rsid w:val="320F30FF"/>
    <w:rsid w:val="32267A64"/>
    <w:rsid w:val="32400B34"/>
    <w:rsid w:val="324441EF"/>
    <w:rsid w:val="324E146B"/>
    <w:rsid w:val="325A374F"/>
    <w:rsid w:val="325E0393"/>
    <w:rsid w:val="32786EF6"/>
    <w:rsid w:val="329D06A8"/>
    <w:rsid w:val="329E6876"/>
    <w:rsid w:val="329F4749"/>
    <w:rsid w:val="32A970D8"/>
    <w:rsid w:val="32AE5439"/>
    <w:rsid w:val="32C8375A"/>
    <w:rsid w:val="32E53E60"/>
    <w:rsid w:val="330662B0"/>
    <w:rsid w:val="331A75FE"/>
    <w:rsid w:val="333B5B1E"/>
    <w:rsid w:val="33502306"/>
    <w:rsid w:val="33677D24"/>
    <w:rsid w:val="33977131"/>
    <w:rsid w:val="33D934D4"/>
    <w:rsid w:val="33EE1571"/>
    <w:rsid w:val="33F94067"/>
    <w:rsid w:val="33FE2F6A"/>
    <w:rsid w:val="341E7629"/>
    <w:rsid w:val="34264730"/>
    <w:rsid w:val="342B11E4"/>
    <w:rsid w:val="343D57A7"/>
    <w:rsid w:val="34592D57"/>
    <w:rsid w:val="34733E19"/>
    <w:rsid w:val="34BB4D78"/>
    <w:rsid w:val="34CB7DC1"/>
    <w:rsid w:val="351D3D85"/>
    <w:rsid w:val="3550415A"/>
    <w:rsid w:val="357F2005"/>
    <w:rsid w:val="359D39F4"/>
    <w:rsid w:val="35BB35B3"/>
    <w:rsid w:val="36074A7F"/>
    <w:rsid w:val="361F615F"/>
    <w:rsid w:val="36483CE0"/>
    <w:rsid w:val="366556EE"/>
    <w:rsid w:val="368229E8"/>
    <w:rsid w:val="36923549"/>
    <w:rsid w:val="369F18F8"/>
    <w:rsid w:val="36B75FBF"/>
    <w:rsid w:val="36C73AA5"/>
    <w:rsid w:val="36FB4891"/>
    <w:rsid w:val="37106AFC"/>
    <w:rsid w:val="37184804"/>
    <w:rsid w:val="3721576A"/>
    <w:rsid w:val="373200AD"/>
    <w:rsid w:val="373D2DFA"/>
    <w:rsid w:val="37434BFF"/>
    <w:rsid w:val="37476621"/>
    <w:rsid w:val="377063EE"/>
    <w:rsid w:val="37893954"/>
    <w:rsid w:val="378E4AC6"/>
    <w:rsid w:val="378F003B"/>
    <w:rsid w:val="37B67EF6"/>
    <w:rsid w:val="37EE32D6"/>
    <w:rsid w:val="37F45271"/>
    <w:rsid w:val="38122BC8"/>
    <w:rsid w:val="381C3344"/>
    <w:rsid w:val="383B1045"/>
    <w:rsid w:val="38651505"/>
    <w:rsid w:val="38823C68"/>
    <w:rsid w:val="38881374"/>
    <w:rsid w:val="38A04C80"/>
    <w:rsid w:val="38BC48FF"/>
    <w:rsid w:val="38BE7EFE"/>
    <w:rsid w:val="38CD56B9"/>
    <w:rsid w:val="38F12CD3"/>
    <w:rsid w:val="38F94775"/>
    <w:rsid w:val="3929719C"/>
    <w:rsid w:val="392971ED"/>
    <w:rsid w:val="39616060"/>
    <w:rsid w:val="398268AC"/>
    <w:rsid w:val="39B042BE"/>
    <w:rsid w:val="39C31030"/>
    <w:rsid w:val="39C71211"/>
    <w:rsid w:val="39C944DB"/>
    <w:rsid w:val="39CC2AF9"/>
    <w:rsid w:val="3A296D28"/>
    <w:rsid w:val="3A2C5EF0"/>
    <w:rsid w:val="3A440C53"/>
    <w:rsid w:val="3A611CC0"/>
    <w:rsid w:val="3A7E7084"/>
    <w:rsid w:val="3A9D2CF5"/>
    <w:rsid w:val="3AB31AA7"/>
    <w:rsid w:val="3ABD5CA2"/>
    <w:rsid w:val="3AFE22CD"/>
    <w:rsid w:val="3B0532F1"/>
    <w:rsid w:val="3B060213"/>
    <w:rsid w:val="3B3763D1"/>
    <w:rsid w:val="3B5D1BBD"/>
    <w:rsid w:val="3B626AAB"/>
    <w:rsid w:val="3B762441"/>
    <w:rsid w:val="3B8F470D"/>
    <w:rsid w:val="3BA22C7E"/>
    <w:rsid w:val="3BB40CC9"/>
    <w:rsid w:val="3BBA3B64"/>
    <w:rsid w:val="3BFA1D99"/>
    <w:rsid w:val="3C1934F8"/>
    <w:rsid w:val="3C4D31A2"/>
    <w:rsid w:val="3C8E7C3E"/>
    <w:rsid w:val="3CAC611A"/>
    <w:rsid w:val="3CDA245A"/>
    <w:rsid w:val="3CEC7450"/>
    <w:rsid w:val="3CEE0A37"/>
    <w:rsid w:val="3CEF384F"/>
    <w:rsid w:val="3D124BBA"/>
    <w:rsid w:val="3D686F48"/>
    <w:rsid w:val="3D74650C"/>
    <w:rsid w:val="3DA4598A"/>
    <w:rsid w:val="3DA54918"/>
    <w:rsid w:val="3DC56D68"/>
    <w:rsid w:val="3DCC2243"/>
    <w:rsid w:val="3DD60F75"/>
    <w:rsid w:val="3E263B13"/>
    <w:rsid w:val="3E361608"/>
    <w:rsid w:val="3E3C17F0"/>
    <w:rsid w:val="3E40447C"/>
    <w:rsid w:val="3E4546F9"/>
    <w:rsid w:val="3E4707A5"/>
    <w:rsid w:val="3E4C6F8E"/>
    <w:rsid w:val="3E6A3D99"/>
    <w:rsid w:val="3E864749"/>
    <w:rsid w:val="3E961CD5"/>
    <w:rsid w:val="3E97766B"/>
    <w:rsid w:val="3E9A67C1"/>
    <w:rsid w:val="3EBE0A66"/>
    <w:rsid w:val="3EBE293B"/>
    <w:rsid w:val="3ECB2A96"/>
    <w:rsid w:val="3EF25FEC"/>
    <w:rsid w:val="3F056573"/>
    <w:rsid w:val="3F3978C1"/>
    <w:rsid w:val="3F4A7535"/>
    <w:rsid w:val="3F4A7C9B"/>
    <w:rsid w:val="3F660E74"/>
    <w:rsid w:val="3F9802DC"/>
    <w:rsid w:val="3FBD419A"/>
    <w:rsid w:val="405326C2"/>
    <w:rsid w:val="407A6407"/>
    <w:rsid w:val="408F72A1"/>
    <w:rsid w:val="40A96379"/>
    <w:rsid w:val="40B6544E"/>
    <w:rsid w:val="40E767FE"/>
    <w:rsid w:val="40F167F2"/>
    <w:rsid w:val="41175B2C"/>
    <w:rsid w:val="413B46F3"/>
    <w:rsid w:val="41412BA9"/>
    <w:rsid w:val="4153520E"/>
    <w:rsid w:val="415723CD"/>
    <w:rsid w:val="417F18ED"/>
    <w:rsid w:val="41812771"/>
    <w:rsid w:val="41886A2A"/>
    <w:rsid w:val="4192105F"/>
    <w:rsid w:val="41FB2B60"/>
    <w:rsid w:val="420C1409"/>
    <w:rsid w:val="42185851"/>
    <w:rsid w:val="423A3BCC"/>
    <w:rsid w:val="423C63AA"/>
    <w:rsid w:val="42814959"/>
    <w:rsid w:val="42BE193F"/>
    <w:rsid w:val="42F56E97"/>
    <w:rsid w:val="432A5FEB"/>
    <w:rsid w:val="432B6CC3"/>
    <w:rsid w:val="432D5199"/>
    <w:rsid w:val="433A6FE6"/>
    <w:rsid w:val="43416B84"/>
    <w:rsid w:val="4350713C"/>
    <w:rsid w:val="436653E0"/>
    <w:rsid w:val="43E17E8A"/>
    <w:rsid w:val="440F6F8F"/>
    <w:rsid w:val="44100D02"/>
    <w:rsid w:val="441E7954"/>
    <w:rsid w:val="44297ADF"/>
    <w:rsid w:val="443A04B0"/>
    <w:rsid w:val="44476EED"/>
    <w:rsid w:val="444C3D3F"/>
    <w:rsid w:val="4458493C"/>
    <w:rsid w:val="446142EB"/>
    <w:rsid w:val="44650F5C"/>
    <w:rsid w:val="44667C7E"/>
    <w:rsid w:val="446917BA"/>
    <w:rsid w:val="44776796"/>
    <w:rsid w:val="44AC23E3"/>
    <w:rsid w:val="44AC534E"/>
    <w:rsid w:val="44C45A7A"/>
    <w:rsid w:val="44C8412A"/>
    <w:rsid w:val="44CD14E0"/>
    <w:rsid w:val="44FE79AC"/>
    <w:rsid w:val="45287458"/>
    <w:rsid w:val="452939E9"/>
    <w:rsid w:val="45555C40"/>
    <w:rsid w:val="455C0E0C"/>
    <w:rsid w:val="45630354"/>
    <w:rsid w:val="457004A6"/>
    <w:rsid w:val="458946E9"/>
    <w:rsid w:val="45B65249"/>
    <w:rsid w:val="45C46ECE"/>
    <w:rsid w:val="45D20DDA"/>
    <w:rsid w:val="45FC3499"/>
    <w:rsid w:val="460A5C60"/>
    <w:rsid w:val="461B5D11"/>
    <w:rsid w:val="463E2142"/>
    <w:rsid w:val="464B2908"/>
    <w:rsid w:val="464E104B"/>
    <w:rsid w:val="4662784A"/>
    <w:rsid w:val="469814BD"/>
    <w:rsid w:val="46994768"/>
    <w:rsid w:val="46A741C1"/>
    <w:rsid w:val="46B9478E"/>
    <w:rsid w:val="46D955A7"/>
    <w:rsid w:val="46F81F5C"/>
    <w:rsid w:val="46F96A11"/>
    <w:rsid w:val="46FE3A16"/>
    <w:rsid w:val="47074257"/>
    <w:rsid w:val="47133957"/>
    <w:rsid w:val="47246761"/>
    <w:rsid w:val="474B6354"/>
    <w:rsid w:val="4757048D"/>
    <w:rsid w:val="47574ED5"/>
    <w:rsid w:val="47627C1A"/>
    <w:rsid w:val="47727F60"/>
    <w:rsid w:val="4779329E"/>
    <w:rsid w:val="47985EF4"/>
    <w:rsid w:val="47A07E0C"/>
    <w:rsid w:val="47A43FC8"/>
    <w:rsid w:val="47A95A58"/>
    <w:rsid w:val="47BE0940"/>
    <w:rsid w:val="47BF7B69"/>
    <w:rsid w:val="47C07683"/>
    <w:rsid w:val="47CC58C3"/>
    <w:rsid w:val="47DF2E01"/>
    <w:rsid w:val="47F04D72"/>
    <w:rsid w:val="47F24BFD"/>
    <w:rsid w:val="48013C69"/>
    <w:rsid w:val="4832149E"/>
    <w:rsid w:val="4854188E"/>
    <w:rsid w:val="486457A8"/>
    <w:rsid w:val="4870272E"/>
    <w:rsid w:val="487A69FC"/>
    <w:rsid w:val="487E032C"/>
    <w:rsid w:val="488A2AAD"/>
    <w:rsid w:val="48C6309C"/>
    <w:rsid w:val="48FF14B1"/>
    <w:rsid w:val="492C2E5D"/>
    <w:rsid w:val="49323576"/>
    <w:rsid w:val="496927CF"/>
    <w:rsid w:val="49741B10"/>
    <w:rsid w:val="497449C3"/>
    <w:rsid w:val="497F0713"/>
    <w:rsid w:val="49A93B2D"/>
    <w:rsid w:val="49D46CB0"/>
    <w:rsid w:val="49DC5B65"/>
    <w:rsid w:val="49DC7715"/>
    <w:rsid w:val="49E67643"/>
    <w:rsid w:val="49F36EFC"/>
    <w:rsid w:val="4A023139"/>
    <w:rsid w:val="4A2C6C47"/>
    <w:rsid w:val="4A455895"/>
    <w:rsid w:val="4A7B576F"/>
    <w:rsid w:val="4A972776"/>
    <w:rsid w:val="4AA9104F"/>
    <w:rsid w:val="4AC00E34"/>
    <w:rsid w:val="4AC30FB8"/>
    <w:rsid w:val="4ACA3627"/>
    <w:rsid w:val="4AF85313"/>
    <w:rsid w:val="4B1E5073"/>
    <w:rsid w:val="4B3D32D4"/>
    <w:rsid w:val="4B502367"/>
    <w:rsid w:val="4B51085D"/>
    <w:rsid w:val="4B5F335A"/>
    <w:rsid w:val="4B9F6E4A"/>
    <w:rsid w:val="4BA76882"/>
    <w:rsid w:val="4BB718E3"/>
    <w:rsid w:val="4BB97E25"/>
    <w:rsid w:val="4BC7595C"/>
    <w:rsid w:val="4BF203EA"/>
    <w:rsid w:val="4C2555A1"/>
    <w:rsid w:val="4C3434D6"/>
    <w:rsid w:val="4C343A36"/>
    <w:rsid w:val="4C4A0649"/>
    <w:rsid w:val="4C582666"/>
    <w:rsid w:val="4C7D362F"/>
    <w:rsid w:val="4C7F4A24"/>
    <w:rsid w:val="4C912C37"/>
    <w:rsid w:val="4CA40397"/>
    <w:rsid w:val="4CAA6C34"/>
    <w:rsid w:val="4CAC5CC3"/>
    <w:rsid w:val="4CE470D3"/>
    <w:rsid w:val="4CF03E01"/>
    <w:rsid w:val="4D0006FD"/>
    <w:rsid w:val="4D216835"/>
    <w:rsid w:val="4D35008D"/>
    <w:rsid w:val="4D477799"/>
    <w:rsid w:val="4D4B0133"/>
    <w:rsid w:val="4D6E6AD0"/>
    <w:rsid w:val="4D844549"/>
    <w:rsid w:val="4DB56DF9"/>
    <w:rsid w:val="4DBD7A5B"/>
    <w:rsid w:val="4DEC4FB0"/>
    <w:rsid w:val="4E023D7D"/>
    <w:rsid w:val="4E075D8A"/>
    <w:rsid w:val="4E2146FA"/>
    <w:rsid w:val="4E3F66C2"/>
    <w:rsid w:val="4E654224"/>
    <w:rsid w:val="4E66332D"/>
    <w:rsid w:val="4E702CEE"/>
    <w:rsid w:val="4E720846"/>
    <w:rsid w:val="4E7735C7"/>
    <w:rsid w:val="4E7740AE"/>
    <w:rsid w:val="4E7A01FB"/>
    <w:rsid w:val="4E802F63"/>
    <w:rsid w:val="4F0A0D01"/>
    <w:rsid w:val="4F1D2EA8"/>
    <w:rsid w:val="4F4E175A"/>
    <w:rsid w:val="4F810D59"/>
    <w:rsid w:val="4F823DD9"/>
    <w:rsid w:val="4FC62A8C"/>
    <w:rsid w:val="4FCC21D8"/>
    <w:rsid w:val="4FE20F0D"/>
    <w:rsid w:val="4FEF2DE9"/>
    <w:rsid w:val="4FF55548"/>
    <w:rsid w:val="4FFA6D45"/>
    <w:rsid w:val="50046157"/>
    <w:rsid w:val="500C58F6"/>
    <w:rsid w:val="5023629C"/>
    <w:rsid w:val="50504C4B"/>
    <w:rsid w:val="50942CF5"/>
    <w:rsid w:val="50955F76"/>
    <w:rsid w:val="509C6E7C"/>
    <w:rsid w:val="50B51188"/>
    <w:rsid w:val="50BC7085"/>
    <w:rsid w:val="50C66732"/>
    <w:rsid w:val="50D146CF"/>
    <w:rsid w:val="50FA0EA6"/>
    <w:rsid w:val="51071A2A"/>
    <w:rsid w:val="511818F3"/>
    <w:rsid w:val="5126587F"/>
    <w:rsid w:val="512D51C5"/>
    <w:rsid w:val="51394A0A"/>
    <w:rsid w:val="514209A3"/>
    <w:rsid w:val="514B3CFC"/>
    <w:rsid w:val="5162104E"/>
    <w:rsid w:val="516C46AD"/>
    <w:rsid w:val="516E106E"/>
    <w:rsid w:val="516E231F"/>
    <w:rsid w:val="51893F87"/>
    <w:rsid w:val="51A045F7"/>
    <w:rsid w:val="51AC3A71"/>
    <w:rsid w:val="51B11230"/>
    <w:rsid w:val="51D5415B"/>
    <w:rsid w:val="51D666DC"/>
    <w:rsid w:val="51D73D40"/>
    <w:rsid w:val="51DC025A"/>
    <w:rsid w:val="51E11F6A"/>
    <w:rsid w:val="520C617A"/>
    <w:rsid w:val="524904A8"/>
    <w:rsid w:val="526E7BB5"/>
    <w:rsid w:val="5277467D"/>
    <w:rsid w:val="528F7C18"/>
    <w:rsid w:val="529F262B"/>
    <w:rsid w:val="52A216AC"/>
    <w:rsid w:val="52A31916"/>
    <w:rsid w:val="53316F22"/>
    <w:rsid w:val="5337169E"/>
    <w:rsid w:val="533D3F4E"/>
    <w:rsid w:val="5344505C"/>
    <w:rsid w:val="53642E53"/>
    <w:rsid w:val="53774413"/>
    <w:rsid w:val="53896CD2"/>
    <w:rsid w:val="53A039CC"/>
    <w:rsid w:val="53A1505A"/>
    <w:rsid w:val="53C127F5"/>
    <w:rsid w:val="53D13D3A"/>
    <w:rsid w:val="53EE2611"/>
    <w:rsid w:val="540462C3"/>
    <w:rsid w:val="54063E08"/>
    <w:rsid w:val="540707CF"/>
    <w:rsid w:val="542532B7"/>
    <w:rsid w:val="543064A7"/>
    <w:rsid w:val="543437E8"/>
    <w:rsid w:val="54463C22"/>
    <w:rsid w:val="54863837"/>
    <w:rsid w:val="54AB6C41"/>
    <w:rsid w:val="54C62F25"/>
    <w:rsid w:val="54E66A4D"/>
    <w:rsid w:val="54E7585C"/>
    <w:rsid w:val="54F777DA"/>
    <w:rsid w:val="55311B7F"/>
    <w:rsid w:val="556A618B"/>
    <w:rsid w:val="55785749"/>
    <w:rsid w:val="559B174B"/>
    <w:rsid w:val="55BD2CEE"/>
    <w:rsid w:val="55CA01B2"/>
    <w:rsid w:val="55CE0CF4"/>
    <w:rsid w:val="55D1633A"/>
    <w:rsid w:val="56216E32"/>
    <w:rsid w:val="562B40AB"/>
    <w:rsid w:val="56372AA1"/>
    <w:rsid w:val="563D4740"/>
    <w:rsid w:val="56426FAB"/>
    <w:rsid w:val="564C2D63"/>
    <w:rsid w:val="56752C70"/>
    <w:rsid w:val="567F1D52"/>
    <w:rsid w:val="56817600"/>
    <w:rsid w:val="56B22A9C"/>
    <w:rsid w:val="570A325B"/>
    <w:rsid w:val="57244914"/>
    <w:rsid w:val="57272B7C"/>
    <w:rsid w:val="572C1CCA"/>
    <w:rsid w:val="57413855"/>
    <w:rsid w:val="576D3AE3"/>
    <w:rsid w:val="577F0E49"/>
    <w:rsid w:val="578D16E6"/>
    <w:rsid w:val="5794182D"/>
    <w:rsid w:val="579A1556"/>
    <w:rsid w:val="57AF3A2D"/>
    <w:rsid w:val="57B72A76"/>
    <w:rsid w:val="57C132F7"/>
    <w:rsid w:val="57F74B16"/>
    <w:rsid w:val="580229E5"/>
    <w:rsid w:val="584C0606"/>
    <w:rsid w:val="585A16BE"/>
    <w:rsid w:val="58A20AB8"/>
    <w:rsid w:val="58BF0B2C"/>
    <w:rsid w:val="58CD149A"/>
    <w:rsid w:val="58DC5713"/>
    <w:rsid w:val="58DC79C9"/>
    <w:rsid w:val="58DF11CE"/>
    <w:rsid w:val="58F72073"/>
    <w:rsid w:val="59127A0C"/>
    <w:rsid w:val="592508DC"/>
    <w:rsid w:val="59255664"/>
    <w:rsid w:val="59264BC4"/>
    <w:rsid w:val="59655CBD"/>
    <w:rsid w:val="59E3084A"/>
    <w:rsid w:val="5A0709C0"/>
    <w:rsid w:val="5A193AD7"/>
    <w:rsid w:val="5A3C747D"/>
    <w:rsid w:val="5A7A29E2"/>
    <w:rsid w:val="5A975C70"/>
    <w:rsid w:val="5ABE2233"/>
    <w:rsid w:val="5AF30F60"/>
    <w:rsid w:val="5AF326CD"/>
    <w:rsid w:val="5B0D27EB"/>
    <w:rsid w:val="5B2353A2"/>
    <w:rsid w:val="5B270145"/>
    <w:rsid w:val="5B276D18"/>
    <w:rsid w:val="5B2B1989"/>
    <w:rsid w:val="5B6126AD"/>
    <w:rsid w:val="5B675CD6"/>
    <w:rsid w:val="5B9A056E"/>
    <w:rsid w:val="5BAF1E2C"/>
    <w:rsid w:val="5BD72670"/>
    <w:rsid w:val="5BDF5D95"/>
    <w:rsid w:val="5BEC7506"/>
    <w:rsid w:val="5BED16CF"/>
    <w:rsid w:val="5C093E95"/>
    <w:rsid w:val="5C1823D6"/>
    <w:rsid w:val="5C32404D"/>
    <w:rsid w:val="5C3F4001"/>
    <w:rsid w:val="5CA62B25"/>
    <w:rsid w:val="5CBE15E7"/>
    <w:rsid w:val="5CCC1072"/>
    <w:rsid w:val="5CFA40DB"/>
    <w:rsid w:val="5D0B5ED2"/>
    <w:rsid w:val="5D170190"/>
    <w:rsid w:val="5D3031BF"/>
    <w:rsid w:val="5D396B9B"/>
    <w:rsid w:val="5D4F626D"/>
    <w:rsid w:val="5D563A15"/>
    <w:rsid w:val="5D7F6ADB"/>
    <w:rsid w:val="5DD44371"/>
    <w:rsid w:val="5DE2505B"/>
    <w:rsid w:val="5DE36787"/>
    <w:rsid w:val="5DF87A0F"/>
    <w:rsid w:val="5E042D95"/>
    <w:rsid w:val="5E083939"/>
    <w:rsid w:val="5E0D40E7"/>
    <w:rsid w:val="5E1044C3"/>
    <w:rsid w:val="5E24657F"/>
    <w:rsid w:val="5E2B2B6A"/>
    <w:rsid w:val="5E40626B"/>
    <w:rsid w:val="5E652C1C"/>
    <w:rsid w:val="5EA60100"/>
    <w:rsid w:val="5EE70DDC"/>
    <w:rsid w:val="5EEA2DFC"/>
    <w:rsid w:val="5EFD4B36"/>
    <w:rsid w:val="5F0674B4"/>
    <w:rsid w:val="5F0C5D20"/>
    <w:rsid w:val="5F1A2B43"/>
    <w:rsid w:val="5F1D6A45"/>
    <w:rsid w:val="5F4571B2"/>
    <w:rsid w:val="5F4B1DFD"/>
    <w:rsid w:val="5F724B4A"/>
    <w:rsid w:val="5FAF1CA3"/>
    <w:rsid w:val="5FB837BB"/>
    <w:rsid w:val="5FC042F3"/>
    <w:rsid w:val="5FCA5312"/>
    <w:rsid w:val="602E193A"/>
    <w:rsid w:val="603774D9"/>
    <w:rsid w:val="60637D88"/>
    <w:rsid w:val="608D07D3"/>
    <w:rsid w:val="60951759"/>
    <w:rsid w:val="609D38A8"/>
    <w:rsid w:val="610A5A0A"/>
    <w:rsid w:val="61363955"/>
    <w:rsid w:val="61481242"/>
    <w:rsid w:val="614D4D6A"/>
    <w:rsid w:val="6166529A"/>
    <w:rsid w:val="616E49ED"/>
    <w:rsid w:val="616F43BF"/>
    <w:rsid w:val="61A05ADF"/>
    <w:rsid w:val="61BB51FD"/>
    <w:rsid w:val="61BC206B"/>
    <w:rsid w:val="61BF1FC4"/>
    <w:rsid w:val="620A3F0C"/>
    <w:rsid w:val="622E70A1"/>
    <w:rsid w:val="62364782"/>
    <w:rsid w:val="623D383E"/>
    <w:rsid w:val="623F6F9A"/>
    <w:rsid w:val="6277147B"/>
    <w:rsid w:val="628059D5"/>
    <w:rsid w:val="628C63BA"/>
    <w:rsid w:val="62A6057B"/>
    <w:rsid w:val="62C6230E"/>
    <w:rsid w:val="62D81F14"/>
    <w:rsid w:val="62E77A74"/>
    <w:rsid w:val="630263D7"/>
    <w:rsid w:val="631D2A4C"/>
    <w:rsid w:val="63240F67"/>
    <w:rsid w:val="63275050"/>
    <w:rsid w:val="632D5794"/>
    <w:rsid w:val="633D4B48"/>
    <w:rsid w:val="63661917"/>
    <w:rsid w:val="638A3ADA"/>
    <w:rsid w:val="638B4764"/>
    <w:rsid w:val="639E415F"/>
    <w:rsid w:val="63AF41FB"/>
    <w:rsid w:val="63B31717"/>
    <w:rsid w:val="63BC0004"/>
    <w:rsid w:val="63D40BE9"/>
    <w:rsid w:val="63E0211F"/>
    <w:rsid w:val="63FF0976"/>
    <w:rsid w:val="64103A36"/>
    <w:rsid w:val="64124205"/>
    <w:rsid w:val="642E6B65"/>
    <w:rsid w:val="6454481E"/>
    <w:rsid w:val="647E7E70"/>
    <w:rsid w:val="648C2404"/>
    <w:rsid w:val="64C85A75"/>
    <w:rsid w:val="64C96996"/>
    <w:rsid w:val="64E32914"/>
    <w:rsid w:val="64EB2AC4"/>
    <w:rsid w:val="6502427A"/>
    <w:rsid w:val="65261C89"/>
    <w:rsid w:val="652A4208"/>
    <w:rsid w:val="6535464F"/>
    <w:rsid w:val="65373578"/>
    <w:rsid w:val="654F4FE5"/>
    <w:rsid w:val="65781187"/>
    <w:rsid w:val="65904F54"/>
    <w:rsid w:val="65BB10E4"/>
    <w:rsid w:val="65C502FA"/>
    <w:rsid w:val="65F8742B"/>
    <w:rsid w:val="65FE0FE0"/>
    <w:rsid w:val="66326F9C"/>
    <w:rsid w:val="663E5BD5"/>
    <w:rsid w:val="66490F12"/>
    <w:rsid w:val="665948F7"/>
    <w:rsid w:val="666F1DE3"/>
    <w:rsid w:val="666F593F"/>
    <w:rsid w:val="66915BCA"/>
    <w:rsid w:val="66AE2B5D"/>
    <w:rsid w:val="66B96B1F"/>
    <w:rsid w:val="66BF3010"/>
    <w:rsid w:val="66C70B33"/>
    <w:rsid w:val="66EA1469"/>
    <w:rsid w:val="673F2C7A"/>
    <w:rsid w:val="6747066A"/>
    <w:rsid w:val="67B20BAC"/>
    <w:rsid w:val="67BA3A6B"/>
    <w:rsid w:val="67D23E18"/>
    <w:rsid w:val="67D968FC"/>
    <w:rsid w:val="680B0496"/>
    <w:rsid w:val="68120A4B"/>
    <w:rsid w:val="681E0008"/>
    <w:rsid w:val="681F6961"/>
    <w:rsid w:val="683F3A37"/>
    <w:rsid w:val="68610A2F"/>
    <w:rsid w:val="687731D1"/>
    <w:rsid w:val="68805514"/>
    <w:rsid w:val="68946CB0"/>
    <w:rsid w:val="68C500F6"/>
    <w:rsid w:val="690A08C6"/>
    <w:rsid w:val="694E2071"/>
    <w:rsid w:val="696560A1"/>
    <w:rsid w:val="69675D9E"/>
    <w:rsid w:val="697A3B33"/>
    <w:rsid w:val="69842CB6"/>
    <w:rsid w:val="699E2456"/>
    <w:rsid w:val="69A93106"/>
    <w:rsid w:val="69D83FB9"/>
    <w:rsid w:val="69DF4B8A"/>
    <w:rsid w:val="6A2922A9"/>
    <w:rsid w:val="6A312BA9"/>
    <w:rsid w:val="6A492BFA"/>
    <w:rsid w:val="6A7306CA"/>
    <w:rsid w:val="6A88688D"/>
    <w:rsid w:val="6AE12B83"/>
    <w:rsid w:val="6B040620"/>
    <w:rsid w:val="6B19231D"/>
    <w:rsid w:val="6B2525D8"/>
    <w:rsid w:val="6B322639"/>
    <w:rsid w:val="6B32716F"/>
    <w:rsid w:val="6B7632CC"/>
    <w:rsid w:val="6B8E63FE"/>
    <w:rsid w:val="6B9A26D1"/>
    <w:rsid w:val="6BA437DF"/>
    <w:rsid w:val="6BEE7306"/>
    <w:rsid w:val="6BFC7286"/>
    <w:rsid w:val="6C200D66"/>
    <w:rsid w:val="6C4E327A"/>
    <w:rsid w:val="6C6038DF"/>
    <w:rsid w:val="6C636C38"/>
    <w:rsid w:val="6C823EF2"/>
    <w:rsid w:val="6CB12C24"/>
    <w:rsid w:val="6CCD33BF"/>
    <w:rsid w:val="6CD86744"/>
    <w:rsid w:val="6CE6684F"/>
    <w:rsid w:val="6CF13047"/>
    <w:rsid w:val="6D290BDD"/>
    <w:rsid w:val="6D2D7E85"/>
    <w:rsid w:val="6D635AD2"/>
    <w:rsid w:val="6D6A59D6"/>
    <w:rsid w:val="6D707F53"/>
    <w:rsid w:val="6D711757"/>
    <w:rsid w:val="6D762FCE"/>
    <w:rsid w:val="6D7D64CF"/>
    <w:rsid w:val="6D83589D"/>
    <w:rsid w:val="6DB34098"/>
    <w:rsid w:val="6DB545B6"/>
    <w:rsid w:val="6DC27F7A"/>
    <w:rsid w:val="6DF10F35"/>
    <w:rsid w:val="6DF5610C"/>
    <w:rsid w:val="6E1C599D"/>
    <w:rsid w:val="6E4375A0"/>
    <w:rsid w:val="6E472A13"/>
    <w:rsid w:val="6E514CED"/>
    <w:rsid w:val="6E55366C"/>
    <w:rsid w:val="6E7449D1"/>
    <w:rsid w:val="6E79491A"/>
    <w:rsid w:val="6EB563D5"/>
    <w:rsid w:val="6ECD58F9"/>
    <w:rsid w:val="6EEC3FE5"/>
    <w:rsid w:val="6F013D03"/>
    <w:rsid w:val="6F225983"/>
    <w:rsid w:val="6F3978B7"/>
    <w:rsid w:val="6F467459"/>
    <w:rsid w:val="6F5157A5"/>
    <w:rsid w:val="6F5A1CBD"/>
    <w:rsid w:val="6F847106"/>
    <w:rsid w:val="6F8D5088"/>
    <w:rsid w:val="6F8E2B96"/>
    <w:rsid w:val="6F9D176F"/>
    <w:rsid w:val="6FA56875"/>
    <w:rsid w:val="6FB24AEE"/>
    <w:rsid w:val="6FD703C3"/>
    <w:rsid w:val="6FD81756"/>
    <w:rsid w:val="6FF0468F"/>
    <w:rsid w:val="6FFC5590"/>
    <w:rsid w:val="70293112"/>
    <w:rsid w:val="702948C2"/>
    <w:rsid w:val="70301DA3"/>
    <w:rsid w:val="70313F1E"/>
    <w:rsid w:val="706D1DD0"/>
    <w:rsid w:val="70791048"/>
    <w:rsid w:val="707A560C"/>
    <w:rsid w:val="707F054D"/>
    <w:rsid w:val="70856B87"/>
    <w:rsid w:val="70D527EE"/>
    <w:rsid w:val="70F7553D"/>
    <w:rsid w:val="70FC1ECE"/>
    <w:rsid w:val="71382F61"/>
    <w:rsid w:val="713C2C62"/>
    <w:rsid w:val="715B5300"/>
    <w:rsid w:val="715F4BD7"/>
    <w:rsid w:val="71866CC4"/>
    <w:rsid w:val="71A87F57"/>
    <w:rsid w:val="71C47513"/>
    <w:rsid w:val="71D27F8A"/>
    <w:rsid w:val="71F41601"/>
    <w:rsid w:val="71F744C6"/>
    <w:rsid w:val="71F960CF"/>
    <w:rsid w:val="71FE634A"/>
    <w:rsid w:val="726E4910"/>
    <w:rsid w:val="727F33AE"/>
    <w:rsid w:val="729E0D6B"/>
    <w:rsid w:val="72A20FE1"/>
    <w:rsid w:val="72A6661E"/>
    <w:rsid w:val="72B73A52"/>
    <w:rsid w:val="72D60AF4"/>
    <w:rsid w:val="72E2406D"/>
    <w:rsid w:val="72F378F8"/>
    <w:rsid w:val="731F5D5E"/>
    <w:rsid w:val="73426189"/>
    <w:rsid w:val="73645AF2"/>
    <w:rsid w:val="739803CF"/>
    <w:rsid w:val="73A330CC"/>
    <w:rsid w:val="73A8783F"/>
    <w:rsid w:val="73C70BA2"/>
    <w:rsid w:val="73EC5B71"/>
    <w:rsid w:val="73F27BAF"/>
    <w:rsid w:val="73F404FA"/>
    <w:rsid w:val="741E793C"/>
    <w:rsid w:val="74382034"/>
    <w:rsid w:val="747F58E7"/>
    <w:rsid w:val="7487479C"/>
    <w:rsid w:val="748A4EA4"/>
    <w:rsid w:val="748D4F7E"/>
    <w:rsid w:val="74A34824"/>
    <w:rsid w:val="74A41328"/>
    <w:rsid w:val="74BA691F"/>
    <w:rsid w:val="74DB0643"/>
    <w:rsid w:val="752B5A68"/>
    <w:rsid w:val="754A3B4F"/>
    <w:rsid w:val="758D75E2"/>
    <w:rsid w:val="758F6E2D"/>
    <w:rsid w:val="759078B1"/>
    <w:rsid w:val="75923838"/>
    <w:rsid w:val="75A26FC8"/>
    <w:rsid w:val="75C17839"/>
    <w:rsid w:val="75E07259"/>
    <w:rsid w:val="75F55735"/>
    <w:rsid w:val="75F75DC3"/>
    <w:rsid w:val="760A52B5"/>
    <w:rsid w:val="760C44C1"/>
    <w:rsid w:val="76193DF8"/>
    <w:rsid w:val="76222305"/>
    <w:rsid w:val="766820C9"/>
    <w:rsid w:val="76685904"/>
    <w:rsid w:val="76B35241"/>
    <w:rsid w:val="76CA19F2"/>
    <w:rsid w:val="76CF22A0"/>
    <w:rsid w:val="76DD4B47"/>
    <w:rsid w:val="7711033E"/>
    <w:rsid w:val="77122657"/>
    <w:rsid w:val="77214566"/>
    <w:rsid w:val="775C7894"/>
    <w:rsid w:val="77762421"/>
    <w:rsid w:val="77764653"/>
    <w:rsid w:val="77A56C97"/>
    <w:rsid w:val="77B6094B"/>
    <w:rsid w:val="77BD468F"/>
    <w:rsid w:val="77C47499"/>
    <w:rsid w:val="77D32CD4"/>
    <w:rsid w:val="77F13E57"/>
    <w:rsid w:val="77FA5285"/>
    <w:rsid w:val="77FC1658"/>
    <w:rsid w:val="780F09F4"/>
    <w:rsid w:val="781F1403"/>
    <w:rsid w:val="782D11B6"/>
    <w:rsid w:val="789C4F47"/>
    <w:rsid w:val="78A90480"/>
    <w:rsid w:val="78EA6CAB"/>
    <w:rsid w:val="792C4115"/>
    <w:rsid w:val="79363655"/>
    <w:rsid w:val="79400AC2"/>
    <w:rsid w:val="795A247F"/>
    <w:rsid w:val="79666F02"/>
    <w:rsid w:val="79757C02"/>
    <w:rsid w:val="79811327"/>
    <w:rsid w:val="79D34F95"/>
    <w:rsid w:val="79EF459A"/>
    <w:rsid w:val="79FD47FB"/>
    <w:rsid w:val="7A093CEA"/>
    <w:rsid w:val="7A0C3808"/>
    <w:rsid w:val="7A364017"/>
    <w:rsid w:val="7A4F0CCF"/>
    <w:rsid w:val="7A513544"/>
    <w:rsid w:val="7A73680B"/>
    <w:rsid w:val="7A8265E1"/>
    <w:rsid w:val="7A973537"/>
    <w:rsid w:val="7A98684E"/>
    <w:rsid w:val="7AC4424E"/>
    <w:rsid w:val="7ACA7E28"/>
    <w:rsid w:val="7ACE6409"/>
    <w:rsid w:val="7AFD05C2"/>
    <w:rsid w:val="7B0C77A9"/>
    <w:rsid w:val="7B195978"/>
    <w:rsid w:val="7B197C05"/>
    <w:rsid w:val="7B3D051E"/>
    <w:rsid w:val="7B6628DB"/>
    <w:rsid w:val="7B686D42"/>
    <w:rsid w:val="7B841746"/>
    <w:rsid w:val="7B890DF9"/>
    <w:rsid w:val="7B92484A"/>
    <w:rsid w:val="7BA23C69"/>
    <w:rsid w:val="7BBA1B9F"/>
    <w:rsid w:val="7BD865C1"/>
    <w:rsid w:val="7BE1477E"/>
    <w:rsid w:val="7BF37BB5"/>
    <w:rsid w:val="7BFD5343"/>
    <w:rsid w:val="7C39281F"/>
    <w:rsid w:val="7C516BDF"/>
    <w:rsid w:val="7C8168A2"/>
    <w:rsid w:val="7C821458"/>
    <w:rsid w:val="7C99506C"/>
    <w:rsid w:val="7D0239FF"/>
    <w:rsid w:val="7D103C29"/>
    <w:rsid w:val="7D11554A"/>
    <w:rsid w:val="7D4066EB"/>
    <w:rsid w:val="7D5E40CD"/>
    <w:rsid w:val="7D61358E"/>
    <w:rsid w:val="7D693BED"/>
    <w:rsid w:val="7D6E4856"/>
    <w:rsid w:val="7D8819B8"/>
    <w:rsid w:val="7D926908"/>
    <w:rsid w:val="7D962B26"/>
    <w:rsid w:val="7D993050"/>
    <w:rsid w:val="7DDF11A4"/>
    <w:rsid w:val="7DE56F3A"/>
    <w:rsid w:val="7DEB18F7"/>
    <w:rsid w:val="7E7142FF"/>
    <w:rsid w:val="7E9E29DE"/>
    <w:rsid w:val="7EB56E8F"/>
    <w:rsid w:val="7ED50D87"/>
    <w:rsid w:val="7F6C4A48"/>
    <w:rsid w:val="7F7D0C75"/>
    <w:rsid w:val="7F8F005C"/>
    <w:rsid w:val="7F904E5C"/>
    <w:rsid w:val="7FA04963"/>
    <w:rsid w:val="7FBA7CAC"/>
    <w:rsid w:val="7FE47E50"/>
    <w:rsid w:val="7FE74B3D"/>
    <w:rsid w:val="7FF16F6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iPriority="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qFormat="1" w:unhideWhenUsed="0" w:uiPriority="0" w:semiHidden="0" w:name="Salutation"/>
    <w:lsdException w:qFormat="1" w:unhideWhenUsed="0" w:uiPriority="0"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35"/>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4"/>
    <w:next w:val="1"/>
    <w:link w:val="36"/>
    <w:qFormat/>
    <w:locked/>
    <w:uiPriority w:val="0"/>
    <w:pPr>
      <w:keepNext/>
      <w:keepLines/>
      <w:spacing w:before="20" w:after="20" w:line="416" w:lineRule="auto"/>
      <w:ind w:left="431" w:hanging="431"/>
      <w:jc w:val="center"/>
      <w:outlineLvl w:val="1"/>
    </w:pPr>
    <w:rPr>
      <w:rFonts w:ascii="Cambria" w:hAnsi="Cambria" w:eastAsia="宋体"/>
      <w:sz w:val="21"/>
      <w:szCs w:val="32"/>
    </w:rPr>
  </w:style>
  <w:style w:type="paragraph" w:styleId="6">
    <w:name w:val="heading 3"/>
    <w:basedOn w:val="1"/>
    <w:next w:val="1"/>
    <w:link w:val="37"/>
    <w:qFormat/>
    <w:locked/>
    <w:uiPriority w:val="0"/>
    <w:pPr>
      <w:keepNext/>
      <w:keepLines/>
      <w:spacing w:before="260" w:after="260" w:line="416" w:lineRule="auto"/>
      <w:outlineLvl w:val="2"/>
    </w:pPr>
    <w:rPr>
      <w:b/>
      <w:bCs/>
      <w:sz w:val="32"/>
      <w:szCs w:val="32"/>
    </w:rPr>
  </w:style>
  <w:style w:type="paragraph" w:styleId="7">
    <w:name w:val="heading 5"/>
    <w:basedOn w:val="1"/>
    <w:next w:val="1"/>
    <w:qFormat/>
    <w:locked/>
    <w:uiPriority w:val="0"/>
    <w:pPr>
      <w:keepNext/>
      <w:tabs>
        <w:tab w:val="left" w:pos="360"/>
        <w:tab w:val="left" w:pos="1080"/>
      </w:tabs>
      <w:spacing w:line="480" w:lineRule="exact"/>
      <w:ind w:firstLine="60"/>
      <w:outlineLvl w:val="4"/>
    </w:pPr>
    <w:rPr>
      <w:rFonts w:ascii="宋体" w:hAnsi="宋体" w:eastAsia="宋体"/>
      <w:kern w:val="2"/>
      <w:sz w:val="28"/>
      <w:lang w:val="en-US" w:eastAsia="zh-CN" w:bidi="ar-SA"/>
    </w:rPr>
  </w:style>
  <w:style w:type="character" w:default="1" w:styleId="28">
    <w:name w:val="Default Paragraph Font"/>
    <w:semiHidden/>
    <w:qFormat/>
    <w:uiPriority w:val="0"/>
  </w:style>
  <w:style w:type="table" w:default="1" w:styleId="25">
    <w:name w:val="Normal Table"/>
    <w:semiHidden/>
    <w:qFormat/>
    <w:uiPriority w:val="0"/>
    <w:tblPr>
      <w:tblCellMar>
        <w:top w:w="0" w:type="dxa"/>
        <w:left w:w="108" w:type="dxa"/>
        <w:bottom w:w="0" w:type="dxa"/>
        <w:right w:w="108" w:type="dxa"/>
      </w:tblCellMar>
    </w:tblPr>
  </w:style>
  <w:style w:type="paragraph" w:styleId="2">
    <w:name w:val="Body Text First Indent"/>
    <w:basedOn w:val="3"/>
    <w:link w:val="49"/>
    <w:qFormat/>
    <w:uiPriority w:val="99"/>
    <w:pPr>
      <w:widowControl w:val="0"/>
      <w:snapToGrid/>
      <w:spacing w:before="0" w:after="120" w:line="240" w:lineRule="auto"/>
      <w:ind w:right="0" w:firstLine="420" w:firstLineChars="100"/>
    </w:pPr>
    <w:rPr>
      <w:kern w:val="2"/>
      <w:sz w:val="21"/>
      <w:szCs w:val="24"/>
    </w:rPr>
  </w:style>
  <w:style w:type="paragraph" w:styleId="3">
    <w:name w:val="Body Text"/>
    <w:basedOn w:val="1"/>
    <w:link w:val="39"/>
    <w:qFormat/>
    <w:uiPriority w:val="99"/>
    <w:pPr>
      <w:widowControl/>
      <w:snapToGrid w:val="0"/>
      <w:spacing w:before="60" w:after="160" w:line="259" w:lineRule="auto"/>
      <w:ind w:right="113"/>
    </w:pPr>
    <w:rPr>
      <w:kern w:val="0"/>
      <w:sz w:val="18"/>
      <w:szCs w:val="20"/>
    </w:rPr>
  </w:style>
  <w:style w:type="paragraph" w:styleId="8">
    <w:name w:val="table of authorities"/>
    <w:basedOn w:val="1"/>
    <w:next w:val="1"/>
    <w:qFormat/>
    <w:uiPriority w:val="0"/>
    <w:pPr>
      <w:ind w:left="420" w:leftChars="200"/>
    </w:pPr>
  </w:style>
  <w:style w:type="paragraph" w:styleId="9">
    <w:name w:val="Normal Indent"/>
    <w:basedOn w:val="1"/>
    <w:qFormat/>
    <w:uiPriority w:val="0"/>
    <w:pPr>
      <w:ind w:firstLine="420" w:firstLineChars="200"/>
    </w:pPr>
  </w:style>
  <w:style w:type="paragraph" w:styleId="10">
    <w:name w:val="annotation text"/>
    <w:basedOn w:val="1"/>
    <w:link w:val="38"/>
    <w:qFormat/>
    <w:uiPriority w:val="0"/>
    <w:pPr>
      <w:jc w:val="left"/>
    </w:pPr>
    <w:rPr>
      <w:kern w:val="0"/>
      <w:sz w:val="24"/>
      <w:szCs w:val="20"/>
    </w:rPr>
  </w:style>
  <w:style w:type="paragraph" w:styleId="11">
    <w:name w:val="Salutation"/>
    <w:basedOn w:val="1"/>
    <w:next w:val="1"/>
    <w:qFormat/>
    <w:uiPriority w:val="0"/>
  </w:style>
  <w:style w:type="paragraph" w:styleId="12">
    <w:name w:val="Body Text Indent"/>
    <w:basedOn w:val="1"/>
    <w:link w:val="40"/>
    <w:semiHidden/>
    <w:qFormat/>
    <w:uiPriority w:val="0"/>
    <w:pPr>
      <w:spacing w:after="120"/>
      <w:ind w:left="420" w:leftChars="200"/>
    </w:pPr>
  </w:style>
  <w:style w:type="paragraph" w:styleId="13">
    <w:name w:val="toc 3"/>
    <w:basedOn w:val="1"/>
    <w:next w:val="1"/>
    <w:qFormat/>
    <w:locked/>
    <w:uiPriority w:val="39"/>
    <w:pPr>
      <w:ind w:left="840" w:leftChars="400"/>
    </w:pPr>
  </w:style>
  <w:style w:type="paragraph" w:styleId="14">
    <w:name w:val="Plain Text"/>
    <w:basedOn w:val="1"/>
    <w:next w:val="11"/>
    <w:link w:val="41"/>
    <w:qFormat/>
    <w:uiPriority w:val="99"/>
    <w:rPr>
      <w:rFonts w:ascii="宋体" w:hAnsi="Courier New"/>
      <w:kern w:val="0"/>
      <w:sz w:val="20"/>
      <w:szCs w:val="21"/>
    </w:rPr>
  </w:style>
  <w:style w:type="paragraph" w:styleId="15">
    <w:name w:val="Date"/>
    <w:basedOn w:val="1"/>
    <w:next w:val="1"/>
    <w:link w:val="42"/>
    <w:qFormat/>
    <w:uiPriority w:val="0"/>
    <w:pPr>
      <w:ind w:left="100" w:leftChars="2500"/>
    </w:pPr>
    <w:rPr>
      <w:kern w:val="0"/>
      <w:sz w:val="24"/>
      <w:szCs w:val="20"/>
    </w:rPr>
  </w:style>
  <w:style w:type="paragraph" w:styleId="16">
    <w:name w:val="Balloon Text"/>
    <w:basedOn w:val="1"/>
    <w:link w:val="43"/>
    <w:semiHidden/>
    <w:qFormat/>
    <w:uiPriority w:val="0"/>
    <w:rPr>
      <w:sz w:val="18"/>
      <w:szCs w:val="18"/>
    </w:rPr>
  </w:style>
  <w:style w:type="paragraph" w:styleId="17">
    <w:name w:val="footer"/>
    <w:basedOn w:val="1"/>
    <w:next w:val="14"/>
    <w:link w:val="44"/>
    <w:qFormat/>
    <w:uiPriority w:val="99"/>
    <w:pPr>
      <w:tabs>
        <w:tab w:val="center" w:pos="4153"/>
        <w:tab w:val="right" w:pos="8306"/>
      </w:tabs>
      <w:snapToGrid w:val="0"/>
      <w:jc w:val="left"/>
    </w:pPr>
    <w:rPr>
      <w:sz w:val="18"/>
      <w:szCs w:val="18"/>
    </w:rPr>
  </w:style>
  <w:style w:type="paragraph" w:styleId="18">
    <w:name w:val="header"/>
    <w:basedOn w:val="1"/>
    <w:link w:val="45"/>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locked/>
    <w:uiPriority w:val="39"/>
  </w:style>
  <w:style w:type="paragraph" w:styleId="20">
    <w:name w:val="List"/>
    <w:basedOn w:val="1"/>
    <w:qFormat/>
    <w:uiPriority w:val="0"/>
    <w:pPr>
      <w:adjustRightInd/>
      <w:snapToGrid/>
      <w:spacing w:line="240" w:lineRule="auto"/>
      <w:ind w:left="200" w:hanging="200" w:hangingChars="200"/>
    </w:pPr>
    <w:rPr>
      <w:kern w:val="0"/>
      <w:szCs w:val="20"/>
    </w:rPr>
  </w:style>
  <w:style w:type="paragraph" w:styleId="21">
    <w:name w:val="toc 2"/>
    <w:basedOn w:val="1"/>
    <w:next w:val="1"/>
    <w:qFormat/>
    <w:locked/>
    <w:uiPriority w:val="39"/>
    <w:pPr>
      <w:ind w:left="420" w:leftChars="200"/>
    </w:pPr>
  </w:style>
  <w:style w:type="paragraph" w:styleId="22">
    <w:name w:val="Body Text 2"/>
    <w:basedOn w:val="1"/>
    <w:link w:val="46"/>
    <w:qFormat/>
    <w:uiPriority w:val="0"/>
    <w:pPr>
      <w:spacing w:after="120" w:line="480" w:lineRule="auto"/>
    </w:pPr>
  </w:style>
  <w:style w:type="paragraph" w:styleId="23">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10"/>
    <w:next w:val="10"/>
    <w:link w:val="48"/>
    <w:semiHidden/>
    <w:qFormat/>
    <w:uiPriority w:val="0"/>
    <w:rPr>
      <w:b/>
      <w:bCs/>
    </w:rPr>
  </w:style>
  <w:style w:type="table" w:styleId="26">
    <w:name w:val="Table Grid"/>
    <w:basedOn w:val="25"/>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7">
    <w:name w:val="Table Theme"/>
    <w:basedOn w:val="25"/>
    <w:qFormat/>
    <w:uiPriority w:val="0"/>
    <w:pPr>
      <w:widowControl w:val="0"/>
      <w:adjustRightInd w:val="0"/>
      <w:snapToGrid w:val="0"/>
      <w:jc w:val="both"/>
    </w:pPr>
    <w:tblPr>
      <w:jc w:val="center"/>
      <w:tblBorders>
        <w:top w:val="single" w:color="auto" w:sz="12" w:space="0"/>
        <w:bottom w:val="single" w:color="auto" w:sz="12" w:space="0"/>
        <w:insideH w:val="single" w:color="auto" w:sz="4" w:space="0"/>
        <w:insideV w:val="single" w:color="auto" w:sz="4" w:space="0"/>
      </w:tblBorders>
    </w:tblPr>
    <w:trPr>
      <w:jc w:val="center"/>
    </w:trPr>
  </w:style>
  <w:style w:type="character" w:styleId="29">
    <w:name w:val="Strong"/>
    <w:qFormat/>
    <w:locked/>
    <w:uiPriority w:val="0"/>
    <w:rPr>
      <w:b/>
    </w:rPr>
  </w:style>
  <w:style w:type="character" w:styleId="30">
    <w:name w:val="page number"/>
    <w:qFormat/>
    <w:uiPriority w:val="0"/>
  </w:style>
  <w:style w:type="character" w:styleId="31">
    <w:name w:val="FollowedHyperlink"/>
    <w:qFormat/>
    <w:uiPriority w:val="0"/>
    <w:rPr>
      <w:color w:val="333333"/>
      <w:u w:val="none"/>
    </w:rPr>
  </w:style>
  <w:style w:type="character" w:styleId="32">
    <w:name w:val="Hyperlink"/>
    <w:unhideWhenUsed/>
    <w:qFormat/>
    <w:uiPriority w:val="99"/>
    <w:rPr>
      <w:color w:val="333333"/>
      <w:u w:val="none"/>
    </w:rPr>
  </w:style>
  <w:style w:type="character" w:styleId="33">
    <w:name w:val="annotation reference"/>
    <w:basedOn w:val="28"/>
    <w:semiHidden/>
    <w:qFormat/>
    <w:uiPriority w:val="0"/>
    <w:rPr>
      <w:sz w:val="21"/>
    </w:rPr>
  </w:style>
  <w:style w:type="paragraph" w:customStyle="1" w:styleId="34">
    <w:name w:val="列出段落1"/>
    <w:basedOn w:val="1"/>
    <w:qFormat/>
    <w:uiPriority w:val="0"/>
    <w:pPr>
      <w:adjustRightInd/>
      <w:snapToGrid/>
      <w:spacing w:line="240" w:lineRule="auto"/>
      <w:ind w:firstLine="420"/>
    </w:pPr>
    <w:rPr>
      <w:rFonts w:ascii="宋体"/>
      <w:kern w:val="0"/>
      <w:szCs w:val="20"/>
    </w:rPr>
  </w:style>
  <w:style w:type="character" w:customStyle="1" w:styleId="35">
    <w:name w:val="标题 1 字符"/>
    <w:link w:val="4"/>
    <w:qFormat/>
    <w:uiPriority w:val="0"/>
    <w:rPr>
      <w:rFonts w:eastAsia="黑体"/>
      <w:b/>
      <w:bCs/>
      <w:color w:val="000000"/>
      <w:kern w:val="44"/>
      <w:sz w:val="30"/>
      <w:szCs w:val="30"/>
    </w:rPr>
  </w:style>
  <w:style w:type="character" w:customStyle="1" w:styleId="36">
    <w:name w:val="标题 2 字符"/>
    <w:link w:val="5"/>
    <w:qFormat/>
    <w:uiPriority w:val="0"/>
    <w:rPr>
      <w:rFonts w:ascii="Cambria" w:hAnsi="Cambria" w:eastAsia="宋体"/>
      <w:b/>
      <w:bCs/>
      <w:kern w:val="2"/>
      <w:sz w:val="21"/>
      <w:szCs w:val="32"/>
    </w:rPr>
  </w:style>
  <w:style w:type="character" w:customStyle="1" w:styleId="37">
    <w:name w:val="标题 3 字符"/>
    <w:link w:val="6"/>
    <w:qFormat/>
    <w:uiPriority w:val="0"/>
    <w:rPr>
      <w:b/>
      <w:bCs/>
      <w:kern w:val="2"/>
      <w:sz w:val="32"/>
      <w:szCs w:val="32"/>
    </w:rPr>
  </w:style>
  <w:style w:type="character" w:customStyle="1" w:styleId="38">
    <w:name w:val="批注文字 字符"/>
    <w:link w:val="10"/>
    <w:qFormat/>
    <w:locked/>
    <w:uiPriority w:val="0"/>
    <w:rPr>
      <w:rFonts w:ascii="Times New Roman" w:hAnsi="Times New Roman" w:eastAsia="宋体"/>
      <w:sz w:val="24"/>
    </w:rPr>
  </w:style>
  <w:style w:type="character" w:customStyle="1" w:styleId="39">
    <w:name w:val="正文文本 字符"/>
    <w:link w:val="3"/>
    <w:qFormat/>
    <w:locked/>
    <w:uiPriority w:val="99"/>
    <w:rPr>
      <w:sz w:val="18"/>
    </w:rPr>
  </w:style>
  <w:style w:type="character" w:customStyle="1" w:styleId="40">
    <w:name w:val="正文文本缩进 字符"/>
    <w:link w:val="12"/>
    <w:semiHidden/>
    <w:qFormat/>
    <w:locked/>
    <w:uiPriority w:val="0"/>
    <w:rPr>
      <w:rFonts w:ascii="Times New Roman" w:hAnsi="Times New Roman" w:eastAsia="宋体" w:cs="Times New Roman"/>
      <w:sz w:val="24"/>
      <w:szCs w:val="24"/>
    </w:rPr>
  </w:style>
  <w:style w:type="character" w:customStyle="1" w:styleId="41">
    <w:name w:val="纯文本 字符"/>
    <w:link w:val="14"/>
    <w:qFormat/>
    <w:uiPriority w:val="99"/>
    <w:rPr>
      <w:rFonts w:ascii="宋体" w:hAnsi="Courier New" w:cs="Courier New"/>
      <w:kern w:val="2"/>
      <w:sz w:val="21"/>
      <w:szCs w:val="21"/>
    </w:rPr>
  </w:style>
  <w:style w:type="character" w:customStyle="1" w:styleId="42">
    <w:name w:val="日期 字符1"/>
    <w:link w:val="15"/>
    <w:qFormat/>
    <w:locked/>
    <w:uiPriority w:val="0"/>
    <w:rPr>
      <w:rFonts w:ascii="Times New Roman" w:hAnsi="Times New Roman" w:eastAsia="宋体"/>
      <w:sz w:val="24"/>
    </w:rPr>
  </w:style>
  <w:style w:type="character" w:customStyle="1" w:styleId="43">
    <w:name w:val="批注框文本 字符"/>
    <w:link w:val="16"/>
    <w:semiHidden/>
    <w:qFormat/>
    <w:locked/>
    <w:uiPriority w:val="0"/>
    <w:rPr>
      <w:rFonts w:ascii="Times New Roman" w:hAnsi="Times New Roman" w:eastAsia="宋体" w:cs="Times New Roman"/>
      <w:sz w:val="18"/>
      <w:szCs w:val="18"/>
    </w:rPr>
  </w:style>
  <w:style w:type="character" w:customStyle="1" w:styleId="44">
    <w:name w:val="页脚 字符"/>
    <w:link w:val="17"/>
    <w:qFormat/>
    <w:locked/>
    <w:uiPriority w:val="99"/>
    <w:rPr>
      <w:rFonts w:cs="Times New Roman"/>
      <w:sz w:val="18"/>
      <w:szCs w:val="18"/>
    </w:rPr>
  </w:style>
  <w:style w:type="character" w:customStyle="1" w:styleId="45">
    <w:name w:val="页眉 字符"/>
    <w:link w:val="18"/>
    <w:qFormat/>
    <w:locked/>
    <w:uiPriority w:val="0"/>
    <w:rPr>
      <w:rFonts w:cs="Times New Roman"/>
      <w:sz w:val="18"/>
      <w:szCs w:val="18"/>
    </w:rPr>
  </w:style>
  <w:style w:type="character" w:customStyle="1" w:styleId="46">
    <w:name w:val="正文文本 2 字符"/>
    <w:link w:val="22"/>
    <w:qFormat/>
    <w:uiPriority w:val="0"/>
    <w:rPr>
      <w:kern w:val="2"/>
      <w:sz w:val="21"/>
      <w:szCs w:val="24"/>
    </w:rPr>
  </w:style>
  <w:style w:type="character" w:customStyle="1" w:styleId="47">
    <w:name w:val="普通(网站) 字符"/>
    <w:link w:val="23"/>
    <w:qFormat/>
    <w:locked/>
    <w:uiPriority w:val="0"/>
    <w:rPr>
      <w:rFonts w:ascii="宋体" w:hAnsi="宋体" w:eastAsia="宋体"/>
      <w:sz w:val="24"/>
    </w:rPr>
  </w:style>
  <w:style w:type="character" w:customStyle="1" w:styleId="48">
    <w:name w:val="批注主题 字符"/>
    <w:link w:val="24"/>
    <w:semiHidden/>
    <w:qFormat/>
    <w:locked/>
    <w:uiPriority w:val="0"/>
    <w:rPr>
      <w:rFonts w:cs="Times New Roman"/>
      <w:b/>
      <w:bCs/>
      <w:kern w:val="2"/>
      <w:szCs w:val="24"/>
    </w:rPr>
  </w:style>
  <w:style w:type="character" w:customStyle="1" w:styleId="49">
    <w:name w:val="正文首行缩进 字符"/>
    <w:link w:val="2"/>
    <w:qFormat/>
    <w:uiPriority w:val="0"/>
    <w:rPr>
      <w:kern w:val="2"/>
      <w:sz w:val="21"/>
      <w:szCs w:val="24"/>
    </w:rPr>
  </w:style>
  <w:style w:type="paragraph" w:customStyle="1" w:styleId="50">
    <w:name w:val="【正文】"/>
    <w:basedOn w:val="1"/>
    <w:link w:val="51"/>
    <w:qFormat/>
    <w:uiPriority w:val="0"/>
    <w:pPr>
      <w:autoSpaceDE w:val="0"/>
      <w:autoSpaceDN w:val="0"/>
      <w:adjustRightInd w:val="0"/>
      <w:snapToGrid w:val="0"/>
      <w:spacing w:line="360" w:lineRule="auto"/>
      <w:ind w:firstLine="464" w:firstLineChars="200"/>
    </w:pPr>
    <w:rPr>
      <w:kern w:val="0"/>
      <w:sz w:val="24"/>
    </w:rPr>
  </w:style>
  <w:style w:type="character" w:customStyle="1" w:styleId="51">
    <w:name w:val="【正文】 Char"/>
    <w:link w:val="50"/>
    <w:qFormat/>
    <w:uiPriority w:val="0"/>
    <w:rPr>
      <w:sz w:val="24"/>
      <w:szCs w:val="24"/>
    </w:rPr>
  </w:style>
  <w:style w:type="paragraph" w:customStyle="1" w:styleId="52">
    <w:name w:val="正文首行缩进1"/>
    <w:basedOn w:val="3"/>
    <w:next w:val="1"/>
    <w:qFormat/>
    <w:uiPriority w:val="99"/>
    <w:pPr>
      <w:widowControl w:val="0"/>
      <w:snapToGrid/>
      <w:spacing w:before="0" w:after="120" w:line="240" w:lineRule="auto"/>
      <w:ind w:right="0" w:firstLine="420" w:firstLineChars="100"/>
    </w:pPr>
    <w:rPr>
      <w:kern w:val="2"/>
      <w:sz w:val="21"/>
      <w:szCs w:val="24"/>
    </w:rPr>
  </w:style>
  <w:style w:type="character" w:customStyle="1" w:styleId="53">
    <w:name w:val="纯文本 Char1"/>
    <w:qFormat/>
    <w:uiPriority w:val="0"/>
    <w:rPr>
      <w:rFonts w:ascii="宋体" w:hAnsi="Courier New"/>
      <w:szCs w:val="21"/>
    </w:rPr>
  </w:style>
  <w:style w:type="character" w:customStyle="1" w:styleId="54">
    <w:name w:val="普通(网站) Char"/>
    <w:qFormat/>
    <w:locked/>
    <w:uiPriority w:val="0"/>
    <w:rPr>
      <w:rFonts w:ascii="宋体" w:hAnsi="宋体" w:eastAsia="宋体"/>
      <w:sz w:val="24"/>
    </w:rPr>
  </w:style>
  <w:style w:type="character" w:customStyle="1" w:styleId="55">
    <w:name w:val="正文首行缩进 Char"/>
    <w:qFormat/>
    <w:uiPriority w:val="0"/>
    <w:rPr>
      <w:kern w:val="2"/>
      <w:sz w:val="21"/>
      <w:szCs w:val="24"/>
    </w:rPr>
  </w:style>
  <w:style w:type="character" w:customStyle="1" w:styleId="56">
    <w:name w:val="Char Char Char Char Char11"/>
    <w:link w:val="57"/>
    <w:qFormat/>
    <w:locked/>
    <w:uiPriority w:val="0"/>
    <w:rPr>
      <w:kern w:val="2"/>
      <w:sz w:val="21"/>
      <w:szCs w:val="21"/>
    </w:rPr>
  </w:style>
  <w:style w:type="paragraph" w:customStyle="1" w:styleId="57">
    <w:name w:val="Char Char Char Char1"/>
    <w:basedOn w:val="1"/>
    <w:link w:val="56"/>
    <w:qFormat/>
    <w:uiPriority w:val="0"/>
    <w:pPr>
      <w:tabs>
        <w:tab w:val="left" w:pos="1080"/>
      </w:tabs>
      <w:jc w:val="left"/>
    </w:pPr>
    <w:rPr>
      <w:szCs w:val="21"/>
    </w:rPr>
  </w:style>
  <w:style w:type="character" w:customStyle="1" w:styleId="58">
    <w:name w:val="正文文本 字符1"/>
    <w:semiHidden/>
    <w:qFormat/>
    <w:uiPriority w:val="0"/>
    <w:rPr>
      <w:rFonts w:ascii="Times New Roman" w:hAnsi="Times New Roman" w:eastAsia="宋体" w:cs="Times New Roman"/>
      <w:sz w:val="24"/>
      <w:szCs w:val="24"/>
    </w:rPr>
  </w:style>
  <w:style w:type="character" w:customStyle="1" w:styleId="59">
    <w:name w:val="批注文字 字符1"/>
    <w:semiHidden/>
    <w:qFormat/>
    <w:uiPriority w:val="0"/>
    <w:rPr>
      <w:rFonts w:ascii="Times New Roman" w:hAnsi="Times New Roman" w:eastAsia="宋体" w:cs="Times New Roman"/>
      <w:sz w:val="24"/>
      <w:szCs w:val="24"/>
    </w:rPr>
  </w:style>
  <w:style w:type="character" w:customStyle="1" w:styleId="60">
    <w:name w:val="表1 Char"/>
    <w:link w:val="61"/>
    <w:qFormat/>
    <w:uiPriority w:val="0"/>
    <w:rPr>
      <w:rFonts w:eastAsia="Times New Roman"/>
      <w:lang w:val="en-US" w:eastAsia="zh-CN" w:bidi="ar-SA"/>
    </w:rPr>
  </w:style>
  <w:style w:type="paragraph" w:customStyle="1" w:styleId="61">
    <w:name w:val="表1"/>
    <w:next w:val="1"/>
    <w:link w:val="60"/>
    <w:qFormat/>
    <w:uiPriority w:val="0"/>
    <w:pPr>
      <w:adjustRightInd w:val="0"/>
      <w:snapToGrid w:val="0"/>
      <w:jc w:val="center"/>
    </w:pPr>
    <w:rPr>
      <w:rFonts w:ascii="Times New Roman" w:hAnsi="Times New Roman" w:eastAsia="Times New Roman" w:cs="Times New Roman"/>
      <w:lang w:val="en-US" w:eastAsia="zh-CN" w:bidi="ar-SA"/>
    </w:rPr>
  </w:style>
  <w:style w:type="character" w:customStyle="1" w:styleId="62">
    <w:name w:val="正文1 Char Char Char1"/>
    <w:link w:val="63"/>
    <w:qFormat/>
    <w:uiPriority w:val="0"/>
    <w:rPr>
      <w:rFonts w:eastAsia="仿宋_GB2312"/>
      <w:kern w:val="2"/>
      <w:sz w:val="30"/>
    </w:rPr>
  </w:style>
  <w:style w:type="paragraph" w:customStyle="1" w:styleId="63">
    <w:name w:val="正文1 Char Char"/>
    <w:basedOn w:val="1"/>
    <w:link w:val="62"/>
    <w:qFormat/>
    <w:uiPriority w:val="0"/>
    <w:pPr>
      <w:ind w:firstLine="200" w:firstLineChars="200"/>
    </w:pPr>
    <w:rPr>
      <w:rFonts w:eastAsia="仿宋_GB2312"/>
      <w:sz w:val="30"/>
      <w:szCs w:val="20"/>
    </w:rPr>
  </w:style>
  <w:style w:type="character" w:customStyle="1" w:styleId="64">
    <w:name w:val="报告书正文 Char"/>
    <w:link w:val="65"/>
    <w:qFormat/>
    <w:uiPriority w:val="0"/>
    <w:rPr>
      <w:rFonts w:ascii="Arial" w:hAnsi="Arial"/>
      <w:sz w:val="24"/>
      <w:szCs w:val="24"/>
    </w:rPr>
  </w:style>
  <w:style w:type="paragraph" w:customStyle="1" w:styleId="65">
    <w:name w:val="报告书正文"/>
    <w:basedOn w:val="1"/>
    <w:link w:val="64"/>
    <w:qFormat/>
    <w:uiPriority w:val="0"/>
    <w:pPr>
      <w:adjustRightInd w:val="0"/>
      <w:snapToGrid w:val="0"/>
      <w:spacing w:line="360" w:lineRule="auto"/>
      <w:ind w:firstLine="425"/>
      <w:textAlignment w:val="baseline"/>
    </w:pPr>
    <w:rPr>
      <w:rFonts w:ascii="Arial" w:hAnsi="Arial"/>
      <w:kern w:val="0"/>
      <w:sz w:val="24"/>
    </w:rPr>
  </w:style>
  <w:style w:type="character" w:customStyle="1" w:styleId="66">
    <w:name w:val="表格 Char Char"/>
    <w:qFormat/>
    <w:uiPriority w:val="0"/>
    <w:rPr>
      <w:rFonts w:eastAsia="宋体"/>
      <w:kern w:val="2"/>
      <w:sz w:val="21"/>
      <w:szCs w:val="24"/>
      <w:lang w:val="en-US" w:eastAsia="zh-CN" w:bidi="ar-SA"/>
    </w:rPr>
  </w:style>
  <w:style w:type="character" w:customStyle="1" w:styleId="67">
    <w:name w:val="日期 字符"/>
    <w:semiHidden/>
    <w:qFormat/>
    <w:uiPriority w:val="0"/>
    <w:rPr>
      <w:rFonts w:ascii="Times New Roman" w:hAnsi="Times New Roman" w:eastAsia="宋体" w:cs="Times New Roman"/>
      <w:sz w:val="24"/>
      <w:szCs w:val="24"/>
    </w:rPr>
  </w:style>
  <w:style w:type="character" w:customStyle="1" w:styleId="68">
    <w:name w:val="表格 Char"/>
    <w:link w:val="69"/>
    <w:qFormat/>
    <w:locked/>
    <w:uiPriority w:val="0"/>
    <w:rPr>
      <w:rFonts w:ascii="宋体"/>
      <w:sz w:val="21"/>
    </w:rPr>
  </w:style>
  <w:style w:type="paragraph" w:customStyle="1" w:styleId="69">
    <w:name w:val="表格"/>
    <w:basedOn w:val="14"/>
    <w:next w:val="1"/>
    <w:link w:val="68"/>
    <w:qFormat/>
    <w:uiPriority w:val="0"/>
    <w:pPr>
      <w:adjustRightInd w:val="0"/>
      <w:snapToGrid w:val="0"/>
      <w:spacing w:beforeLines="10" w:afterLines="10" w:line="259" w:lineRule="auto"/>
      <w:jc w:val="center"/>
    </w:pPr>
    <w:rPr>
      <w:rFonts w:ascii="宋体"/>
      <w:kern w:val="0"/>
      <w:szCs w:val="20"/>
    </w:rPr>
  </w:style>
  <w:style w:type="character" w:customStyle="1" w:styleId="70">
    <w:name w:val="Char Char Char Char Char1"/>
    <w:link w:val="71"/>
    <w:qFormat/>
    <w:uiPriority w:val="0"/>
    <w:rPr>
      <w:kern w:val="2"/>
      <w:sz w:val="21"/>
      <w:szCs w:val="21"/>
    </w:rPr>
  </w:style>
  <w:style w:type="paragraph" w:customStyle="1" w:styleId="71">
    <w:name w:val="Char Char Char Char"/>
    <w:basedOn w:val="1"/>
    <w:link w:val="70"/>
    <w:qFormat/>
    <w:uiPriority w:val="0"/>
    <w:pPr>
      <w:tabs>
        <w:tab w:val="left" w:pos="1080"/>
      </w:tabs>
      <w:jc w:val="left"/>
    </w:pPr>
    <w:rPr>
      <w:szCs w:val="21"/>
    </w:rPr>
  </w:style>
  <w:style w:type="paragraph" w:customStyle="1" w:styleId="72">
    <w:name w:val="11111"/>
    <w:basedOn w:val="1"/>
    <w:next w:val="1"/>
    <w:qFormat/>
    <w:uiPriority w:val="0"/>
    <w:pPr>
      <w:spacing w:line="360" w:lineRule="auto"/>
      <w:ind w:firstLine="200" w:firstLineChars="200"/>
    </w:pPr>
    <w:rPr>
      <w:rFonts w:hAnsi="宋体" w:cs="宋体"/>
    </w:rPr>
  </w:style>
  <w:style w:type="paragraph" w:styleId="73">
    <w:name w:val="List Paragraph"/>
    <w:basedOn w:val="1"/>
    <w:qFormat/>
    <w:uiPriority w:val="34"/>
    <w:pPr>
      <w:ind w:firstLine="420" w:firstLineChars="200"/>
    </w:pPr>
  </w:style>
  <w:style w:type="paragraph" w:customStyle="1" w:styleId="74">
    <w:name w:val="正文文本最新 Char Char Char"/>
    <w:basedOn w:val="1"/>
    <w:qFormat/>
    <w:uiPriority w:val="0"/>
    <w:pPr>
      <w:spacing w:line="360" w:lineRule="auto"/>
      <w:ind w:firstLine="200" w:firstLineChars="200"/>
    </w:pPr>
    <w:rPr>
      <w:bCs/>
      <w:sz w:val="28"/>
      <w:szCs w:val="28"/>
    </w:rPr>
  </w:style>
  <w:style w:type="paragraph" w:customStyle="1" w:styleId="7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6">
    <w:name w:val="正文1"/>
    <w:basedOn w:val="77"/>
    <w:qFormat/>
    <w:uiPriority w:val="99"/>
    <w:pPr>
      <w:widowControl w:val="0"/>
      <w:tabs>
        <w:tab w:val="left" w:pos="567"/>
      </w:tabs>
      <w:adjustRightInd w:val="0"/>
      <w:spacing w:line="360" w:lineRule="atLeast"/>
    </w:pPr>
    <w:rPr>
      <w:rFonts w:ascii="宋体" w:hAnsi="Times New Roman" w:eastAsia="宋体" w:cs="Times New Roman"/>
      <w:kern w:val="2"/>
      <w:sz w:val="24"/>
      <w:szCs w:val="22"/>
      <w:lang w:val="en-US" w:eastAsia="zh-CN" w:bidi="ar-SA"/>
    </w:rPr>
  </w:style>
  <w:style w:type="paragraph" w:customStyle="1" w:styleId="77">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78">
    <w:name w:val="Table Paragraph"/>
    <w:basedOn w:val="1"/>
    <w:qFormat/>
    <w:uiPriority w:val="1"/>
    <w:pPr>
      <w:autoSpaceDE w:val="0"/>
      <w:autoSpaceDN w:val="0"/>
      <w:spacing w:before="100" w:beforeAutospacing="1" w:line="360" w:lineRule="auto"/>
      <w:ind w:firstLine="200" w:firstLineChars="200"/>
      <w:jc w:val="left"/>
    </w:pPr>
    <w:rPr>
      <w:rFonts w:cs="宋体"/>
      <w:kern w:val="0"/>
      <w:sz w:val="24"/>
      <w:szCs w:val="22"/>
      <w:lang w:val="zh-CN" w:bidi="zh-CN"/>
    </w:rPr>
  </w:style>
  <w:style w:type="paragraph" w:customStyle="1" w:styleId="79">
    <w:name w:val="公正文"/>
    <w:basedOn w:val="9"/>
    <w:qFormat/>
    <w:uiPriority w:val="0"/>
    <w:pPr>
      <w:widowControl/>
      <w:adjustRightInd w:val="0"/>
      <w:snapToGrid w:val="0"/>
      <w:spacing w:line="352" w:lineRule="auto"/>
      <w:ind w:firstLine="200"/>
      <w:jc w:val="left"/>
    </w:pPr>
    <w:rPr>
      <w:rFonts w:ascii="宋体" w:hAnsi="宋体" w:eastAsia="仿宋_GB2312" w:cs="宋体"/>
      <w:kern w:val="0"/>
      <w:sz w:val="28"/>
      <w:szCs w:val="28"/>
    </w:rPr>
  </w:style>
  <w:style w:type="table" w:customStyle="1" w:styleId="80">
    <w:name w:val="Table Normal"/>
    <w:unhideWhenUsed/>
    <w:qFormat/>
    <w:uiPriority w:val="0"/>
    <w:rPr>
      <w:rFonts w:ascii="Calibri" w:hAnsi="Calibri"/>
      <w:lang w:val="en-US" w:eastAsia="zh-CN" w:bidi="ar-SA"/>
    </w:rPr>
    <w:tblPr>
      <w:tblCellMar>
        <w:top w:w="0" w:type="dxa"/>
        <w:left w:w="0" w:type="dxa"/>
        <w:bottom w:w="0" w:type="dxa"/>
        <w:right w:w="0" w:type="dxa"/>
      </w:tblCellMar>
    </w:tblPr>
  </w:style>
  <w:style w:type="paragraph" w:customStyle="1" w:styleId="81">
    <w:name w:val="正文111"/>
    <w:basedOn w:val="1"/>
    <w:qFormat/>
    <w:uiPriority w:val="0"/>
    <w:pPr>
      <w:adjustRightInd w:val="0"/>
      <w:snapToGrid w:val="0"/>
      <w:spacing w:line="500" w:lineRule="exact"/>
      <w:ind w:firstLine="480" w:firstLineChars="200"/>
      <w:jc w:val="left"/>
      <w:outlineLvl w:val="2"/>
    </w:pPr>
    <w:rPr>
      <w:rFonts w:ascii="Times New Roman" w:hAnsi="Times New Roman"/>
      <w:sz w:val="24"/>
      <w:szCs w:val="28"/>
    </w:rPr>
  </w:style>
  <w:style w:type="paragraph" w:customStyle="1" w:styleId="82">
    <w:name w:val="【表格文字】"/>
    <w:basedOn w:val="1"/>
    <w:qFormat/>
    <w:uiPriority w:val="0"/>
    <w:pPr>
      <w:adjustRightInd w:val="0"/>
      <w:snapToGrid w:val="0"/>
      <w:textAlignment w:val="center"/>
    </w:pPr>
    <w:rPr>
      <w:szCs w:val="21"/>
    </w:rPr>
  </w:style>
  <w:style w:type="character" w:customStyle="1" w:styleId="83">
    <w:name w:val="15"/>
    <w:qFormat/>
    <w:uiPriority w:val="0"/>
    <w:rPr>
      <w:rFonts w:hint="default" w:ascii="Times New Roman" w:hAnsi="Times New Roman" w:cs="Times New Roman"/>
      <w:kern w:val="2"/>
      <w:sz w:val="21"/>
      <w:szCs w:val="21"/>
    </w:rPr>
  </w:style>
  <w:style w:type="paragraph" w:customStyle="1" w:styleId="84">
    <w:name w:val="【正文1】"/>
    <w:basedOn w:val="1"/>
    <w:qFormat/>
    <w:uiPriority w:val="0"/>
    <w:pPr>
      <w:adjustRightInd w:val="0"/>
      <w:snapToGrid w:val="0"/>
      <w:spacing w:line="500" w:lineRule="atLeast"/>
      <w:ind w:firstLine="480" w:firstLineChars="200"/>
    </w:pPr>
    <w:rPr>
      <w:sz w:val="24"/>
    </w:rPr>
  </w:style>
  <w:style w:type="paragraph" w:customStyle="1" w:styleId="85">
    <w:name w:val=".表1-1-1内容"/>
    <w:basedOn w:val="1"/>
    <w:qFormat/>
    <w:uiPriority w:val="0"/>
    <w:pPr>
      <w:adjustRightInd w:val="0"/>
      <w:snapToGrid w:val="0"/>
      <w:jc w:val="center"/>
    </w:pPr>
    <w:rPr>
      <w:kern w:val="0"/>
      <w:szCs w:val="21"/>
    </w:rPr>
  </w:style>
  <w:style w:type="paragraph" w:customStyle="1" w:styleId="86">
    <w:name w:val="表格表格"/>
    <w:basedOn w:val="1"/>
    <w:qFormat/>
    <w:uiPriority w:val="0"/>
    <w:pPr>
      <w:adjustRightInd w:val="0"/>
      <w:snapToGrid w:val="0"/>
      <w:spacing w:line="360" w:lineRule="auto"/>
      <w:ind w:firstLine="480" w:firstLineChars="200"/>
    </w:pPr>
    <w:rPr>
      <w:szCs w:val="21"/>
    </w:rPr>
  </w:style>
  <w:style w:type="paragraph" w:customStyle="1" w:styleId="87">
    <w:name w:val="表格内容格式"/>
    <w:basedOn w:val="1"/>
    <w:next w:val="1"/>
    <w:qFormat/>
    <w:uiPriority w:val="0"/>
    <w:pPr>
      <w:adjustRightInd w:val="0"/>
      <w:snapToGrid w:val="0"/>
      <w:spacing w:line="360" w:lineRule="exact"/>
      <w:jc w:val="center"/>
    </w:pPr>
    <w:rPr>
      <w:kern w:val="0"/>
      <w:szCs w:val="21"/>
    </w:rPr>
  </w:style>
  <w:style w:type="paragraph" w:customStyle="1" w:styleId="88">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89">
    <w:name w:val="【表格】"/>
    <w:basedOn w:val="1"/>
    <w:link w:val="90"/>
    <w:qFormat/>
    <w:uiPriority w:val="0"/>
    <w:pPr>
      <w:adjustRightInd w:val="0"/>
      <w:snapToGrid w:val="0"/>
    </w:pPr>
    <w:rPr>
      <w:spacing w:val="-4"/>
    </w:rPr>
  </w:style>
  <w:style w:type="character" w:customStyle="1" w:styleId="90">
    <w:name w:val="【表格】 字符"/>
    <w:link w:val="89"/>
    <w:qFormat/>
    <w:uiPriority w:val="0"/>
    <w:rPr>
      <w:spacing w:val="-4"/>
      <w:kern w:val="2"/>
      <w:sz w:val="21"/>
      <w:szCs w:val="24"/>
    </w:rPr>
  </w:style>
  <w:style w:type="paragraph" w:customStyle="1" w:styleId="91">
    <w:name w:val="表格小五"/>
    <w:basedOn w:val="1"/>
    <w:qFormat/>
    <w:uiPriority w:val="0"/>
    <w:pPr>
      <w:widowControl/>
      <w:jc w:val="center"/>
    </w:pPr>
    <w:rPr>
      <w:rFonts w:cs="宋体"/>
      <w:kern w:val="0"/>
      <w:sz w:val="18"/>
      <w:szCs w:val="18"/>
    </w:rPr>
  </w:style>
  <w:style w:type="paragraph" w:customStyle="1" w:styleId="92">
    <w:name w:val="刘昕正文"/>
    <w:basedOn w:val="1"/>
    <w:qFormat/>
    <w:uiPriority w:val="0"/>
    <w:pPr>
      <w:spacing w:line="500" w:lineRule="exact"/>
      <w:ind w:firstLine="200" w:firstLineChars="200"/>
    </w:pPr>
    <w:rPr>
      <w:sz w:val="24"/>
    </w:rPr>
  </w:style>
  <w:style w:type="paragraph" w:customStyle="1" w:styleId="93">
    <w:name w:val="表格式"/>
    <w:basedOn w:val="1"/>
    <w:link w:val="94"/>
    <w:qFormat/>
    <w:uiPriority w:val="0"/>
    <w:pPr>
      <w:spacing w:line="300" w:lineRule="exact"/>
      <w:jc w:val="center"/>
    </w:pPr>
    <w:rPr>
      <w:bCs/>
      <w:color w:val="000000"/>
    </w:rPr>
  </w:style>
  <w:style w:type="character" w:customStyle="1" w:styleId="94">
    <w:name w:val="表格式 字符"/>
    <w:link w:val="93"/>
    <w:qFormat/>
    <w:uiPriority w:val="0"/>
    <w:rPr>
      <w:bCs/>
      <w:color w:val="000000"/>
      <w:kern w:val="2"/>
      <w:sz w:val="21"/>
      <w:szCs w:val="24"/>
    </w:rPr>
  </w:style>
  <w:style w:type="character" w:customStyle="1" w:styleId="95">
    <w:name w:val="表头 Char1"/>
    <w:link w:val="96"/>
    <w:qFormat/>
    <w:uiPriority w:val="0"/>
    <w:rPr>
      <w:b/>
      <w:color w:val="000000"/>
      <w:kern w:val="2"/>
      <w:sz w:val="24"/>
      <w:szCs w:val="21"/>
    </w:rPr>
  </w:style>
  <w:style w:type="paragraph" w:customStyle="1" w:styleId="96">
    <w:name w:val="表头"/>
    <w:basedOn w:val="97"/>
    <w:link w:val="95"/>
    <w:qFormat/>
    <w:uiPriority w:val="0"/>
    <w:pPr>
      <w:snapToGrid w:val="0"/>
      <w:jc w:val="left"/>
    </w:pPr>
    <w:rPr>
      <w:b/>
      <w:color w:val="000000"/>
      <w:sz w:val="24"/>
      <w:szCs w:val="21"/>
    </w:rPr>
  </w:style>
  <w:style w:type="paragraph" w:customStyle="1" w:styleId="97">
    <w:name w:val="正文样式"/>
    <w:basedOn w:val="1"/>
    <w:qFormat/>
    <w:uiPriority w:val="0"/>
    <w:pPr>
      <w:adjustRightInd w:val="0"/>
      <w:snapToGrid/>
      <w:ind w:firstLine="480" w:firstLineChars="200"/>
      <w:jc w:val="left"/>
    </w:pPr>
    <w:rPr>
      <w:szCs w:val="20"/>
    </w:rPr>
  </w:style>
  <w:style w:type="character" w:customStyle="1" w:styleId="98">
    <w:name w:val="【表中文字】 Char Char"/>
    <w:qFormat/>
    <w:uiPriority w:val="0"/>
    <w:rPr>
      <w:rFonts w:ascii="Times New Roman" w:hAnsi="Times New Roman" w:eastAsia="宋体"/>
      <w:outline/>
      <w:snapToGrid/>
      <w:spacing w:val="0"/>
      <w:w w:val="100"/>
      <w:kern w:val="0"/>
      <w:position w:val="0"/>
      <w:sz w:val="21"/>
      <w:vertAlign w:val="baseline"/>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textFill>
        <w14:noFill/>
      </w14:textFill>
    </w:rPr>
  </w:style>
  <w:style w:type="character" w:customStyle="1" w:styleId="99">
    <w:name w:val="text_csco8"/>
    <w:qFormat/>
    <w:uiPriority w:val="0"/>
  </w:style>
  <w:style w:type="character" w:customStyle="1" w:styleId="100">
    <w:name w:val="font11"/>
    <w:qFormat/>
    <w:uiPriority w:val="0"/>
    <w:rPr>
      <w:rFonts w:hint="eastAsia" w:ascii="宋体" w:hAnsi="宋体" w:eastAsia="宋体"/>
      <w:color w:val="000000"/>
      <w:sz w:val="21"/>
      <w:szCs w:val="21"/>
      <w:u w:val="none"/>
    </w:rPr>
  </w:style>
  <w:style w:type="character" w:customStyle="1" w:styleId="101">
    <w:name w:val="font21"/>
    <w:qFormat/>
    <w:uiPriority w:val="0"/>
    <w:rPr>
      <w:rFonts w:hint="default" w:ascii="Times New Roman" w:hAnsi="Times New Roman" w:cs="Times New Roman"/>
      <w:color w:val="000000"/>
      <w:sz w:val="21"/>
      <w:szCs w:val="21"/>
      <w:u w:val="none"/>
    </w:rPr>
  </w:style>
  <w:style w:type="character" w:customStyle="1" w:styleId="102">
    <w:name w:val="【表头】 Char"/>
    <w:link w:val="103"/>
    <w:qFormat/>
    <w:uiPriority w:val="0"/>
    <w:rPr>
      <w:rFonts w:eastAsia="黑体"/>
      <w:sz w:val="24"/>
      <w:lang w:val="zh-CN"/>
    </w:rPr>
  </w:style>
  <w:style w:type="paragraph" w:customStyle="1" w:styleId="103">
    <w:name w:val="【表头】"/>
    <w:basedOn w:val="1"/>
    <w:next w:val="1"/>
    <w:link w:val="102"/>
    <w:qFormat/>
    <w:uiPriority w:val="0"/>
    <w:pPr>
      <w:wordWrap w:val="0"/>
      <w:adjustRightInd w:val="0"/>
      <w:snapToGrid w:val="0"/>
      <w:spacing w:line="500" w:lineRule="exact"/>
      <w:jc w:val="center"/>
    </w:pPr>
    <w:rPr>
      <w:rFonts w:eastAsia="黑体"/>
      <w:kern w:val="0"/>
      <w:sz w:val="24"/>
      <w:szCs w:val="20"/>
      <w:lang w:val="zh-CN"/>
    </w:rPr>
  </w:style>
  <w:style w:type="character" w:customStyle="1" w:styleId="104">
    <w:name w:val="【表中文字】- 字符"/>
    <w:link w:val="105"/>
    <w:qFormat/>
    <w:uiPriority w:val="0"/>
    <w:rPr>
      <w:rFonts w:ascii="Times New Roman" w:hAnsi="Times New Roman" w:eastAsia="宋体"/>
      <w:lang w:val="zh-CN"/>
    </w:rPr>
  </w:style>
  <w:style w:type="paragraph" w:customStyle="1" w:styleId="105">
    <w:name w:val="【表中文字】-"/>
    <w:basedOn w:val="1"/>
    <w:link w:val="104"/>
    <w:qFormat/>
    <w:uiPriority w:val="0"/>
    <w:pPr>
      <w:wordWrap w:val="0"/>
      <w:adjustRightInd w:val="0"/>
      <w:snapToGrid w:val="0"/>
      <w:jc w:val="center"/>
    </w:pPr>
    <w:rPr>
      <w:rFonts w:ascii="Times New Roman" w:hAnsi="Times New Roman" w:eastAsia="宋体"/>
      <w:kern w:val="0"/>
      <w:sz w:val="20"/>
      <w:szCs w:val="20"/>
      <w:lang w:val="zh-CN"/>
    </w:rPr>
  </w:style>
  <w:style w:type="paragraph" w:customStyle="1" w:styleId="106">
    <w:name w:val="Table Text"/>
    <w:basedOn w:val="1"/>
    <w:semiHidden/>
    <w:qFormat/>
    <w:uiPriority w:val="0"/>
    <w:rPr>
      <w:rFonts w:ascii="Times New Roman" w:hAnsi="Times New Roman" w:eastAsia="Times New Roman" w:cs="Times New Roman"/>
      <w:sz w:val="18"/>
      <w:szCs w:val="18"/>
      <w:lang w:val="en-US" w:eastAsia="en-US" w:bidi="ar-SA"/>
    </w:rPr>
  </w:style>
  <w:style w:type="character" w:customStyle="1" w:styleId="107">
    <w:name w:val="未处理的提及"/>
    <w:unhideWhenUsed/>
    <w:qFormat/>
    <w:uiPriority w:val="99"/>
    <w:rPr>
      <w:color w:val="605E5C"/>
      <w:shd w:val="clear" w:color="auto" w:fill="E1DFDD"/>
    </w:rPr>
  </w:style>
  <w:style w:type="paragraph" w:customStyle="1" w:styleId="108">
    <w:name w:val="表格文字1"/>
    <w:basedOn w:val="1"/>
    <w:qFormat/>
    <w:uiPriority w:val="0"/>
    <w:pPr>
      <w:snapToGrid w:val="0"/>
      <w:jc w:val="center"/>
    </w:pPr>
    <w:rPr>
      <w:rFonts w:ascii="宋体" w:hAnsi="Calibri"/>
      <w:szCs w:val="21"/>
    </w:rPr>
  </w:style>
  <w:style w:type="paragraph" w:customStyle="1" w:styleId="109">
    <w:name w:val="表格文字"/>
    <w:basedOn w:val="1"/>
    <w:qFormat/>
    <w:uiPriority w:val="0"/>
    <w:pPr>
      <w:widowControl/>
      <w:jc w:val="center"/>
    </w:pPr>
    <w:rPr>
      <w:rFonts w:cs="宋体"/>
      <w:color w:val="000000"/>
      <w:kern w:val="0"/>
      <w:szCs w:val="21"/>
    </w:rPr>
  </w:style>
  <w:style w:type="paragraph" w:customStyle="1" w:styleId="110">
    <w:name w:val="正文居中黑"/>
    <w:basedOn w:val="1"/>
    <w:next w:val="1"/>
    <w:qFormat/>
    <w:uiPriority w:val="0"/>
    <w:pPr>
      <w:overflowPunct w:val="0"/>
      <w:adjustRightInd w:val="0"/>
      <w:snapToGrid w:val="0"/>
      <w:ind w:firstLine="0" w:firstLineChars="0"/>
      <w:jc w:val="center"/>
    </w:pPr>
    <w:rPr>
      <w:rFonts w:ascii="宋体" w:hAnsi="宋体" w:cs="宋体"/>
      <w:b/>
      <w:bCs/>
      <w:color w:val="000000"/>
      <w:kern w:val="0"/>
      <w:sz w:val="24"/>
      <w:szCs w:val="21"/>
    </w:rPr>
  </w:style>
  <w:style w:type="paragraph" w:customStyle="1" w:styleId="111">
    <w:name w:val="精佳正文"/>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12">
    <w:name w:val="Default"/>
    <w:basedOn w:val="113"/>
    <w:next w:val="1"/>
    <w:qFormat/>
    <w:uiPriority w:val="0"/>
    <w:pPr>
      <w:widowControl w:val="0"/>
      <w:autoSpaceDE w:val="0"/>
      <w:autoSpaceDN w:val="0"/>
      <w:adjustRightInd w:val="0"/>
      <w:spacing w:line="336" w:lineRule="auto"/>
    </w:pPr>
    <w:rPr>
      <w:rFonts w:ascii="宋体" w:hAnsi="宋体" w:eastAsia="宋体" w:cs="宋体"/>
      <w:color w:val="000000"/>
      <w:kern w:val="0"/>
      <w:sz w:val="24"/>
      <w:szCs w:val="24"/>
      <w:lang w:val="en-US" w:eastAsia="zh-CN" w:bidi="ar-SA"/>
    </w:rPr>
  </w:style>
  <w:style w:type="paragraph" w:customStyle="1" w:styleId="113">
    <w:name w:val="纯文本1"/>
    <w:basedOn w:val="1"/>
    <w:qFormat/>
    <w:uiPriority w:val="0"/>
    <w:pPr>
      <w:adjustRightInd w:val="0"/>
      <w:textAlignment w:val="baseline"/>
    </w:pPr>
    <w:rPr>
      <w:rFonts w:ascii="宋体" w:hAnsi="Courier New"/>
      <w:szCs w:val="20"/>
    </w:rPr>
  </w:style>
  <w:style w:type="paragraph" w:customStyle="1" w:styleId="114">
    <w:name w:val="7表"/>
    <w:basedOn w:val="115"/>
    <w:qFormat/>
    <w:uiPriority w:val="0"/>
    <w:pPr>
      <w:spacing w:line="240" w:lineRule="auto"/>
      <w:ind w:firstLine="0" w:firstLineChars="0"/>
      <w:jc w:val="center"/>
    </w:pPr>
    <w:rPr>
      <w:sz w:val="21"/>
    </w:rPr>
  </w:style>
  <w:style w:type="paragraph" w:customStyle="1" w:styleId="115">
    <w:name w:val="采用正文"/>
    <w:basedOn w:val="3"/>
    <w:qFormat/>
    <w:uiPriority w:val="0"/>
    <w:pPr>
      <w:adjustRightInd w:val="0"/>
      <w:spacing w:after="0" w:afterLines="0"/>
      <w:ind w:firstLine="200" w:firstLineChars="200"/>
    </w:pPr>
    <w:rPr>
      <w:rFonts w:hint="default" w:ascii="Times New Roman"/>
      <w:kern w:val="2"/>
      <w:sz w:val="24"/>
    </w:rPr>
  </w:style>
  <w:style w:type="paragraph" w:customStyle="1" w:styleId="116">
    <w:name w:val="正文w"/>
    <w:basedOn w:val="3"/>
    <w:qFormat/>
    <w:uiPriority w:val="0"/>
    <w:pPr>
      <w:snapToGrid w:val="0"/>
      <w:ind w:firstLine="480" w:firstLineChars="200"/>
    </w:pPr>
  </w:style>
  <w:style w:type="paragraph" w:customStyle="1" w:styleId="117">
    <w:name w:val="表格（小五）"/>
    <w:qFormat/>
    <w:uiPriority w:val="0"/>
    <w:pPr>
      <w:jc w:val="center"/>
    </w:pPr>
    <w:rPr>
      <w:rFonts w:ascii="Times New Roman" w:hAnsi="Times New Roman" w:eastAsia="宋体" w:cs="Times New Roman"/>
      <w:kern w:val="2"/>
      <w:sz w:val="18"/>
      <w:szCs w:val="21"/>
      <w:lang w:val="en-US" w:eastAsia="zh-CN" w:bidi="ar-SA"/>
    </w:rPr>
  </w:style>
  <w:style w:type="paragraph" w:customStyle="1" w:styleId="118">
    <w:name w:val="表头00"/>
    <w:basedOn w:val="1"/>
    <w:qFormat/>
    <w:uiPriority w:val="0"/>
    <w:pPr>
      <w:widowControl w:val="0"/>
      <w:adjustRightInd/>
      <w:snapToGrid/>
      <w:jc w:val="center"/>
    </w:pPr>
    <w:rPr>
      <w:rFonts w:ascii="Times New Roman" w:hAnsi="Times New Roman" w:eastAsia="黑体" w:cs="Times New Roman"/>
      <w:kern w:val="2"/>
      <w:sz w:val="24"/>
      <w:szCs w:val="18"/>
    </w:rPr>
  </w:style>
  <w:style w:type="paragraph" w:customStyle="1" w:styleId="119">
    <w:name w:val="表格内"/>
    <w:qFormat/>
    <w:uiPriority w:val="0"/>
    <w:pPr>
      <w:snapToGrid/>
      <w:spacing w:before="2" w:after="2" w:line="240" w:lineRule="auto"/>
      <w:ind w:firstLine="0" w:firstLineChars="0"/>
      <w:jc w:val="center"/>
    </w:pPr>
    <w:rPr>
      <w:rFonts w:ascii="Times New Roman" w:hAnsi="Times New Roman" w:eastAsia="宋体" w:cs="Times New Roman"/>
      <w:sz w:val="21"/>
    </w:rPr>
  </w:style>
  <w:style w:type="paragraph" w:customStyle="1" w:styleId="120">
    <w:name w:val="HSY正文"/>
    <w:basedOn w:val="1"/>
    <w:qFormat/>
    <w:uiPriority w:val="0"/>
    <w:pPr>
      <w:widowControl/>
      <w:ind w:firstLine="200" w:firstLineChars="200"/>
    </w:pPr>
    <w:rPr>
      <w:szCs w:val="22"/>
    </w:rPr>
  </w:style>
  <w:style w:type="paragraph" w:customStyle="1" w:styleId="121">
    <w:name w:val="2标题"/>
    <w:basedOn w:val="122"/>
    <w:qFormat/>
    <w:uiPriority w:val="0"/>
    <w:pPr>
      <w:numPr>
        <w:ilvl w:val="1"/>
        <w:numId w:val="1"/>
      </w:numPr>
      <w:ind w:left="0"/>
    </w:pPr>
    <w:rPr>
      <w:rFonts w:ascii="黑体"/>
    </w:rPr>
  </w:style>
  <w:style w:type="paragraph" w:customStyle="1" w:styleId="122">
    <w:name w:val="采用2级"/>
    <w:basedOn w:val="3"/>
    <w:qFormat/>
    <w:uiPriority w:val="0"/>
    <w:pPr>
      <w:adjustRightInd w:val="0"/>
      <w:spacing w:after="0" w:afterLines="0"/>
      <w:outlineLvl w:val="1"/>
    </w:pPr>
    <w:rPr>
      <w:rFonts w:eastAsia="黑体"/>
      <w:kern w:val="2"/>
      <w:sz w:val="30"/>
      <w:szCs w:val="24"/>
      <w:lang w:val="en-US" w:eastAsia="zh-CN" w:bidi="ar-SA"/>
    </w:rPr>
  </w:style>
  <w:style w:type="paragraph" w:customStyle="1" w:styleId="123">
    <w:name w:val="3标题"/>
    <w:basedOn w:val="124"/>
    <w:next w:val="125"/>
    <w:qFormat/>
    <w:uiPriority w:val="0"/>
    <w:pPr>
      <w:numPr>
        <w:ilvl w:val="2"/>
        <w:numId w:val="1"/>
      </w:numPr>
      <w:ind w:left="0"/>
    </w:pPr>
    <w:rPr>
      <w:rFonts w:ascii="黑体"/>
    </w:rPr>
  </w:style>
  <w:style w:type="paragraph" w:customStyle="1" w:styleId="124">
    <w:name w:val="采用3级"/>
    <w:basedOn w:val="3"/>
    <w:qFormat/>
    <w:uiPriority w:val="0"/>
    <w:pPr>
      <w:adjustRightInd w:val="0"/>
      <w:spacing w:after="0" w:afterLines="0"/>
      <w:outlineLvl w:val="2"/>
    </w:pPr>
    <w:rPr>
      <w:rFonts w:eastAsia="黑体"/>
      <w:sz w:val="28"/>
    </w:rPr>
  </w:style>
  <w:style w:type="paragraph" w:customStyle="1" w:styleId="125">
    <w:name w:val="5正文"/>
    <w:basedOn w:val="1"/>
    <w:qFormat/>
    <w:uiPriority w:val="0"/>
    <w:pPr>
      <w:ind w:firstLine="480" w:firstLineChars="200"/>
    </w:pPr>
  </w:style>
  <w:style w:type="paragraph" w:customStyle="1" w:styleId="126">
    <w:name w:val="表头ds"/>
    <w:basedOn w:val="3"/>
    <w:qFormat/>
    <w:uiPriority w:val="0"/>
    <w:pPr>
      <w:adjustRightInd w:val="0"/>
      <w:spacing w:after="0" w:line="240" w:lineRule="auto"/>
    </w:pPr>
    <w:rPr>
      <w:rFonts w:ascii="黑体" w:hAnsi="黑体" w:eastAsia="黑体"/>
      <w:color w:val="C00000"/>
    </w:rPr>
  </w:style>
  <w:style w:type="paragraph" w:customStyle="1" w:styleId="127">
    <w:name w:val="样式 宋体 小四 行距: 1.5 倍行距2"/>
    <w:basedOn w:val="1"/>
    <w:qFormat/>
    <w:uiPriority w:val="0"/>
    <w:pPr>
      <w:snapToGrid/>
      <w:spacing w:before="62" w:beforeLines="20" w:after="62" w:afterLines="20"/>
      <w:ind w:firstLine="200" w:firstLineChars="200"/>
    </w:pPr>
    <w:rPr>
      <w:rFonts w:ascii="宋体" w:hAnsi="宋体" w:cs="宋体"/>
      <w:szCs w:val="20"/>
    </w:rPr>
  </w:style>
  <w:style w:type="paragraph" w:customStyle="1" w:styleId="128">
    <w:name w:val="采用页眉"/>
    <w:basedOn w:val="18"/>
    <w:qFormat/>
    <w:uiPriority w:val="0"/>
    <w:pPr>
      <w:pBdr>
        <w:bottom w:val="thinThickSmallGap" w:color="auto" w:sz="18" w:space="1"/>
      </w:pBdr>
      <w:adjustRightInd w:val="0"/>
      <w:spacing w:line="240" w:lineRule="auto"/>
    </w:pPr>
  </w:style>
  <w:style w:type="character" w:customStyle="1" w:styleId="129">
    <w:name w:val="zhengwencolor1"/>
    <w:qFormat/>
    <w:uiPriority w:val="0"/>
    <w:rPr>
      <w:color w:val="000000"/>
      <w:sz w:val="18"/>
      <w:szCs w:val="18"/>
    </w:rPr>
  </w:style>
  <w:style w:type="paragraph" w:customStyle="1" w:styleId="130">
    <w:name w:val="表内文字"/>
    <w:basedOn w:val="1"/>
    <w:qFormat/>
    <w:uiPriority w:val="0"/>
    <w:pPr>
      <w:jc w:val="center"/>
    </w:pPr>
    <w:rPr>
      <w:rFonts w:ascii="仿宋_GB2312" w:hAnsi="仿宋_GB2312"/>
      <w:color w:val="FF0000"/>
      <w:szCs w:val="21"/>
    </w:rPr>
  </w:style>
  <w:style w:type="paragraph" w:customStyle="1" w:styleId="131">
    <w:name w:val="【表中文字】"/>
    <w:basedOn w:val="132"/>
    <w:qFormat/>
    <w:uiPriority w:val="0"/>
    <w:pPr>
      <w:spacing w:line="380" w:lineRule="exact"/>
      <w:jc w:val="center"/>
    </w:pPr>
  </w:style>
  <w:style w:type="paragraph" w:customStyle="1" w:styleId="132">
    <w:name w:val="表格字"/>
    <w:basedOn w:val="20"/>
    <w:qFormat/>
    <w:uiPriority w:val="0"/>
    <w:pPr>
      <w:ind w:left="0" w:firstLine="0" w:firstLineChars="0"/>
      <w:jc w:val="center"/>
    </w:pPr>
  </w:style>
  <w:style w:type="paragraph" w:customStyle="1" w:styleId="133">
    <w:name w:val="内容"/>
    <w:basedOn w:val="1"/>
    <w:qFormat/>
    <w:uiPriority w:val="0"/>
    <w:pPr>
      <w:spacing w:beforeLines="50" w:afterLines="50"/>
      <w:ind w:firstLine="200" w:firstLineChars="200"/>
    </w:pPr>
    <w:rPr>
      <w:color w:val="000000"/>
      <w:sz w:val="24"/>
      <w:szCs w:val="24"/>
    </w:rPr>
  </w:style>
  <w:style w:type="paragraph" w:customStyle="1" w:styleId="134">
    <w:name w:val="..正文"/>
    <w:basedOn w:val="1"/>
    <w:qFormat/>
    <w:uiPriority w:val="0"/>
    <w:pPr>
      <w:spacing w:line="500" w:lineRule="exact"/>
      <w:ind w:firstLine="480" w:firstLineChars="200"/>
      <w:jc w:val="left"/>
    </w:pPr>
    <w:rPr>
      <w:kern w:val="0"/>
      <w:sz w:val="24"/>
    </w:rPr>
  </w:style>
  <w:style w:type="paragraph" w:customStyle="1" w:styleId="135">
    <w:name w:val="正文00"/>
    <w:basedOn w:val="1"/>
    <w:next w:val="136"/>
    <w:qFormat/>
    <w:uiPriority w:val="0"/>
    <w:pPr>
      <w:spacing w:line="360" w:lineRule="auto"/>
      <w:ind w:firstLine="480" w:firstLineChars="200"/>
      <w:jc w:val="both"/>
    </w:pPr>
    <w:rPr>
      <w:rFonts w:ascii="Times New Roman" w:hAnsi="宋体" w:cs="宋体"/>
      <w:kern w:val="2"/>
      <w:szCs w:val="24"/>
    </w:rPr>
  </w:style>
  <w:style w:type="paragraph" w:customStyle="1" w:styleId="136">
    <w:name w:val="样式 Times New Roman 五号 居中1"/>
    <w:basedOn w:val="1"/>
    <w:next w:val="96"/>
    <w:qFormat/>
    <w:uiPriority w:val="0"/>
    <w:pPr>
      <w:jc w:val="center"/>
    </w:pPr>
    <w:rPr>
      <w:rFonts w:ascii="Times New Roman" w:cs="宋体"/>
      <w:kern w:val="2"/>
      <w:sz w:val="21"/>
    </w:rPr>
  </w:style>
  <w:style w:type="paragraph" w:customStyle="1" w:styleId="137">
    <w:name w:val="表格文字居中"/>
    <w:basedOn w:val="1"/>
    <w:next w:val="1"/>
    <w:qFormat/>
    <w:uiPriority w:val="0"/>
    <w:pPr>
      <w:adjustRightInd w:val="0"/>
      <w:snapToGrid w:val="0"/>
      <w:jc w:val="center"/>
    </w:pPr>
    <w:rPr>
      <w:rFonts w:ascii="宋体" w:hAnsi="宋体"/>
      <w:snapToGrid w:val="0"/>
      <w:spacing w:val="-2"/>
      <w:kern w:val="0"/>
      <w:sz w:val="24"/>
    </w:rPr>
  </w:style>
  <w:style w:type="paragraph" w:customStyle="1" w:styleId="138">
    <w:name w:val="表格标题"/>
    <w:basedOn w:val="76"/>
    <w:next w:val="76"/>
    <w:qFormat/>
    <w:uiPriority w:val="0"/>
    <w:pPr>
      <w:tabs>
        <w:tab w:val="left" w:pos="0"/>
      </w:tabs>
      <w:spacing w:before="50" w:beforeLines="50"/>
      <w:ind w:firstLine="0" w:firstLineChars="0"/>
      <w:jc w:val="center"/>
    </w:pPr>
    <w:rPr>
      <w:rFonts w:ascii="宋体" w:hAnsi="宋体" w:eastAsia="宋体"/>
      <w:b/>
      <w:sz w:val="24"/>
      <w:szCs w:val="20"/>
      <w:lang w:val="en-US" w:bidi="ar-SA"/>
    </w:rPr>
  </w:style>
  <w:style w:type="paragraph" w:customStyle="1" w:styleId="139">
    <w:name w:val="表格内容"/>
    <w:basedOn w:val="140"/>
    <w:next w:val="1"/>
    <w:qFormat/>
    <w:uiPriority w:val="0"/>
    <w:pPr>
      <w:overflowPunct w:val="0"/>
      <w:adjustRightInd w:val="0"/>
      <w:spacing w:before="40" w:after="60" w:line="240" w:lineRule="auto"/>
      <w:jc w:val="center"/>
      <w:textAlignment w:val="baseline"/>
    </w:pPr>
    <w:rPr>
      <w:rFonts w:ascii="Arial" w:hAnsi="Arial" w:eastAsia="宋体" w:cs="Times New Roman"/>
      <w:color w:val="000000"/>
      <w:sz w:val="21"/>
      <w:szCs w:val="24"/>
      <w:lang w:val="en-US" w:bidi="ar-SA"/>
    </w:rPr>
  </w:style>
  <w:style w:type="paragraph" w:customStyle="1" w:styleId="140">
    <w:name w:val="封皮-证书编号"/>
    <w:basedOn w:val="1"/>
    <w:qFormat/>
    <w:uiPriority w:val="0"/>
    <w:pPr>
      <w:jc w:val="center"/>
    </w:pPr>
    <w:rPr>
      <w:rFonts w:ascii="Times New Roman" w:hAnsi="Times New Roman" w:eastAsia="黑体"/>
      <w:sz w:val="28"/>
    </w:rPr>
  </w:style>
  <w:style w:type="paragraph" w:customStyle="1" w:styleId="141">
    <w:name w:val="6表格"/>
    <w:basedOn w:val="1"/>
    <w:qFormat/>
    <w:uiPriority w:val="0"/>
    <w:pPr>
      <w:snapToGrid/>
      <w:spacing w:line="240" w:lineRule="auto"/>
      <w:jc w:val="center"/>
    </w:pPr>
    <w:rPr>
      <w:rFonts w:ascii="宋体" w:hAnsi="宋体" w:cs="宋体"/>
      <w:color w:val="000000"/>
      <w:kern w:val="0"/>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1.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wmf"/><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be0c442f-cc55-485e-b665-9e36b172b862</errorID>
      <errorWord>:</errorWord>
      <group>L1_Format</group>
      <groupName>格式问题</groupName>
      <ability>L2_HalfPunc_CN</ability>
      <abilityName>全半角问题</abilityName>
      <candidateList>
        <item>：</item>
      </candidateList>
      <explain>文本全半角错误。</explain>
      <paraID>50261AF8</paraID>
      <start>4</start>
      <end>5</end>
      <status>unmodified</status>
      <modifiedWord/>
      <trackRevisions>false</trackRevisions>
    </reviewItem>
    <reviewItem>
      <errorID>c05dca6f-415e-4f9b-a80d-f5696190b458</errorID>
      <errorWord>:</errorWord>
      <group>L1_Format</group>
      <groupName>格式问题</groupName>
      <ability>L2_HalfPunc_CN</ability>
      <abilityName>全半角问题</abilityName>
      <candidateList>
        <item>：</item>
      </candidateList>
      <explain>文本全半角错误。</explain>
      <paraID>3E843C8B</paraID>
      <start>8</start>
      <end>9</end>
      <status>unmodified</status>
      <modifiedWord/>
      <trackRevisions>false</trackRevisions>
    </reviewItem>
    <reviewItem>
      <errorID>1d2cfe46-ec67-4303-9467-1d4242c36a9a</errorID>
      <errorWord>:</errorWord>
      <group>L1_Format</group>
      <groupName>格式问题</groupName>
      <ability>L2_HalfPunc_CN</ability>
      <abilityName>全半角问题</abilityName>
      <candidateList>
        <item>：</item>
      </candidateList>
      <explain>文本全半角错误。</explain>
      <paraID>13A59D3C</paraID>
      <start>4</start>
      <end>5</end>
      <status>unmodified</status>
      <modifiedWord/>
      <trackRevisions>false</trackRevisions>
    </reviewItem>
    <reviewItem>
      <errorID>21c6cb7a-89d5-4b56-9ce9-a8e9d1fee4c8</errorID>
      <errorWord>:</errorWord>
      <group>L1_Format</group>
      <groupName>格式问题</groupName>
      <ability>L2_HalfPunc_CN</ability>
      <abilityName>全半角问题</abilityName>
      <candidateList>
        <item>：</item>
      </candidateList>
      <explain>文本全半角错误。</explain>
      <paraID>538A45DA</paraID>
      <start>4</start>
      <end>5</end>
      <status>unmodified</status>
      <modifiedWord/>
      <trackRevisions>false</trackRevisions>
    </reviewItem>
    <reviewItem>
      <errorID>163e83fa-0344-4673-8713-2da7ecdce583</errorID>
      <errorWord>"</errorWord>
      <group>L1_Format</group>
      <groupName>格式问题</groupName>
      <ability>L2_HalfPunc_CN</ability>
      <abilityName>全半角问题</abilityName>
      <candidateList/>
      <explain>文本全半角错误。</explain>
      <paraID>538A45DA</paraID>
      <start>25</start>
      <end>26</end>
      <status>unmodified</status>
      <modifiedWord/>
      <trackRevisions>false</trackRevisions>
    </reviewItem>
    <reviewItem>
      <errorID>2f1da280-fba8-46ab-aad4-b5421532da9d</errorID>
      <errorWord>"</errorWord>
      <group>L1_Format</group>
      <groupName>格式问题</groupName>
      <ability>L2_HalfPunc_CN</ability>
      <abilityName>全半角问题</abilityName>
      <candidateList>
        <item>”</item>
      </candidateList>
      <explain>文本全半角错误。</explain>
      <paraID>538A45DA</paraID>
      <start>41</start>
      <end>42</end>
      <status>unmodified</status>
      <modifiedWord/>
      <trackRevisions>false</trackRevisions>
    </reviewItem>
    <reviewItem>
      <errorID>4f4c8bbc-3a1a-432c-82a6-f74f5cbabbea</errorID>
      <errorWord>"</errorWord>
      <group>L1_Format</group>
      <groupName>格式问题</groupName>
      <ability>L2_HalfPunc_CN</ability>
      <abilityName>全半角问题</abilityName>
      <candidateList/>
      <explain>文本全半角错误。</explain>
      <paraID>538A45DA</paraID>
      <start>63</start>
      <end>64</end>
      <status>unmodified</status>
      <modifiedWord/>
      <trackRevisions>false</trackRevisions>
    </reviewItem>
    <reviewItem>
      <errorID>2a49a8d1-bc7a-4b6c-9464-cb1dea2cfe1e</errorID>
      <errorWord>"</errorWord>
      <group>L1_Format</group>
      <groupName>格式问题</groupName>
      <ability>L2_HalfPunc_CN</ability>
      <abilityName>全半角问题</abilityName>
      <candidateList>
        <item>”</item>
      </candidateList>
      <explain>文本全半角错误。</explain>
      <paraID>538A45DA</paraID>
      <start>79</start>
      <end>80</end>
      <status>unmodified</status>
      <modifiedWord/>
      <trackRevisions>false</trackRevisions>
    </reviewItem>
    <reviewItem>
      <errorID>8baf54f4-c512-4a6b-a460-b713e240c6d4</errorID>
      <errorWord>:</errorWord>
      <group>L1_Format</group>
      <groupName>格式问题</groupName>
      <ability>L2_HalfPunc_CN</ability>
      <abilityName>全半角问题</abilityName>
      <candidateList>
        <item>：</item>
      </candidateList>
      <explain>文本全半角错误。</explain>
      <paraID>  107D64</paraID>
      <start>2</start>
      <end>3</end>
      <status>unmodified</status>
      <modifiedWord/>
      <trackRevisions>false</trackRevisions>
    </reviewItem>
    <reviewItem>
      <errorID>cebef557-a832-45cc-b190-501d6a25ce94</errorID>
      <errorWord>1所示</errorWord>
      <group>L1_Grammar</group>
      <groupName>语法问题</groupName>
      <ability>L2_Grammar</ability>
      <abilityName>语法错误</abilityName>
      <candidateList>
        <item>1</item>
      </candidateList>
      <explain/>
      <paraID> 63FA85C</paraID>
      <start>50</start>
      <end>53</end>
      <status>unmodified</status>
      <modifiedWord/>
      <trackRevisions>false</trackRevisions>
    </reviewItem>
    <reviewItem>
      <errorID>226fbabc-0583-4889-9e8d-450814074a94</errorID>
      <errorWord>:</errorWord>
      <group>L1_Format</group>
      <groupName>格式问题</groupName>
      <ability>L2_HalfPunc_CN</ability>
      <abilityName>全半角问题</abilityName>
      <candidateList>
        <item>：</item>
      </candidateList>
      <explain>文本全半角错误。</explain>
      <paraID> 6A7546F</paraID>
      <start>4</start>
      <end>5</end>
      <status>unmodified</status>
      <modifiedWord/>
      <trackRevisions>false</trackRevisions>
    </reviewItem>
    <reviewItem>
      <errorID>7d85f0d4-1145-47b7-80b5-b1f93fa7c2e4</errorID>
      <errorWord>:</errorWord>
      <group>L1_Format</group>
      <groupName>格式问题</groupName>
      <ability>L2_HalfPunc_CN</ability>
      <abilityName>全半角问题</abilityName>
      <candidateList>
        <item>：</item>
      </candidateList>
      <explain>文本全半角错误。</explain>
      <paraID>733A0E77</paraID>
      <start>8</start>
      <end>9</end>
      <status>unmodified</status>
      <modifiedWord/>
      <trackRevisions>false</trackRevisions>
    </reviewItem>
    <reviewItem>
      <errorID>08482e7b-5f1a-425a-b562-b500e4af7e99</errorID>
      <errorWord>:</errorWord>
      <group>L1_Format</group>
      <groupName>格式问题</groupName>
      <ability>L2_HalfPunc_CN</ability>
      <abilityName>全半角问题</abilityName>
      <candidateList>
        <item>：</item>
      </candidateList>
      <explain>文本全半角错误。</explain>
      <paraID>  B70ECE</paraID>
      <start>4</start>
      <end>5</end>
      <status>unmodified</status>
      <modifiedWord/>
      <trackRevisions>false</trackRevisions>
    </reviewItem>
    <reviewItem>
      <errorID>c321f19a-f02e-4ad9-b1b0-41fdcdf84d73</errorID>
      <errorWord>:</errorWord>
      <group>L1_Format</group>
      <groupName>格式问题</groupName>
      <ability>L2_HalfPunc_CN</ability>
      <abilityName>全半角问题</abilityName>
      <candidateList>
        <item>：</item>
      </candidateList>
      <explain>文本全半角错误。</explain>
      <paraID>49BC2169</paraID>
      <start>6</start>
      <end>7</end>
      <status>unmodified</status>
      <modifiedWord/>
      <trackRevisions>false</trackRevisions>
    </reviewItem>
    <reviewItem>
      <errorID>3787aa14-b367-4bf9-aee0-d097ade80043</errorID>
      <errorWord>:</errorWord>
      <group>L1_Format</group>
      <groupName>格式问题</groupName>
      <ability>L2_HalfPunc_CN</ability>
      <abilityName>全半角问题</abilityName>
      <candidateList>
        <item>：</item>
      </candidateList>
      <explain>文本全半角错误。</explain>
      <paraID>7ADF84F7</paraID>
      <start>4</start>
      <end>5</end>
      <status>unmodified</status>
      <modifiedWord/>
      <trackRevisions>false</trackRevisions>
    </reviewItem>
    <reviewItem>
      <errorID>15803698-d7b3-4968-8213-1600dbd70509</errorID>
      <errorWord>:</errorWord>
      <group>L1_Format</group>
      <groupName>格式问题</groupName>
      <ability>L2_HalfPunc_CN</ability>
      <abilityName>全半角问题</abilityName>
      <candidateList>
        <item>：</item>
      </candidateList>
      <explain>文本全半角错误。</explain>
      <paraID>44893479</paraID>
      <start>10</start>
      <end>11</end>
      <status>unmodified</status>
      <modifiedWord/>
      <trackRevisions>false</trackRevisions>
    </reviewItem>
    <reviewItem>
      <errorID>0b0dc2e3-7830-4e3b-abef-ecd1cb3f15a8</errorID>
      <errorWord>:</errorWord>
      <group>L1_Format</group>
      <groupName>格式问题</groupName>
      <ability>L2_HalfPunc_CN</ability>
      <abilityName>全半角问题</abilityName>
      <candidateList>
        <item>：</item>
      </candidateList>
      <explain>文本全半角错误。</explain>
      <paraID> F8EC80C</paraID>
      <start>11</start>
      <end>12</end>
      <status>unmodified</status>
      <modifiedWord/>
      <trackRevisions>false</trackRevisions>
    </reviewItem>
    <reviewItem>
      <errorID>81877ae2-8cc4-4fe4-b7ea-f41c85958dcc</errorID>
      <errorWord>:</errorWord>
      <group>L1_Format</group>
      <groupName>格式问题</groupName>
      <ability>L2_HalfPunc_CN</ability>
      <abilityName>全半角问题</abilityName>
      <candidateList>
        <item>：</item>
      </candidateList>
      <explain>文本全半角错误。</explain>
      <paraID>7536041C</paraID>
      <start>9</start>
      <end>10</end>
      <status>unmodified</status>
      <modifiedWord/>
      <trackRevisions>false</trackRevisions>
    </reviewItem>
    <reviewItem>
      <errorID>f9b05ba2-94ec-404f-b10a-98fde491ae42</errorID>
      <errorWord>:</errorWord>
      <group>L1_Format</group>
      <groupName>格式问题</groupName>
      <ability>L2_HalfPunc_CN</ability>
      <abilityName>全半角问题</abilityName>
      <candidateList>
        <item>：</item>
      </candidateList>
      <explain>文本全半角错误。</explain>
      <paraID> 82BA0A6</paraID>
      <start>9</start>
      <end>10</end>
      <status>unmodified</status>
      <modifiedWord/>
      <trackRevisions>false</trackRevisions>
    </reviewItem>
    <reviewItem>
      <errorID>e202ec3d-4311-433d-9397-203c629587ca</errorID>
      <errorWord>:</errorWord>
      <group>L1_Format</group>
      <groupName>格式问题</groupName>
      <ability>L2_HalfPunc_CN</ability>
      <abilityName>全半角问题</abilityName>
      <candidateList>
        <item>：</item>
      </candidateList>
      <explain>文本全半角错误。</explain>
      <paraID>7A1E950A</paraID>
      <start>23</start>
      <end>24</end>
      <status>unmodified</status>
      <modifiedWord/>
      <trackRevisions>false</trackRevisions>
    </reviewItem>
    <reviewItem>
      <errorID>5f5ef31c-1a72-4876-b9a8-0bcc4fb22c15</errorID>
      <errorWord>:</errorWord>
      <group>L1_Format</group>
      <groupName>格式问题</groupName>
      <ability>L2_HalfPunc_CN</ability>
      <abilityName>全半角问题</abilityName>
      <candidateList>
        <item>：</item>
      </candidateList>
      <explain>文本全半角错误。</explain>
      <paraID>3C26DC12</paraID>
      <start>25</start>
      <end>26</end>
      <status>unmodified</status>
      <modifiedWord/>
      <trackRevisions>false</trackRevisions>
    </reviewItem>
    <reviewItem>
      <errorID>1a761715-2768-4678-ad57-1bcce437cf21</errorID>
      <errorWord>:</errorWord>
      <group>L1_Format</group>
      <groupName>格式问题</groupName>
      <ability>L2_HalfPunc_CN</ability>
      <abilityName>全半角问题</abilityName>
      <candidateList>
        <item>：</item>
      </candidateList>
      <explain>文本全半角错误。</explain>
      <paraID>238F41EC</paraID>
      <start>8</start>
      <end>9</end>
      <status>unmodified</status>
      <modifiedWord/>
      <trackRevisions>false</trackRevisions>
    </reviewItem>
    <reviewItem>
      <errorID>c491ca3e-4c57-4a52-9bff-a5770725cb3a</errorID>
      <errorWord>:</errorWord>
      <group>L1_Format</group>
      <groupName>格式问题</groupName>
      <ability>L2_HalfPunc_CN</ability>
      <abilityName>全半角问题</abilityName>
      <candidateList>
        <item>：</item>
      </candidateList>
      <explain>文本全半角错误。</explain>
      <paraID>564148CD</paraID>
      <start>9</start>
      <end>10</end>
      <status>unmodified</status>
      <modifiedWord/>
      <trackRevisions>false</trackRevisions>
    </reviewItem>
    <reviewItem>
      <errorID>0922e7df-befc-4ac6-b458-deae1dddd00e</errorID>
      <errorWord>:</errorWord>
      <group>L1_Format</group>
      <groupName>格式问题</groupName>
      <ability>L2_HalfPunc_CN</ability>
      <abilityName>全半角问题</abilityName>
      <candidateList>
        <item>：</item>
      </candidateList>
      <explain>文本全半角错误。</explain>
      <paraID>5D64F194</paraID>
      <start>52</start>
      <end>53</end>
      <status>unmodified</status>
      <modifiedWord/>
      <trackRevisions>false</trackRevisions>
    </reviewItem>
    <reviewItem>
      <errorID>2984df44-05b9-4a6d-840d-8a4298c338e0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1A41AFB0</paraID>
      <start>0</start>
      <end>2</end>
      <status>unmodified</status>
      <modifiedWord/>
      <trackRevisions>false</trackRevisions>
    </reviewItem>
    <reviewItem>
      <errorID>642e0627-28c0-4f3d-8cc6-7e2840c51dec</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5AE93DE3</paraID>
      <start>15</start>
      <end>21</end>
      <status>unmodified</status>
      <modifiedWord/>
      <trackRevisions>false</trackRevisions>
    </reviewItem>
    <reviewItem>
      <errorID>86b1c9b9-6868-4bb2-95d9-e89007ff0680</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5AE93DE3</paraID>
      <start>59</start>
      <end>65</end>
      <status>unmodified</status>
      <modifiedWord/>
      <trackRevisions>false</trackRevisions>
    </reviewItem>
    <reviewItem>
      <errorID>9b0447ec-d079-43b3-b789-79e0ef5b231e</errorID>
      <errorWord>中</errorWord>
      <group>L1_Word</group>
      <groupName>字词问题</groupName>
      <ability>L2_Typo</ability>
      <abilityName>字词错误</abilityName>
      <candidateList>
        <item>的</item>
      </candidateList>
      <explain/>
      <paraID>5AE93DE3</paraID>
      <start>167</start>
      <end>168</end>
      <status>modified</status>
      <modifiedWord>的</modifiedWord>
      <trackRevisions>false</trackRevisions>
    </reviewItem>
    <reviewItem>
      <errorID>6a5e42f2-c52d-4321-a657-62558cb82924</errorID>
      <errorWord>:</errorWord>
      <group>L1_Format</group>
      <groupName>格式问题</groupName>
      <ability>L2_HalfPunc_CN</ability>
      <abilityName>全半角问题</abilityName>
      <candidateList>
        <item>：</item>
      </candidateList>
      <explain>文本全半角错误。</explain>
      <paraID>5AE93DE3</paraID>
      <start>349</start>
      <end>350</end>
      <status>unmodified</status>
      <modifiedWord/>
      <trackRevisions>false</trackRevisions>
    </reviewItem>
    <reviewItem>
      <errorID>a459e272-756c-41f1-80e7-b6edac8943f8</errorID>
      <errorWord>"</errorWord>
      <group>L1_Format</group>
      <groupName>格式问题</groupName>
      <ability>L2_HalfPunc_CN</ability>
      <abilityName>全半角问题</abilityName>
      <candidateList>
        <item>“</item>
      </candidateList>
      <explain>文本全半角错误。</explain>
      <paraID>6378EE4A</paraID>
      <start>3</start>
      <end>4</end>
      <status>unmodified</status>
      <modifiedWord/>
      <trackRevisions>false</trackRevisions>
    </reviewItem>
    <reviewItem>
      <errorID>59ca550b-e64d-454d-a6c1-fd97de51a2d8</errorID>
      <errorWord>"</errorWord>
      <group>L1_Format</group>
      <groupName>格式问题</groupName>
      <ability>L2_HalfPunc_CN</ability>
      <abilityName>全半角问题</abilityName>
      <candidateList>
        <item>”</item>
      </candidateList>
      <explain>文本全半角错误。</explain>
      <paraID>6378EE4A</paraID>
      <start>6</start>
      <end>7</end>
      <status>unmodified</status>
      <modifiedWord/>
      <trackRevisions>false</trackRevisions>
    </reviewItem>
    <reviewItem>
      <errorID>5f46b50a-9bac-4f40-acee-d89254ee7b3d</errorID>
      <errorWord>图1—</errorWord>
      <group>L1_Word</group>
      <groupName>字词问题</groupName>
      <ability>L2_Typo</ability>
      <abilityName>字词错误</abilityName>
      <candidateList>
        <item>图1-</item>
      </candidateList>
      <explain/>
      <paraID>526EED66</paraID>
      <start>2</start>
      <end>5</end>
      <status>unmodified</status>
      <modifiedWord/>
      <trackRevisions>false</trackRevisions>
    </reviewItem>
    <reviewItem>
      <errorID>c94b1ed8-69c4-4056-a3d2-4c5547d591ff</errorID>
      <errorWord>:</errorWord>
      <group>L1_Format</group>
      <groupName>格式问题</groupName>
      <ability>L2_HalfPunc_CN</ability>
      <abilityName>全半角问题</abilityName>
      <candidateList>
        <item>：</item>
      </candidateList>
      <explain>文本全半角错误。</explain>
      <paraID>51BDDA9A</paraID>
      <start>10</start>
      <end>11</end>
      <status>unmodified</status>
      <modifiedWord/>
      <trackRevisions>false</trackRevisions>
    </reviewItem>
    <reviewItem>
      <errorID>71870511-e235-488a-9b1a-a1c6bb63312a</errorID>
      <errorWord>:</errorWord>
      <group>L1_Format</group>
      <groupName>格式问题</groupName>
      <ability>L2_HalfPunc_CN</ability>
      <abilityName>全半角问题</abilityName>
      <candidateList>
        <item>：</item>
      </candidateList>
      <explain>文本全半角错误。</explain>
      <paraID> B46665E</paraID>
      <start>12</start>
      <end>13</end>
      <status>unmodified</status>
      <modifiedWord/>
      <trackRevisions>false</trackRevisions>
    </reviewItem>
    <reviewItem>
      <errorID>a5dab475-9a54-43df-be29-7b07eac40b4c</errorID>
      <errorWord>图1—</errorWord>
      <group>L1_Word</group>
      <groupName>字词问题</groupName>
      <ability>L2_Typo</ability>
      <abilityName>字词错误</abilityName>
      <candidateList>
        <item>图1-</item>
      </candidateList>
      <explain/>
      <paraID>1CCD61F2</paraID>
      <start>0</start>
      <end>3</end>
      <status>unmodified</status>
      <modifiedWord/>
      <trackRevisions>false</trackRevisions>
    </reviewItem>
    <reviewItem>
      <errorID>7a8366f4-739e-4c72-bf27-1b446fd5b048</errorID>
      <errorWord>"</errorWord>
      <group>L1_Format</group>
      <groupName>格式问题</groupName>
      <ability>L2_HalfPunc_CN</ability>
      <abilityName>全半角问题</abilityName>
      <candidateList>
        <item>“</item>
      </candidateList>
      <explain>文本全半角错误。</explain>
      <paraID>66807DD5</paraID>
      <start>3</start>
      <end>4</end>
      <status>unmodified</status>
      <modifiedWord/>
      <trackRevisions>false</trackRevisions>
    </reviewItem>
    <reviewItem>
      <errorID>e57b759f-cb5e-4124-a7ae-2b1c3d0f0910</errorID>
      <errorWord>"</errorWord>
      <group>L1_Format</group>
      <groupName>格式问题</groupName>
      <ability>L2_HalfPunc_CN</ability>
      <abilityName>全半角问题</abilityName>
      <candidateList>
        <item>”</item>
      </candidateList>
      <explain>文本全半角错误。</explain>
      <paraID>66807DD5</paraID>
      <start>6</start>
      <end>7</end>
      <status>unmodified</status>
      <modifiedWord/>
      <trackRevisions>false</trackRevisions>
    </reviewItem>
    <reviewItem>
      <errorID>2e6152a9-bb3b-4571-81f7-14e87af7ad80</errorID>
      <errorWord>:</errorWord>
      <group>L1_Format</group>
      <groupName>格式问题</groupName>
      <ability>L2_HalfPunc_CN</ability>
      <abilityName>全半角问题</abilityName>
      <candidateList>
        <item>：</item>
      </candidateList>
      <explain>文本全半角错误。</explain>
      <paraID>379A6D3C</paraID>
      <start>8</start>
      <end>9</end>
      <status>unmodified</status>
      <modifiedWord/>
      <trackRevisions>false</trackRevisions>
    </reviewItem>
    <reviewItem>
      <errorID>584d5f22-e5b7-4636-a0e9-f9b558769283</errorID>
      <errorWord>"</errorWord>
      <group>L1_Format</group>
      <groupName>格式问题</groupName>
      <ability>L2_HalfPunc_CN</ability>
      <abilityName>全半角问题</abilityName>
      <candidateList>
        <item>“</item>
      </candidateList>
      <explain>文本全半角错误。</explain>
      <paraID>4612E805</paraID>
      <start>2</start>
      <end>3</end>
      <status>unmodified</status>
      <modifiedWord/>
      <trackRevisions>false</trackRevisions>
    </reviewItem>
    <reviewItem>
      <errorID>cdc49d68-c4ec-49ef-9a27-b2ca13f53cce</errorID>
      <errorWord>"</errorWord>
      <group>L1_Format</group>
      <groupName>格式问题</groupName>
      <ability>L2_HalfPunc_CN</ability>
      <abilityName>全半角问题</abilityName>
      <candidateList>
        <item>”</item>
      </candidateList>
      <explain>文本全半角错误。</explain>
      <paraID>4612E805</paraID>
      <start>11</start>
      <end>12</end>
      <status>unmodified</status>
      <modifiedWord/>
      <trackRevisions>false</trackRevisions>
    </reviewItem>
    <reviewItem>
      <errorID>2efa1db7-9a16-4aa1-bfe2-2a1cd49c7c31</errorID>
      <errorWord>"</errorWord>
      <group>L1_Format</group>
      <groupName>格式问题</groupName>
      <ability>L2_HalfPunc_CN</ability>
      <abilityName>全半角问题</abilityName>
      <candidateList>
        <item>“</item>
      </candidateList>
      <explain>文本全半角错误。</explain>
      <paraID> 541C8CF</paraID>
      <start>4</start>
      <end>5</end>
      <status>unmodified</status>
      <modifiedWord/>
      <trackRevisions>false</trackRevisions>
    </reviewItem>
    <reviewItem>
      <errorID>ecfc5ed4-c5ed-498f-8068-87888fa627c9</errorID>
      <errorWord>"</errorWord>
      <group>L1_Format</group>
      <groupName>格式问题</groupName>
      <ability>L2_HalfPunc_CN</ability>
      <abilityName>全半角问题</abilityName>
      <candidateList>
        <item>”</item>
      </candidateList>
      <explain>文本全半角错误。</explain>
      <paraID> 541C8CF</paraID>
      <start>13</start>
      <end>14</end>
      <status>unmodified</status>
      <modifiedWord/>
      <trackRevisions>false</trackRevisions>
    </reviewItem>
    <reviewItem>
      <errorID>9214d8b1-9b0e-44fe-a1bb-3332fd897379</errorID>
      <errorWord>"</errorWord>
      <group>L1_Format</group>
      <groupName>格式问题</groupName>
      <ability>L2_HalfPunc_CN</ability>
      <abilityName>全半角问题</abilityName>
      <candidateList>
        <item>“</item>
      </candidateList>
      <explain>文本全半角错误。</explain>
      <paraID>54A1FB62</paraID>
      <start>10</start>
      <end>11</end>
      <status>unmodified</status>
      <modifiedWord/>
      <trackRevisions>false</trackRevisions>
    </reviewItem>
    <reviewItem>
      <errorID>b7a105ed-89c7-4db7-abf8-1c92be68b1e5</errorID>
      <errorWord>"</errorWord>
      <group>L1_Format</group>
      <groupName>格式问题</groupName>
      <ability>L2_HalfPunc_CN</ability>
      <abilityName>全半角问题</abilityName>
      <candidateList>
        <item>”</item>
      </candidateList>
      <explain>文本全半角错误。</explain>
      <paraID>54A1FB62</paraID>
      <start>19</start>
      <end>20</end>
      <status>unmodified</status>
      <modifiedWord/>
      <trackRevisions>false</trackRevisions>
    </reviewItem>
    <reviewItem>
      <errorID>9ed08520-36fd-492d-b027-1ccaca7ebcfd</errorID>
      <errorWord>1</errorWord>
      <group>L1_Punc</group>
      <groupName>标点问题</groupName>
      <ability>L2_Punc_CN</ability>
      <abilityName>标点符号问题</abilityName>
      <candidateList>
        <item>：1</item>
      </candidateList>
      <explain/>
      <paraID>372D7A8B</paraID>
      <start>2</start>
      <end>3</end>
      <status>unmodified</status>
      <modifiedWord/>
      <trackRevisions>false</trackRevisions>
    </reviewItem>
    <reviewItem>
      <errorID>a571ab87-e01f-47ee-a678-64822a68bb07</errorID>
      <errorWord>化工</errorWord>
      <group>L1_Punc</group>
      <groupName>标点问题</groupName>
      <ability>L2_Punc_CN</ability>
      <abilityName>标点符号问题</abilityName>
      <candidateList>
        <item>：化工</item>
      </candidateList>
      <explain/>
      <paraID>50230F6E</paraID>
      <start>2</start>
      <end>4</end>
      <status>unmodified</status>
      <modifiedWord/>
      <trackRevisions>false</trackRevisions>
    </reviewItem>
    <reviewItem>
      <errorID>ea328e14-f4b5-4ba7-9ebd-171a82139314</errorID>
      <errorWord> </errorWord>
      <group>L1_Punc</group>
      <groupName>标点问题</groupName>
      <ability>L2_Punc_CN</ability>
      <abilityName>标点符号问题</abilityName>
      <candidateList>
        <item>：</item>
      </candidateList>
      <explain/>
      <paraID>76252174</paraID>
      <start>2</start>
      <end>3</end>
      <status>unmodified</status>
      <modifiedWord/>
      <trackRevisions>false</trackRevisions>
    </reviewItem>
    <reviewItem>
      <errorID>707f9c35-cd36-452f-8e92-0811428562fc</errorID>
      <errorWord>三氟乙烷</errorWord>
      <group>L1_Knowledge</group>
      <groupName>知识性问题</groupName>
      <ability>L2_Term</ability>
      <abilityName>专业术语</abilityName>
      <candidateList>
        <item>氟烷</item>
      </candidateList>
      <explain>医学名词[三氟乙烷]为不规范表述或旧称，其规范书面表述为[氟烷]。</explain>
      <paraID> 1010FC8</paraID>
      <start>178</start>
      <end>182</end>
      <status>unmodified</status>
      <modifiedWord/>
      <trackRevisions>false</trackRevisions>
    </reviewItem>
    <reviewItem>
      <errorID>a3f5d010-bb68-4eed-9407-3060ae5320fe</errorID>
      <errorWord>) </errorWord>
      <group>L1_Punc</group>
      <groupName>标点问题</groupName>
      <ability>L2_Punc_CN</ability>
      <abilityName>标点符号问题</abilityName>
      <candidateList>
        <item>）</item>
      </candidateList>
      <explain/>
      <paraID> 1010FC8</paraID>
      <start>276</start>
      <end>278</end>
      <status>unmodified</status>
      <modifiedWord/>
      <trackRevisions>false</trackRevisions>
    </reviewItem>
    <reviewItem>
      <errorID>b5e9f95a-8710-4a48-befd-fadf3ac14b86</errorID>
      <errorWord>"一说明"</errorWord>
      <group>L1_Punc</group>
      <groupName>标点问题</groupName>
      <ability>L2_Punc_CN</ability>
      <abilityName>标点符号问题</abilityName>
      <candidateList>
        <item>“一说明”</item>
      </candidateList>
      <explain/>
      <paraID>4310D3F4</paraID>
      <start>3</start>
      <end>8</end>
      <status>unmodified</status>
      <modifiedWord/>
      <trackRevisions>false</trackRevisions>
    </reviewItem>
    <reviewItem>
      <errorID>7f2c28af-7452-4649-9153-3c6ef8c093af</errorID>
      <errorWord>数据交集</errorWord>
      <group>L1_Knowledge</group>
      <groupName>知识性问题</groupName>
      <ability>L2_Term</ability>
      <abilityName>专业术语</abilityName>
      <candidateList>
        <item>数据采集</item>
      </candidateList>
      <explain/>
      <paraID>49632394</paraID>
      <start>134</start>
      <end>138</end>
      <status>unmodified</status>
      <modifiedWord/>
      <trackRevisions>false</trackRevisions>
    </reviewItem>
    <reviewItem>
      <errorID>854aee85-65f8-4a74-9381-4b2432cbb86e</errorID>
      <errorWord>相交</errorWord>
      <group>L1_Word</group>
      <groupName>字词问题</groupName>
      <ability>L2_Typo</ability>
      <abilityName>字词错误</abilityName>
      <candidateList>
        <item>的相交</item>
      </candidateList>
      <explain/>
      <paraID>3AD10B2F</paraID>
      <start>30</start>
      <end>32</end>
      <status>unmodified</status>
      <modifiedWord/>
      <trackRevisions>false</trackRevisions>
    </reviewItem>
    <reviewItem>
      <errorID>59c36483-c444-4eba-aedd-6133d6821a81</errorID>
      <errorWord>所示</errorWord>
      <group>L1_Word</group>
      <groupName>字词问题</groupName>
      <ability>L2_Typo</ability>
      <abilityName>字词错误</abilityName>
      <candidateList>
        <item>显示</item>
      </candidateList>
      <explain/>
      <paraID>3AD10B2F</paraID>
      <start>34</start>
      <end>36</end>
      <status>unmodified</status>
      <modifiedWord/>
      <trackRevisions>false</trackRevisions>
    </reviewItem>
    <reviewItem>
      <errorID>95aed67d-0835-4221-a0b0-36698f3dd5ea</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3AD10B2F</paraID>
      <start>58</start>
      <end>64</end>
      <status>unmodified</status>
      <modifiedWord/>
      <trackRevisions>false</trackRevisions>
    </reviewItem>
    <reviewItem>
      <errorID>c330ab55-4ad6-4329-8158-4cfd8cc3b587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219C47D1</paraID>
      <start>0</start>
      <end>2</end>
      <status>unmodified</status>
      <modifiedWord/>
      <trackRevisions>false</trackRevisions>
    </reviewItem>
    <reviewItem>
      <errorID>5efdd72a-0b21-45d6-8d41-f7bd9378c293</errorID>
      <errorWord>[2018]2号</errorWord>
      <group>L1_Knowledge</group>
      <groupName>知识性问题</groupName>
      <ability>L2_Knowledge</ability>
      <abilityName>其他知识</abilityName>
      <candidateList>
        <item>〔2018〕2号</item>
      </candidateList>
      <explain>发文字号格式错误。</explain>
      <paraID>219C47D1</paraID>
      <start>41</start>
      <end>49</end>
      <status>unmodified</status>
      <modifiedWord/>
      <trackRevisions>false</trackRevisions>
    </reviewItem>
    <reviewItem>
      <errorID>e6b64f76-46ba-4b9a-a84d-34fab27c5838</errorID>
      <errorWord>与</errorWord>
      <group>L1_Word</group>
      <groupName>字词问题</groupName>
      <ability>L2_Typo</ability>
      <abilityName>字词错误</abilityName>
      <candidateList>
        <item> 与</item>
      </candidateList>
      <explain/>
      <paraID>2DCA7B13</paraID>
      <start>4</start>
      <end>5</end>
      <status>unmodified</status>
      <modifiedWord/>
      <trackRevisions>false</trackRevisions>
    </reviewItem>
    <reviewItem>
      <errorID>6f8566a9-811e-4180-bbb4-429ca50e5878</errorID>
      <errorWord>[2018]2号</errorWord>
      <group>L1_Knowledge</group>
      <groupName>知识性问题</groupName>
      <ability>L2_Knowledge</ability>
      <abilityName>其他知识</abilityName>
      <candidateList>
        <item>〔2018〕2号</item>
      </candidateList>
      <explain>发文字号格式错误。</explain>
      <paraID>2DCA7B13</paraID>
      <start>43</start>
      <end>51</end>
      <status>modified</status>
      <modifiedWord>〔2018〕2号</modifiedWord>
      <trackRevisions>false</trackRevisions>
    </reviewItem>
    <reviewItem>
      <errorID>fa425edd-dce0-43f2-ad75-36302df1f040</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74</start>
      <end>77</end>
      <status>unmodified</status>
      <modifiedWord/>
      <trackRevisions>false</trackRevisions>
    </reviewItem>
    <reviewItem>
      <errorID>5ef55619-a4d4-4e9b-96b4-e5fc58df5f59</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87</start>
      <end>90</end>
      <status>unmodified</status>
      <modifiedWord/>
      <trackRevisions>false</trackRevisions>
    </reviewItem>
    <reviewItem>
      <errorID>3cf31eaa-d540-49dd-b5ca-7c6c9d0bf730</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112</start>
      <end>115</end>
      <status>unmodified</status>
      <modifiedWord/>
      <trackRevisions>false</trackRevisions>
    </reviewItem>
    <reviewItem>
      <errorID>d025e07a-d0a1-46a1-a8c0-ddb17dd979b4</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2586FC69</paraID>
      <start>124</start>
      <end>127</end>
      <status>unmodified</status>
      <modifiedWord/>
      <trackRevisions>false</trackRevisions>
    </reviewItem>
    <reviewItem>
      <errorID>efe6539b-23e8-49e1-9c34-908120e5c5cd</errorID>
      <errorWord>"</errorWord>
      <group>L1_Format</group>
      <groupName>格式问题</groupName>
      <ability>L2_HalfPunc_CN</ability>
      <abilityName>全半角问题</abilityName>
      <candidateList>
        <item>“</item>
      </candidateList>
      <explain>文本全半角错误。</explain>
      <paraID>4508E55D</paraID>
      <start>20</start>
      <end>21</end>
      <status>unmodified</status>
      <modifiedWord/>
      <trackRevisions>false</trackRevisions>
    </reviewItem>
    <reviewItem>
      <errorID>d2981a40-8ee3-476e-97fb-acda5d2b27b5</errorID>
      <errorWord>"</errorWord>
      <group>L1_Format</group>
      <groupName>格式问题</groupName>
      <ability>L2_HalfPunc_CN</ability>
      <abilityName>全半角问题</abilityName>
      <candidateList>
        <item>”</item>
      </candidateList>
      <explain>文本全半角错误。</explain>
      <paraID>4508E55D</paraID>
      <start>23</start>
      <end>24</end>
      <status>unmodified</status>
      <modifiedWord/>
      <trackRevisions>false</trackRevisions>
    </reviewItem>
    <reviewItem>
      <errorID>4cfedbb1-4558-47a8-a7c1-fc6609300aea</errorID>
      <errorWord>。</errorWord>
      <group>L1_Punc</group>
      <groupName>标点问题</groupName>
      <ability>L2_Punc_CN</ability>
      <abilityName>标点符号问题</abilityName>
      <candidateList>
        <item>；</item>
      </candidateList>
      <explain/>
      <paraID>342DE60F</paraID>
      <start>292</start>
      <end>293</end>
      <status>unmodified</status>
      <modifiedWord/>
      <trackRevisions>false</trackRevisions>
    </reviewItem>
    <reviewItem>
      <errorID>5e57b823-8313-4522-ab20-557b2f97d2bc</errorID>
      <errorWord>。</errorWord>
      <group>L1_Punc</group>
      <groupName>标点问题</groupName>
      <ability>L2_Punc_CN</ability>
      <abilityName>标点符号问题</abilityName>
      <candidateList>
        <item>；</item>
      </candidateList>
      <explain/>
      <paraID>4D0CBBD3</paraID>
      <start>71</start>
      <end>72</end>
      <status>unmodified</status>
      <modifiedWord/>
      <trackRevisions>false</trackRevisions>
    </reviewItem>
    <reviewItem>
      <errorID>de628a7e-eefa-4263-94cb-d34c260fbd88</errorID>
      <errorWord>"以新带老"</errorWord>
      <group>L1_Punc</group>
      <groupName>标点问题</groupName>
      <ability>L2_Punc_CN</ability>
      <abilityName>标点符号问题</abilityName>
      <candidateList>
        <item>“以新带老”</item>
      </candidateList>
      <explain/>
      <paraID>5E02D4EE</paraID>
      <start>44</start>
      <end>50</end>
      <status>unmodified</status>
      <modifiedWord/>
      <trackRevisions>false</trackRevisions>
    </reviewItem>
    <reviewItem>
      <errorID>a74fde6d-61bc-495e-bf0d-33dcf4cffbd1</errorID>
      <errorWord>"以新带老"</errorWord>
      <group>L1_Punc</group>
      <groupName>标点问题</groupName>
      <ability>L2_Punc_CN</ability>
      <abilityName>标点符号问题</abilityName>
      <candidateList>
        <item>“以新带老”</item>
      </candidateList>
      <explain/>
      <paraID>53B0D5AB</paraID>
      <start>21</start>
      <end>27</end>
      <status>unmodified</status>
      <modifiedWord/>
      <trackRevisions>false</trackRevisions>
    </reviewItem>
    <reviewItem>
      <errorID>93e61d39-ffd5-4829-9bef-c168dc773f04</errorID>
      <errorWord>协调</errorWord>
      <group>L1_Punc</group>
      <groupName>标点问题</groupName>
      <ability>L2_Punc_CN</ability>
      <abilityName>标点符号问题</abilityName>
      <candidateList>
        <item>协调。</item>
      </candidateList>
      <explain/>
      <paraID>3B7D5BAF</paraID>
      <start>60</start>
      <end>62</end>
      <status>unmodified</status>
      <modifiedWord/>
      <trackRevisions>false</trackRevisions>
    </reviewItem>
    <reviewItem>
      <errorID>db952eac-05f0-49d8-83d2-ab92a15c0996</errorID>
      <errorWord>》是</errorWord>
      <group>L1_Word</group>
      <groupName>字词问题</groupName>
      <ability>L2_Typo</ability>
      <abilityName>字词错误</abilityName>
      <candidateList>
        <item>》</item>
      </candidateList>
      <explain/>
      <paraID>47361065</paraID>
      <start>42</start>
      <end>44</end>
      <status>unmodified</status>
      <modifiedWord/>
      <trackRevisions>false</trackRevisions>
    </reviewItem>
    <reviewItem>
      <errorID>83650ea0-3165-4c77-bb9b-c541f539a068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7B839D88</paraID>
      <start>0</start>
      <end>2</end>
      <status>unmodified</status>
      <modifiedWord/>
      <trackRevisions>false</trackRevisions>
    </reviewItem>
    <reviewItem>
      <errorID>9cbeb72d-8dbd-4f37-9180-33c0ebeb82e2</errorID>
      <errorWord>位于</errorWord>
      <group>L1_Word</group>
      <groupName>字词问题</groupName>
      <ability>L2_Typo</ability>
      <abilityName>字词错误</abilityName>
      <candidateList>
        <item>属于</item>
      </candidateList>
      <explain/>
      <paraID>5A0FA145</paraID>
      <start>93</start>
      <end>95</end>
      <status>unmodified</status>
      <modifiedWord/>
      <trackRevisions>false</trackRevisions>
    </reviewItem>
    <reviewItem>
      <errorID>38e9c751-2e4d-43d8-af6b-18d082dd1b54</errorID>
      <errorWord>:</errorWord>
      <group>L1_Format</group>
      <groupName>格式问题</groupName>
      <ability>L2_HalfPunc_CN</ability>
      <abilityName>全半角问题</abilityName>
      <candidateList>
        <item>：</item>
      </candidateList>
      <explain>文本全半角错误。</explain>
      <paraID>14C308BD</paraID>
      <start>4</start>
      <end>5</end>
      <status>unmodified</status>
      <modifiedWord/>
      <trackRevisions>false</trackRevisions>
    </reviewItem>
    <reviewItem>
      <errorID>0966973e-8a84-4378-a3d0-a126a17af2d5</errorID>
      <errorWord>种养殖</errorWord>
      <group>L1_Word</group>
      <groupName>字词问题</groupName>
      <ability>L2_Typo</ability>
      <abilityName>字词错误</abilityName>
      <candidateList>
        <item>种植养殖</item>
      </candidateList>
      <explain/>
      <paraID>14C308BD</paraID>
      <start>148</start>
      <end>151</end>
      <status>unmodified</status>
      <modifiedWord/>
      <trackRevisions>false</trackRevisions>
    </reviewItem>
    <reviewItem>
      <errorID>915bb43f-51e1-4192-aa6c-b3d76baff6bd</errorID>
      <errorWord>:</errorWord>
      <group>L1_Format</group>
      <groupName>格式问题</groupName>
      <ability>L2_HalfPunc_CN</ability>
      <abilityName>全半角问题</abilityName>
      <candidateList>
        <item>：</item>
      </candidateList>
      <explain>文本全半角错误。</explain>
      <paraID>171114EC</paraID>
      <start>4</start>
      <end>5</end>
      <status>unmodified</status>
      <modifiedWord/>
      <trackRevisions>false</trackRevisions>
    </reviewItem>
    <reviewItem>
      <errorID>ebef7f09-0982-41a0-af04-a5428ff7c4b8</errorID>
      <errorWord>:</errorWord>
      <group>L1_Format</group>
      <groupName>格式问题</groupName>
      <ability>L2_HalfPunc_CN</ability>
      <abilityName>全半角问题</abilityName>
      <candidateList>
        <item>：</item>
      </candidateList>
      <explain>文本全半角错误。</explain>
      <paraID>68F5DB59</paraID>
      <start>4</start>
      <end>5</end>
      <status>unmodified</status>
      <modifiedWord/>
      <trackRevisions>false</trackRevisions>
    </reviewItem>
    <reviewItem>
      <errorID>32a37505-392a-4b73-ad33-0924536e8345</errorID>
      <errorWord>:</errorWord>
      <group>L1_Format</group>
      <groupName>格式问题</groupName>
      <ability>L2_HalfPunc_CN</ability>
      <abilityName>全半角问题</abilityName>
      <candidateList>
        <item>：</item>
      </candidateList>
      <explain>文本全半角错误。</explain>
      <paraID>42B04D4F</paraID>
      <start>9</start>
      <end>10</end>
      <status>unmodified</status>
      <modifiedWord/>
      <trackRevisions>false</trackRevisions>
    </reviewItem>
    <reviewItem>
      <errorID>80469a8f-5771-4bc3-8ab6-31b9fdeb4690</errorID>
      <errorWord>:</errorWord>
      <group>L1_Format</group>
      <groupName>格式问题</groupName>
      <ability>L2_HalfPunc_CN</ability>
      <abilityName>全半角问题</abilityName>
      <candidateList>
        <item>：</item>
      </candidateList>
      <explain>文本全半角错误。</explain>
      <paraID>2C8C5178</paraID>
      <start>11</start>
      <end>12</end>
      <status>unmodified</status>
      <modifiedWord/>
      <trackRevisions>false</trackRevisions>
    </reviewItem>
    <reviewItem>
      <errorID>0e16fd62-7375-4630-aa77-9319ca622ac8</errorID>
      <errorWord>务</errorWord>
      <group>L1_Word</group>
      <groupName>字词问题</groupName>
      <ability>L2_Typo</ability>
      <abilityName>字词错误</abilityName>
      <candidateList>
        <item>务是</item>
      </candidateList>
      <explain/>
      <paraID>1237E9B5</paraID>
      <start>7</start>
      <end>8</end>
      <status>unmodified</status>
      <modifiedWord/>
      <trackRevisions>false</trackRevisions>
    </reviewItem>
    <reviewItem>
      <errorID>418fe91b-7084-459b-95ac-440bc3969edb</errorID>
      <errorWord>增大</errorWord>
      <group>L1_Word</group>
      <groupName>字词问题</groupName>
      <ability>L2_Typo</ability>
      <abilityName>字词错误</abilityName>
      <candidateList>
        <item>提高</item>
      </candidateList>
      <explain/>
      <paraID>1237E9B5</paraID>
      <start>28</start>
      <end>30</end>
      <status>unmodified</status>
      <modifiedWord/>
      <trackRevisions>false</trackRevisions>
    </reviewItem>
    <reviewItem>
      <errorID>0f67894b-5b0f-46bb-81f9-62f0cb252a01</errorID>
      <errorWord>，</errorWord>
      <group>L1_Punc</group>
      <groupName>标点问题</groupName>
      <ability>L2_Punc_CN</ability>
      <abilityName>标点符号问题</abilityName>
      <candidateList>
        <item>。</item>
      </candidateList>
      <explain/>
      <paraID>1237E9B5</paraID>
      <start>36</start>
      <end>37</end>
      <status>unmodified</status>
      <modifiedWord/>
      <trackRevisions>false</trackRevisions>
    </reviewItem>
    <reviewItem>
      <errorID>9f78ba19-6703-41a3-bd4d-707262523856</errorID>
      <errorWord>。在</errorWord>
      <group>L1_Word</group>
      <groupName>字词问题</groupName>
      <ability>L2_Typo</ability>
      <abilityName>字词错误</abilityName>
      <candidateList>
        <item>。</item>
      </candidateList>
      <explain/>
      <paraID>1237E9B5</paraID>
      <start>96</start>
      <end>98</end>
      <status>unmodified</status>
      <modifiedWord/>
      <trackRevisions>false</trackRevisions>
    </reviewItem>
    <reviewItem>
      <errorID>2ff3a741-8481-4cde-85e9-af8eb0a2ef39</errorID>
      <errorWord>措施后</errorWord>
      <group>L1_Word</group>
      <groupName>字词问题</groupName>
      <ability>L2_Typo</ability>
      <abilityName>字词错误</abilityName>
      <candidateList>
        <item>措施</item>
      </candidateList>
      <explain/>
      <paraID>1237E9B5</paraID>
      <start>120</start>
      <end>123</end>
      <status>unmodified</status>
      <modifiedWord/>
      <trackRevisions>false</trackRevisions>
    </reviewItem>
    <reviewItem>
      <errorID>fc525d97-f8ef-4ffe-802b-6d316f408077</errorID>
      <errorWord>图1—</errorWord>
      <group>L1_Word</group>
      <groupName>字词问题</groupName>
      <ability>L2_Typo</ability>
      <abilityName>字词错误</abilityName>
      <candidateList>
        <item>图1-</item>
      </candidateList>
      <explain/>
      <paraID>22A9929C</paraID>
      <start>0</start>
      <end>3</end>
      <status>unmodified</status>
      <modifiedWord/>
      <trackRevisions>false</trackRevisions>
    </reviewItem>
    <reviewItem>
      <errorID>9c0a7329-0fda-4460-b36b-b39efacde10a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26DD6597</paraID>
      <start>0</start>
      <end>2</end>
      <status>unmodified</status>
      <modifiedWord/>
      <trackRevisions>false</trackRevisions>
    </reviewItem>
    <reviewItem>
      <errorID>7ad1cdfc-fc93-4900-96af-926499c6d5c2</errorID>
      <errorWord>:</errorWord>
      <group>L1_Format</group>
      <groupName>格式问题</groupName>
      <ability>L2_HalfPunc_CN</ability>
      <abilityName>全半角问题</abilityName>
      <candidateList>
        <item>：</item>
      </candidateList>
      <explain>文本全半角错误。</explain>
      <paraID>6CFBD35C</paraID>
      <start>16</start>
      <end>17</end>
      <status>unmodified</status>
      <modifiedWord/>
      <trackRevisions>false</trackRevisions>
    </reviewItem>
    <reviewItem>
      <errorID>3c2e9f28-dca8-458a-92b8-2bcae35edaed</errorID>
      <errorWord>水源涵养与土壤保持</errorWord>
      <group>L1_Political</group>
      <groupName>政治性问题</groupName>
      <ability>L2_Keyword</ability>
      <abilityName>固定表述</abilityName>
      <candidateList>
        <item>水源涵养与水土保持</item>
      </candidateList>
      <explain>词汇“水源涵养与水土保持”在特定场景下为固定表述形式，请确认此处的“水源涵养与土壤保持”是否存在不当。</explain>
      <paraID>6CFBD35C</paraID>
      <start>35</start>
      <end>44</end>
      <status>unmodified</status>
      <modifiedWord/>
      <trackRevisions>false</trackRevisions>
    </reviewItem>
    <reviewItem>
      <errorID>f91f01b0-eb10-47d3-b718-5caaba769a8d</errorID>
      <errorWord>:</errorWord>
      <group>L1_Format</group>
      <groupName>格式问题</groupName>
      <ability>L2_HalfPunc_CN</ability>
      <abilityName>全半角问题</abilityName>
      <candidateList>
        <item>：</item>
      </candidateList>
      <explain>文本全半角错误。</explain>
      <paraID>3D362028</paraID>
      <start>28</start>
      <end>29</end>
      <status>unmodified</status>
      <modifiedWord/>
      <trackRevisions>false</trackRevisions>
    </reviewItem>
    <reviewItem>
      <errorID>72d99045-3012-4dd9-80b8-2040e3a5c509</errorID>
      <errorWord>:</errorWord>
      <group>L1_Format</group>
      <groupName>格式问题</groupName>
      <ability>L2_HalfPunc_CN</ability>
      <abilityName>全半角问题</abilityName>
      <candidateList>
        <item>：</item>
      </candidateList>
      <explain>文本全半角错误。</explain>
      <paraID>1DBF9B81</paraID>
      <start>6</start>
      <end>7</end>
      <status>unmodified</status>
      <modifiedWord/>
      <trackRevisions>false</trackRevisions>
    </reviewItem>
    <reviewItem>
      <errorID>ba687c21-9e47-47bd-a152-b13083045668</errorID>
      <errorWord>:</errorWord>
      <group>L1_Format</group>
      <groupName>格式问题</groupName>
      <ability>L2_HalfPunc_CN</ability>
      <abilityName>全半角问题</abilityName>
      <candidateList>
        <item>：</item>
      </candidateList>
      <explain>文本全半角错误。</explain>
      <paraID>2B925CD3</paraID>
      <start>6</start>
      <end>7</end>
      <status>unmodified</status>
      <modifiedWord/>
      <trackRevisions>false</trackRevisions>
    </reviewItem>
    <reviewItem>
      <errorID>df4e8396-75f6-4534-bd19-1a71e30125c9</errorID>
      <errorWord>:</errorWord>
      <group>L1_Format</group>
      <groupName>格式问题</groupName>
      <ability>L2_HalfPunc_CN</ability>
      <abilityName>全半角问题</abilityName>
      <candidateList>
        <item>：</item>
      </candidateList>
      <explain>文本全半角错误。</explain>
      <paraID>3CE1D2FD</paraID>
      <start>7</start>
      <end>8</end>
      <status>unmodified</status>
      <modifiedWord/>
      <trackRevisions>false</trackRevisions>
    </reviewItem>
    <reviewItem>
      <errorID>966a54a6-2b84-4346-b5e2-78419d5be6c6</errorID>
      <errorWord>:</errorWord>
      <group>L1_Format</group>
      <groupName>格式问题</groupName>
      <ability>L2_HalfPunc_CN</ability>
      <abilityName>全半角问题</abilityName>
      <candidateList>
        <item>：</item>
      </candidateList>
      <explain>文本全半角错误。</explain>
      <paraID>42B7D3E1</paraID>
      <start>10</start>
      <end>11</end>
      <status>unmodified</status>
      <modifiedWord/>
      <trackRevisions>false</trackRevisions>
    </reviewItem>
    <reviewItem>
      <errorID>b4db336c-7203-40f6-bcc2-6c524383ac9b</errorID>
      <errorWord>:</errorWord>
      <group>L1_Format</group>
      <groupName>格式问题</groupName>
      <ability>L2_HalfPunc_CN</ability>
      <abilityName>全半角问题</abilityName>
      <candidateList>
        <item>：</item>
      </candidateList>
      <explain>文本全半角错误。</explain>
      <paraID>3A2BD9CD</paraID>
      <start>9</start>
      <end>10</end>
      <status>unmodified</status>
      <modifiedWord/>
      <trackRevisions>false</trackRevisions>
    </reviewItem>
    <reviewItem>
      <errorID>516786bb-a57f-42b9-b8e3-5ebc5ed5b8c6</errorID>
      <errorWord>务</errorWord>
      <group>L1_Word</group>
      <groupName>字词问题</groupName>
      <ability>L2_Typo</ability>
      <abilityName>字词错误</abilityName>
      <candidateList>
        <item>务是</item>
      </candidateList>
      <explain/>
      <paraID>6E1628F7</paraID>
      <start>47</start>
      <end>48</end>
      <status>unmodified</status>
      <modifiedWord/>
      <trackRevisions>false</trackRevisions>
    </reviewItem>
    <reviewItem>
      <errorID>8cab0072-4c0e-47b4-9fe1-d0d684682e20</errorID>
      <errorWord>图1—</errorWord>
      <group>L1_Word</group>
      <groupName>字词问题</groupName>
      <ability>L2_Typo</ability>
      <abilityName>字词错误</abilityName>
      <candidateList>
        <item>图1-</item>
      </candidateList>
      <explain/>
      <paraID>67FF2C81</paraID>
      <start>0</start>
      <end>3</end>
      <status>unmodified</status>
      <modifiedWord/>
      <trackRevisions>false</trackRevisions>
    </reviewItem>
    <reviewItem>
      <errorID>900e3936-18f5-4076-93bc-305b0d6f270b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55D9BF6F</paraID>
      <start>0</start>
      <end>2</end>
      <status>unmodified</status>
      <modifiedWord/>
      <trackRevisions>false</trackRevisions>
    </reviewItem>
    <reviewItem>
      <errorID>62dae472-afcc-44db-97bc-7fec57fd6bc7</errorID>
      <errorWord>:</errorWord>
      <group>L1_Format</group>
      <groupName>格式问题</groupName>
      <ability>L2_HalfPunc_CN</ability>
      <abilityName>全半角问题</abilityName>
      <candidateList>
        <item>：</item>
      </candidateList>
      <explain>文本全半角错误。</explain>
      <paraID>4A0288FB</paraID>
      <start>8</start>
      <end>9</end>
      <status>unmodified</status>
      <modifiedWord/>
      <trackRevisions>false</trackRevisions>
    </reviewItem>
    <reviewItem>
      <errorID>7dea5241-a9e1-4731-b839-780fa59fe298</errorID>
      <errorWord>:</errorWord>
      <group>L1_Format</group>
      <groupName>格式问题</groupName>
      <ability>L2_HalfPunc_CN</ability>
      <abilityName>全半角问题</abilityName>
      <candidateList>
        <item>：</item>
      </candidateList>
      <explain>文本全半角错误。</explain>
      <paraID>79EF4913</paraID>
      <start>13</start>
      <end>14</end>
      <status>unmodified</status>
      <modifiedWord/>
      <trackRevisions>false</trackRevisions>
    </reviewItem>
    <reviewItem>
      <errorID>04134395-f7ca-4909-84ad-f1efe95fb511</errorID>
      <errorWord>务</errorWord>
      <group>L1_Word</group>
      <groupName>字词问题</groupName>
      <ability>L2_Typo</ability>
      <abilityName>字词错误</abilityName>
      <candidateList>
        <item>务是</item>
      </candidateList>
      <explain/>
      <paraID> D1B5A16</paraID>
      <start>7</start>
      <end>8</end>
      <status>unmodified</status>
      <modifiedWord/>
      <trackRevisions>false</trackRevisions>
    </reviewItem>
    <reviewItem>
      <errorID>f5e4890a-c3ff-42da-8590-f021cfe9942a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492FB34B</paraID>
      <start>0</start>
      <end>2</end>
      <status>unmodified</status>
      <modifiedWord/>
      <trackRevisions>false</trackRevisions>
    </reviewItem>
    <reviewItem>
      <errorID>1408294a-06c2-4bc1-8f45-6c32b1113508</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492FB34B</paraID>
      <start>18</start>
      <end>19</end>
      <status>unmodified</status>
      <modifiedWord/>
      <trackRevisions>false</trackRevisions>
    </reviewItem>
    <reviewItem>
      <errorID>06b35dd2-6bc9-427d-94dc-f221140cf3b1</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4836E828</paraID>
      <start>17</start>
      <end>18</end>
      <status>unmodified</status>
      <modifiedWord/>
      <trackRevisions>false</trackRevisions>
    </reviewItem>
    <reviewItem>
      <errorID>9b336e75-bd93-402e-aff2-2c328d1c2ab3</errorID>
      <errorWord>:</errorWord>
      <group>L1_Format</group>
      <groupName>格式问题</groupName>
      <ability>L2_HalfPunc_CN</ability>
      <abilityName>全半角问题</abilityName>
      <candidateList>
        <item>：</item>
      </candidateList>
      <explain>文本全半角错误。</explain>
      <paraID>35A92F65</paraID>
      <start>10</start>
      <end>11</end>
      <status>unmodified</status>
      <modifiedWord/>
      <trackRevisions>false</trackRevisions>
    </reviewItem>
    <reviewItem>
      <errorID>7f31aa92-b167-4571-878b-1534965565b3</errorID>
      <errorWord>流域水土流失</errorWord>
      <group>L1_Grammar</group>
      <groupName>语法问题</groupName>
      <ability>L2_Grammar</ability>
      <abilityName>语法错误</abilityName>
      <candidateList>
        <item>流域</item>
      </candidateList>
      <explain/>
      <paraID>4444951D</paraID>
      <start>12</start>
      <end>18</end>
      <status>unmodified</status>
      <modifiedWord/>
      <trackRevisions>false</trackRevisions>
    </reviewItem>
    <reviewItem>
      <errorID>1e191a1e-55e4-4978-86b6-8091cfc598e1</errorID>
      <errorWord>图1—</errorWord>
      <group>L1_Word</group>
      <groupName>字词问题</groupName>
      <ability>L2_Typo</ability>
      <abilityName>字词错误</abilityName>
      <candidateList>
        <item>图1-</item>
      </candidateList>
      <explain/>
      <paraID>  305A6F</paraID>
      <start>0</start>
      <end>3</end>
      <status>unmodified</status>
      <modifiedWord/>
      <trackRevisions>false</trackRevisions>
    </reviewItem>
    <reviewItem>
      <errorID>c4288518-e73a-4e15-bb13-d5bc9fb8b62b</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2E241275</paraID>
      <start>87</start>
      <end>88</end>
      <status>unmodified</status>
      <modifiedWord/>
      <trackRevisions>false</trackRevisions>
    </reviewItem>
    <reviewItem>
      <errorID>cfe3ca54-9a2b-43b3-97b8-c4d717ac03c7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358B75A4</paraID>
      <start>0</start>
      <end>2</end>
      <status>unmodified</status>
      <modifiedWord/>
      <trackRevisions>false</trackRevisions>
    </reviewItem>
    <reviewItem>
      <errorID>b38483ba-7a9d-41db-bee6-1a9b4dff670b</errorID>
      <errorWord>"</errorWord>
      <group>L1_Format</group>
      <groupName>格式问题</groupName>
      <ability>L2_HalfPunc_CN</ability>
      <abilityName>全半角问题</abilityName>
      <candidateList>
        <item>“</item>
      </candidateList>
      <explain>文本全半角错误。</explain>
      <paraID> C146385</paraID>
      <start>23</start>
      <end>24</end>
      <status>unmodified</status>
      <modifiedWord/>
      <trackRevisions>false</trackRevisions>
    </reviewItem>
    <reviewItem>
      <errorID>f1a8f1c1-a564-4e52-b670-02a606d40a92</errorID>
      <errorWord>:</errorWord>
      <group>L1_Format</group>
      <groupName>格式问题</groupName>
      <ability>L2_HalfPunc_CN</ability>
      <abilityName>全半角问题</abilityName>
      <candidateList>
        <item>：</item>
      </candidateList>
      <explain>文本全半角错误。</explain>
      <paraID> C146385</paraID>
      <start>36</start>
      <end>37</end>
      <status>unmodified</status>
      <modifiedWord/>
      <trackRevisions>false</trackRevisions>
    </reviewItem>
    <reviewItem>
      <errorID>fc035973-0c69-4a8f-9bab-e288ba93e3ee</errorID>
      <errorWord>"</errorWord>
      <group>L1_Format</group>
      <groupName>格式问题</groupName>
      <ability>L2_HalfPunc_CN</ability>
      <abilityName>全半角问题</abilityName>
      <candidateList>
        <item>”</item>
      </candidateList>
      <explain>文本全半角错误。</explain>
      <paraID> C146385</paraID>
      <start>63</start>
      <end>64</end>
      <status>unmodified</status>
      <modifiedWord/>
      <trackRevisions>false</trackRevisions>
    </reviewItem>
    <reviewItem>
      <errorID>397935c0-2195-4296-b20f-bc8ffa166cc3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4ED6E25D</paraID>
      <start>0</start>
      <end>2</end>
      <status>unmodified</status>
      <modifiedWord/>
      <trackRevisions>false</trackRevisions>
    </reviewItem>
    <reviewItem>
      <errorID>c22601c4-757e-4dc8-9d1e-ec479e5847a5</errorID>
      <errorWord>"用多少、批多少、占多少、恢复多少"</errorWord>
      <group>L1_Punc</group>
      <groupName>标点问题</groupName>
      <ability>L2_Punc_CN</ability>
      <abilityName>标点符号问题</abilityName>
      <candidateList>
        <item>“用多少、批多少、占多少、恢复多少”</item>
      </candidateList>
      <explain/>
      <paraID>7652FED5</paraID>
      <start>21</start>
      <end>39</end>
      <status>unmodified</status>
      <modifiedWord/>
      <trackRevisions>false</trackRevisions>
    </reviewItem>
    <reviewItem>
      <errorID>407dd848-d4df-44ee-90eb-f11656fcfa8b</errorID>
      <errorWord>施工</errorWord>
      <group>L1_Punc</group>
      <groupName>标点问题</groupName>
      <ability>L2_Punc_CN</ability>
      <abilityName>标点符号问题</abilityName>
      <candidateList>
        <item>，施工</item>
      </candidateList>
      <explain/>
      <paraID>55BDBE3C</paraID>
      <start>6</start>
      <end>8</end>
      <status>unmodified</status>
      <modifiedWord/>
      <trackRevisions>false</trackRevisions>
    </reviewItem>
    <reviewItem>
      <errorID>422a4827-d1f0-48e2-abe5-f6c313b08f1a</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122A9A52</paraID>
      <start>0</start>
      <end>2</end>
      <status>unmodified</status>
      <modifiedWord/>
      <trackRevisions>false</trackRevisions>
    </reviewItem>
    <reviewItem>
      <errorID>b3da0632-84d0-452c-9672-b2d00db08e68</errorID>
      <errorWord>[2024]22号</errorWord>
      <group>L1_Knowledge</group>
      <groupName>知识性问题</groupName>
      <ability>L2_Knowledge</ability>
      <abilityName>其他知识</abilityName>
      <candidateList>
        <item>〔2024〕22号</item>
      </candidateList>
      <explain>发文字号格式错误。</explain>
      <paraID>54B004F0</paraID>
      <start>56</start>
      <end>65</end>
      <status>unmodified</status>
      <modifiedWord/>
      <trackRevisions>false</trackRevisions>
    </reviewItem>
    <reviewItem>
      <errorID>42666225-6e7f-473b-ac88-5a165639aa1c</errorID>
      <errorWord>III类</errorWord>
      <group>L1_Knowledge</group>
      <groupName>知识性问题</groupName>
      <ability>L2_Knowledge</ability>
      <abilityName>其他知识</abilityName>
      <candidateList>
        <item>Ⅲ类</item>
      </candidateList>
      <explain>中文环境下罗马数字格式错误。</explain>
      <paraID>54B004F0</paraID>
      <start>121</start>
      <end>125</end>
      <status>unmodified</status>
      <modifiedWord/>
      <trackRevisions>false</trackRevisions>
    </reviewItem>
    <reviewItem>
      <errorID>92b6af73-abc2-425b-9ebc-13d2aad102ad</errorID>
      <errorWord>III类</errorWord>
      <group>L1_Knowledge</group>
      <groupName>知识性问题</groupName>
      <ability>L2_Knowledge</ability>
      <abilityName>其他知识</abilityName>
      <candidateList>
        <item>Ⅲ类</item>
      </candidateList>
      <explain>中文环境下罗马数字格式错误。</explain>
      <paraID>54B004F0</paraID>
      <start>161</start>
      <end>165</end>
      <status>unmodified</status>
      <modifiedWord/>
      <trackRevisions>false</trackRevisions>
    </reviewItem>
    <reviewItem>
      <errorID>7f5fea94-9b6e-4aaa-ae60-28b71afbbdbb</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1F17E73A</paraID>
      <start>0</start>
      <end>3</end>
      <status>unmodified</status>
      <modifiedWord/>
      <trackRevisions>false</trackRevisions>
    </reviewItem>
    <reviewItem>
      <errorID>798aec7c-5539-48c2-921c-24363d4cfef8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5880EDF8</paraID>
      <start>0</start>
      <end>2</end>
      <status>unmodified</status>
      <modifiedWord/>
      <trackRevisions>false</trackRevisions>
    </reviewItem>
    <reviewItem>
      <errorID>ecea0a7d-8741-422c-814f-1ac1ef1005e4</errorID>
      <errorWord>"蓄泄兼筹，综合治理，突出重点"</errorWord>
      <group>L1_Punc</group>
      <groupName>标点问题</groupName>
      <ability>L2_Punc_CN</ability>
      <abilityName>标点符号问题</abilityName>
      <candidateList>
        <item>“蓄泄兼筹，综合治理，突出重点”</item>
      </candidateList>
      <explain/>
      <paraID>5A923885</paraID>
      <start>4</start>
      <end>20</end>
      <status>unmodified</status>
      <modifiedWord/>
      <trackRevisions>false</trackRevisions>
    </reviewItem>
    <reviewItem>
      <errorID>940f0c27-d26d-409c-88f3-11fc426ed5bd</errorID>
      <errorWord>、</errorWord>
      <group>L1_Punc</group>
      <groupName>标点问题</groupName>
      <ability>L2_Punc_CN</ability>
      <abilityName>标点符号问题</abilityName>
      <candidateList>
        <item>，</item>
      </candidateList>
      <explain/>
      <paraID>6D784C42</paraID>
      <start>90</start>
      <end>91</end>
      <status>unmodified</status>
      <modifiedWord/>
      <trackRevisions>false</trackRevisions>
    </reviewItem>
    <reviewItem>
      <errorID>b2d7b3ab-8414-4cfe-8869-0ca831e3943e</errorID>
      <errorWord>庆安县内，</errorWord>
      <group>L1_Grammar</group>
      <groupName>语法问题</groupName>
      <ability>L2_Grammar</ability>
      <abilityName>语法错误</abilityName>
      <candidateList>
        <item>庆安县</item>
      </candidateList>
      <explain/>
      <paraID>4069AAD1</paraID>
      <start>13</start>
      <end>18</end>
      <status>unmodified</status>
      <modifiedWord/>
      <trackRevisions>false</trackRevisions>
    </reviewItem>
    <reviewItem>
      <errorID>efaa1660-756b-40ff-ba9a-76cab4536dd3</errorID>
      <errorWord>附近位置</errorWord>
      <group>L1_Grammar</group>
      <groupName>语法问题</groupName>
      <ability>L2_Grammar</ability>
      <abilityName>语法错误</abilityName>
      <candidateList>
        <item>附近</item>
      </candidateList>
      <explain/>
      <paraID>4069AAD1</paraID>
      <start>21</start>
      <end>25</end>
      <status>unmodified</status>
      <modifiedWord/>
      <trackRevisions>false</trackRevisions>
    </reviewItem>
    <reviewItem>
      <errorID>d2cdd8b2-ea24-4f51-b7a4-03d9896d6f7c</errorID>
      <errorWord>收</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4069AAD1</paraID>
      <start>69</start>
      <end>70</end>
      <status>unmodified</status>
      <modifiedWord/>
      <trackRevisions>false</trackRevisions>
    </reviewItem>
    <reviewItem>
      <errorID>d8abe1a9-237c-40fa-970a-3463e82008de</errorID>
      <errorWord>延</errorWord>
      <group>L1_Word</group>
      <groupName>字词问题</groupName>
      <ability>L2_Typo</ability>
      <abilityName>字词错误</abilityName>
      <candidateList>
        <item>沿</item>
      </candidateList>
      <explain/>
      <paraID>4069AAD1</paraID>
      <start>87</start>
      <end>88</end>
      <status>unmodified</status>
      <modifiedWord/>
      <trackRevisions>false</trackRevisions>
    </reviewItem>
    <reviewItem>
      <errorID>0a48f64a-d906-4d2b-89e8-7023b959e016</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22D970C4</paraID>
      <start>0</start>
      <end>3</end>
      <status>unmodified</status>
      <modifiedWord/>
      <trackRevisions>false</trackRevisions>
    </reviewItem>
    <reviewItem>
      <errorID>76ec2769-7ca1-4c48-bc6c-5e67587f14b1</errorID>
      <errorWord>:</errorWord>
      <group>L1_Format</group>
      <groupName>格式问题</groupName>
      <ability>L2_HalfPunc_CN</ability>
      <abilityName>全半角问题</abilityName>
      <candidateList>
        <item>：</item>
      </candidateList>
      <explain>文本全半角错误。</explain>
      <paraID>31D5CDD6</paraID>
      <start>4</start>
      <end>5</end>
      <status>unmodified</status>
      <modifiedWord/>
      <trackRevisions>false</trackRevisions>
    </reviewItem>
    <reviewItem>
      <errorID>974c0ceb-9267-4a9d-af5e-0fda919f8da3</errorID>
      <errorWord>"</errorWord>
      <group>L1_Format</group>
      <groupName>格式问题</groupName>
      <ability>L2_HalfPunc_CN</ability>
      <abilityName>全半角问题</abilityName>
      <candidateList>
        <item>“</item>
      </candidateList>
      <explain>文本全半角错误。</explain>
      <paraID>431FE4B9</paraID>
      <start>101</start>
      <end>102</end>
      <status>unmodified</status>
      <modifiedWord/>
      <trackRevisions>false</trackRevisions>
    </reviewItem>
    <reviewItem>
      <errorID>461ad6df-e1de-40dc-a956-1987de39293a</errorID>
      <errorWord>"</errorWord>
      <group>L1_Format</group>
      <groupName>格式问题</groupName>
      <ability>L2_HalfPunc_CN</ability>
      <abilityName>全半角问题</abilityName>
      <candidateList>
        <item>”</item>
      </candidateList>
      <explain>文本全半角错误。</explain>
      <paraID>431FE4B9</paraID>
      <start>121</start>
      <end>122</end>
      <status>unmodified</status>
      <modifiedWord/>
      <trackRevisions>false</trackRevisions>
    </reviewItem>
    <reviewItem>
      <errorID>016eadd3-8457-4e1b-a0e1-9bdeb3dd088a</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59DA6900</paraID>
      <start>0</start>
      <end>3</end>
      <status>unmodified</status>
      <modifiedWord/>
      <trackRevisions>false</trackRevisions>
    </reviewItem>
    <reviewItem>
      <errorID>a8619316-296f-4f0b-bf41-b7602a89eff1</errorID>
      <errorWord>:</errorWord>
      <group>L1_Format</group>
      <groupName>格式问题</groupName>
      <ability>L2_HalfPunc_CN</ability>
      <abilityName>全半角问题</abilityName>
      <candidateList>
        <item>：</item>
      </candidateList>
      <explain>文本全半角错误。</explain>
      <paraID>22C204F3</paraID>
      <start>32</start>
      <end>33</end>
      <status>unmodified</status>
      <modifiedWord/>
      <trackRevisions>false</trackRevisions>
    </reviewItem>
    <reviewItem>
      <errorID>afcdef07-7952-40ae-b038-a6b102fdc563</errorID>
      <errorWord>"</errorWord>
      <group>L1_Format</group>
      <groupName>格式问题</groupName>
      <ability>L2_HalfPunc_CN</ability>
      <abilityName>全半角问题</abilityName>
      <candidateList>
        <item>“</item>
      </candidateList>
      <explain>文本全半角错误。</explain>
      <paraID>22C204F3</paraID>
      <start>33</start>
      <end>34</end>
      <status>unmodified</status>
      <modifiedWord/>
      <trackRevisions>false</trackRevisions>
    </reviewItem>
    <reviewItem>
      <errorID>2bb5aa24-573f-4391-9f22-a1956dd3dca3</errorID>
      <errorWord>亩</errorWord>
      <group>L1_Grammar</group>
      <groupName>语法问题</groupName>
      <ability>L2_Grammar</ability>
      <abilityName>语法错误</abilityName>
      <candidateList>
        <item>[具体数字]亩</item>
      </candidateList>
      <explain/>
      <paraID>2FF5DC53</paraID>
      <start>13</start>
      <end>14</end>
      <status>unmodified</status>
      <modifiedWord/>
      <trackRevisions>false</trackRevisions>
    </reviewItem>
    <reviewItem>
      <errorID>8ecb364a-c454-4da0-88a6-278c0e18d449</errorID>
      <errorWord>、</errorWord>
      <group>L1_Punc</group>
      <groupName>标点问题</groupName>
      <ability>L2_Punc_CN</ability>
      <abilityName>标点符号问题</abilityName>
      <candidateList>
        <item/>
      </candidateList>
      <explain>括号内行文末尾一般不加标点。</explain>
      <paraID>2FF5DC53</paraID>
      <start>113</start>
      <end>114</end>
      <status>unmodified</status>
      <modifiedWord/>
      <trackRevisions>false</trackRevisions>
    </reviewItem>
    <reviewItem>
      <errorID>28ab05f1-5f6f-4069-b13d-4f6bb44246cd</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B891141</paraID>
      <start>0</start>
      <end>3</end>
      <status>unmodified</status>
      <modifiedWord/>
      <trackRevisions>false</trackRevisions>
    </reviewItem>
    <reviewItem>
      <errorID>5ae6a50c-e9cc-4591-9270-48dc8767234e</errorID>
      <errorWord>《中共中央、国务院</errorWord>
      <group>L1_Political</group>
      <groupName>政治性问题</groupName>
      <ability>L2_Unpolitical</ability>
      <abilityName>政治敏感错误</abilityName>
      <candidateList>
        <item>《中共中央 国务院</item>
      </candidateList>
      <explain/>
      <paraID> B891141</paraID>
      <start>31</start>
      <end>40</end>
      <status>unmodified</status>
      <modifiedWord/>
      <trackRevisions>false</trackRevisions>
    </reviewItem>
    <reviewItem>
      <errorID>f506a99d-9ded-462e-82e7-c86403c76290</errorID>
      <errorWord>》</errorWord>
      <group>L1_Punc</group>
      <groupName>标点问题</groupName>
      <ability>L2_Punc_CN</ability>
      <abilityName>标点符号问题</abilityName>
      <candidateList/>
      <explain>此处标点可能未正确匹配，请检查句子中是否存在标点冗余、缺失或使用错误的情况。</explain>
      <paraID> B891141</paraID>
      <start>156</start>
      <end>157</end>
      <status>unmodified</status>
      <modifiedWord/>
      <trackRevisions>false</trackRevisions>
    </reviewItem>
    <reviewItem>
      <errorID>5c7b945a-ac34-4d59-896e-959a957d7661</errorID>
      <errorWord>"</errorWord>
      <group>L1_Format</group>
      <groupName>格式问题</groupName>
      <ability>L2_HalfPunc_CN</ability>
      <abilityName>全半角问题</abilityName>
      <candidateList>
        <item>“</item>
      </candidateList>
      <explain>文本全半角错误。</explain>
      <paraID>34AEC66B</paraID>
      <start>33</start>
      <end>34</end>
      <status>unmodified</status>
      <modifiedWord/>
      <trackRevisions>false</trackRevisions>
    </reviewItem>
    <reviewItem>
      <errorID>863bb790-d8be-4dfc-9479-b4af3e2ef922</errorID>
      <errorWord>法律、法规</errorWord>
      <group>L1_Word</group>
      <groupName>字词问题</groupName>
      <ability>L2_Typo</ability>
      <abilityName>字词错误</abilityName>
      <candidateList>
        <item>法律法规</item>
      </candidateList>
      <explain/>
      <paraID>3D41422F</paraID>
      <start>37</start>
      <end>42</end>
      <status>unmodified</status>
      <modifiedWord/>
      <trackRevisions>false</trackRevisions>
    </reviewItem>
    <reviewItem>
      <errorID>8f3a76ba-915b-4431-bf7b-a7d01cc45418</errorID>
      <errorWord>内容</errorWord>
      <group>L1_Grammar</group>
      <groupName>语法问题</groupName>
      <ability>L2_Grammar</ability>
      <abilityName>语法错误</abilityName>
      <candidateList>
        <item>的相关内容</item>
      </candidateList>
      <explain/>
      <paraID>2EDC322E</paraID>
      <start>63</start>
      <end>65</end>
      <status>unmodified</status>
      <modifiedWord/>
      <trackRevisions>false</trackRevisions>
    </reviewItem>
    <reviewItem>
      <errorID>394ba1e8-6a07-44d2-84b5-485ef022e9a9</errorID>
      <errorWord>和</errorWord>
      <group>L1_Grammar</group>
      <groupName>语法问题</groupName>
      <ability>L2_Grammar</ability>
      <abilityName>语法错误</abilityName>
      <candidateList>
        <item>等情况，消除</item>
      </candidateList>
      <explain/>
      <paraID> 58D282D</paraID>
      <start>45</start>
      <end>46</end>
      <status>unmodified</status>
      <modifiedWord/>
      <trackRevisions>false</trackRevisions>
    </reviewItem>
    <reviewItem>
      <errorID>0e59ae81-1f95-4b32-b060-eedf6c086013</errorID>
      <errorWord>"即剥即用""</errorWord>
      <group>L1_Punc</group>
      <groupName>标点问题</groupName>
      <ability>L2_Punc_CN</ability>
      <abilityName>标点符号问题</abilityName>
      <candidateList>
        <item>“即剥即用”“</item>
      </candidateList>
      <explain/>
      <paraID> BA345F9</paraID>
      <start>40</start>
      <end>47</end>
      <status>unmodified</status>
      <modifiedWord/>
      <trackRevisions>false</trackRevisions>
    </reviewItem>
    <reviewItem>
      <errorID>4ca6b6e4-b2d3-4a56-be0c-18b620fa3e91</errorID>
      <errorWord>"</errorWord>
      <group>L1_Format</group>
      <groupName>格式问题</groupName>
      <ability>L2_HalfPunc_CN</ability>
      <abilityName>全半角问题</abilityName>
      <candidateList>
        <item>”</item>
      </candidateList>
      <explain>文本全半角错误。</explain>
      <paraID> BA345F9</paraID>
      <start>51</start>
      <end>52</end>
      <status>unmodified</status>
      <modifiedWord/>
      <trackRevisions>false</trackRevisions>
    </reviewItem>
    <reviewItem>
      <errorID>251a55c5-7633-4bd1-a5f1-980eb92c5d06</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2EA650DB</paraID>
      <start>0</start>
      <end>3</end>
      <status>unmodified</status>
      <modifiedWord/>
      <trackRevisions>false</trackRevisions>
    </reviewItem>
    <reviewItem>
      <errorID>5a7a9f45-de49-4524-80d4-cb70b4fa40da</errorID>
      <errorWord>"先补后占"</errorWord>
      <group>L1_Punc</group>
      <groupName>标点问题</groupName>
      <ability>L2_Punc_CN</ability>
      <abilityName>标点符号问题</abilityName>
      <candidateList>
        <item>“先补后占”</item>
      </candidateList>
      <explain/>
      <paraID>48F01990</paraID>
      <start>22</start>
      <end>28</end>
      <status>unmodified</status>
      <modifiedWord/>
      <trackRevisions>false</trackRevisions>
    </reviewItem>
    <reviewItem>
      <errorID>4463b59b-d8f0-4a1d-ac77-7eb95c80e147</errorID>
      <errorWord>"谁占谁补"</errorWord>
      <group>L1_Punc</group>
      <groupName>标点问题</groupName>
      <ability>L2_Punc_CN</ability>
      <abilityName>标点符号问题</abilityName>
      <candidateList>
        <item>“谁占谁补”</item>
      </candidateList>
      <explain/>
      <paraID>48F01990</paraID>
      <start>33</start>
      <end>39</end>
      <status>unmodified</status>
      <modifiedWord/>
      <trackRevisions>false</trackRevisions>
    </reviewItem>
    <reviewItem>
      <errorID>4a972f0b-0581-422f-936a-239c35bd4428</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7C735502</paraID>
      <start>0</start>
      <end>3</end>
      <status>unmodified</status>
      <modifiedWord/>
      <trackRevisions>false</trackRevisions>
    </reviewItem>
    <reviewItem>
      <errorID>c46583ad-d879-4f27-b568-33d43f21f699</errorID>
      <errorWord>"</errorWord>
      <group>L1_Format</group>
      <groupName>格式问题</groupName>
      <ability>L2_HalfPunc_CN</ability>
      <abilityName>全半角问题</abilityName>
      <candidateList>
        <item>“</item>
      </candidateList>
      <explain>文本全半角错误。</explain>
      <paraID>7C735502</paraID>
      <start>8</start>
      <end>9</end>
      <status>unmodified</status>
      <modifiedWord/>
      <trackRevisions>false</trackRevisions>
    </reviewItem>
    <reviewItem>
      <errorID>c1653e68-7cf9-479b-970f-d5eca485df94</errorID>
      <errorWord>"</errorWord>
      <group>L1_Format</group>
      <groupName>格式问题</groupName>
      <ability>L2_HalfPunc_CN</ability>
      <abilityName>全半角问题</abilityName>
      <candidateList>
        <item>”</item>
      </candidateList>
      <explain>文本全半角错误。</explain>
      <paraID>7C735502</paraID>
      <start>12</start>
      <end>13</end>
      <status>unmodified</status>
      <modifiedWord/>
      <trackRevisions>false</trackRevisions>
    </reviewItem>
    <reviewItem>
      <errorID>f9eed2f8-d3f3-4aed-a136-6fd54af5eb56</errorID>
      <errorWord>"</errorWord>
      <group>L1_Format</group>
      <groupName>格式问题</groupName>
      <ability>L2_HalfPunc_CN</ability>
      <abilityName>全半角问题</abilityName>
      <candidateList>
        <item>“</item>
      </candidateList>
      <explain>文本全半角错误。</explain>
      <paraID>7295F744</paraID>
      <start>371</start>
      <end>372</end>
      <status>unmodified</status>
      <modifiedWord/>
      <trackRevisions>false</trackRevisions>
    </reviewItem>
    <reviewItem>
      <errorID>a0cd6a70-a448-4b70-bf6b-1681d6c6d5fd</errorID>
      <errorWord>"</errorWord>
      <group>L1_Format</group>
      <groupName>格式问题</groupName>
      <ability>L2_HalfPunc_CN</ability>
      <abilityName>全半角问题</abilityName>
      <candidateList>
        <item>”</item>
      </candidateList>
      <explain>文本全半角错误。</explain>
      <paraID>7295F744</paraID>
      <start>375</start>
      <end>376</end>
      <status>unmodified</status>
      <modifiedWord/>
      <trackRevisions>false</trackRevisions>
    </reviewItem>
    <reviewItem>
      <errorID>6df0d24b-7665-4825-ba06-8b2f082e8c11</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1AD048B8</paraID>
      <start>0</start>
      <end>3</end>
      <status>unmodified</status>
      <modifiedWord/>
      <trackRevisions>false</trackRevisions>
    </reviewItem>
    <reviewItem>
      <errorID>ca4b5e13-a316-4567-bc97-185def5f6845</errorID>
      <errorWord>"</errorWord>
      <group>L1_Format</group>
      <groupName>格式问题</groupName>
      <ability>L2_HalfPunc_CN</ability>
      <abilityName>全半角问题</abilityName>
      <candidateList>
        <item>“</item>
      </candidateList>
      <explain>文本全半角错误。</explain>
      <paraID>4EBBA2F3</paraID>
      <start>91</start>
      <end>92</end>
      <status>unmodified</status>
      <modifiedWord/>
      <trackRevisions>false</trackRevisions>
    </reviewItem>
    <reviewItem>
      <errorID>42f19cdd-b357-4b20-8756-62b52e946134</errorID>
      <errorWord>"</errorWord>
      <group>L1_Format</group>
      <groupName>格式问题</groupName>
      <ability>L2_HalfPunc_CN</ability>
      <abilityName>全半角问题</abilityName>
      <candidateList>
        <item>”</item>
      </candidateList>
      <explain>文本全半角错误。</explain>
      <paraID>4EBBA2F3</paraID>
      <start>154</start>
      <end>155</end>
      <status>unmodified</status>
      <modifiedWord/>
      <trackRevisions>false</trackRevisions>
    </reviewItem>
    <reviewItem>
      <errorID>a6b17847-f1c5-46e6-82af-e0ee0cb22ca6</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7F8FF794</paraID>
      <start>0</start>
      <end>3</end>
      <status>unmodified</status>
      <modifiedWord/>
      <trackRevisions>false</trackRevisions>
    </reviewItem>
    <reviewItem>
      <errorID>a1955006-f307-495c-99ad-1eb48b40c6e1</errorID>
      <errorWord>内上侧</errorWord>
      <group>L1_Word</group>
      <groupName>字词问题</groupName>
      <ability>L2_Typo</ability>
      <abilityName>字词错误</abilityName>
      <candidateList>
        <item>内侧</item>
      </candidateList>
      <explain/>
      <paraID>78284C48</paraID>
      <start>132</start>
      <end>135</end>
      <status>unmodified</status>
      <modifiedWord/>
      <trackRevisions>false</trackRevisions>
    </reviewItem>
    <reviewItem>
      <errorID>00e13721-7861-4d7d-a2e3-78714c80ff58</errorID>
      <errorWord>与</errorWord>
      <group>L1_Punc</group>
      <groupName>标点问题</groupName>
      <ability>L2_Punc_CN</ability>
      <abilityName>标点符号问题</abilityName>
      <candidateList>
        <item>，与</item>
      </candidateList>
      <explain/>
      <paraID>7D6C9C99</paraID>
      <start>38</start>
      <end>39</end>
      <status>unmodified</status>
      <modifiedWord/>
      <trackRevisions>false</trackRevisions>
    </reviewItem>
    <reviewItem>
      <errorID>383c8dbb-b97a-481d-aca2-2d331df6c705</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41FBEA4</paraID>
      <start>0</start>
      <end>3</end>
      <status>unmodified</status>
      <modifiedWord/>
      <trackRevisions>false</trackRevisions>
    </reviewItem>
    <reviewItem>
      <errorID>3ccd8d93-44e3-4bb0-93f8-89de8b312fa7</errorID>
      <errorWord>"采取综合手段，如整治堤线、堤防加高培厚、清障、江道及滩岛整治等常规措施，并辅以河底清淤、上游沿岸植树造林、水土保持等必要辅助措施及修建上游调节水库等，提高综合防洪能力。"</errorWord>
      <group>L1_Punc</group>
      <groupName>标点问题</groupName>
      <ability>L2_Punc_CN</ability>
      <abilityName>标点符号问题</abilityName>
      <candidateList>
        <item>：“采取综合手段，如整治堤线、堤防加高培厚、清障、江道及滩岛整治等常规措施，并辅以河底清淤、上游沿岸植树造林、水土保持等必要辅助措施及修建上游调节水库等，提高综合防洪能力。”</item>
      </candidateList>
      <explain/>
      <paraID>44AB6E6C</paraID>
      <start>16</start>
      <end>102</end>
      <status>unmodified</status>
      <modifiedWord/>
      <trackRevisions>false</trackRevisions>
    </reviewItem>
    <reviewItem>
      <errorID>980b9893-77f2-423c-b40d-de1a54d234c2</errorID>
      <errorWord>在</errorWord>
      <group>L1_Punc</group>
      <groupName>标点问题</groupName>
      <ability>L2_Punc_CN</ability>
      <abilityName>标点符号问题</abilityName>
      <candidateList>
        <item>，在</item>
      </candidateList>
      <explain/>
      <paraID>6651770D</paraID>
      <start>82</start>
      <end>83</end>
      <status>unmodified</status>
      <modifiedWord/>
      <trackRevisions>false</trackRevisions>
    </reviewItem>
    <reviewItem>
      <errorID>526cfc2f-33d4-40bc-a77c-5aadb08cd192</errorID>
      <errorWord>:</errorWord>
      <group>L1_Format</group>
      <groupName>格式问题</groupName>
      <ability>L2_HalfPunc_CN</ability>
      <abilityName>全半角问题</abilityName>
      <candidateList>
        <item>：</item>
      </candidateList>
      <explain>文本全半角错误。</explain>
      <paraID> 46C8C25</paraID>
      <start>4</start>
      <end>5</end>
      <status>unmodified</status>
      <modifiedWord/>
      <trackRevisions>false</trackRevisions>
    </reviewItem>
    <reviewItem>
      <errorID>3b026848-37d7-4fad-b4a3-9fe12ead1f08</errorID>
      <errorWord>"</errorWord>
      <group>L1_Format</group>
      <groupName>格式问题</groupName>
      <ability>L2_HalfPunc_CN</ability>
      <abilityName>全半角问题</abilityName>
      <candidateList/>
      <explain>文本全半角错误。</explain>
      <paraID> 46C8C25</paraID>
      <start>25</start>
      <end>26</end>
      <status>unmodified</status>
      <modifiedWord/>
      <trackRevisions>false</trackRevisions>
    </reviewItem>
    <reviewItem>
      <errorID>766475d5-4637-4e09-a167-5af28a411ff8</errorID>
      <errorWord>"</errorWord>
      <group>L1_Format</group>
      <groupName>格式问题</groupName>
      <ability>L2_HalfPunc_CN</ability>
      <abilityName>全半角问题</abilityName>
      <candidateList>
        <item>”</item>
      </candidateList>
      <explain>文本全半角错误。</explain>
      <paraID> 46C8C25</paraID>
      <start>41</start>
      <end>42</end>
      <status>unmodified</status>
      <modifiedWord/>
      <trackRevisions>false</trackRevisions>
    </reviewItem>
    <reviewItem>
      <errorID>1561445d-d8b2-4f58-aa7f-91e2a0389dbe</errorID>
      <errorWord>"</errorWord>
      <group>L1_Format</group>
      <groupName>格式问题</groupName>
      <ability>L2_HalfPunc_CN</ability>
      <abilityName>全半角问题</abilityName>
      <candidateList/>
      <explain>文本全半角错误。</explain>
      <paraID> 46C8C25</paraID>
      <start>63</start>
      <end>64</end>
      <status>unmodified</status>
      <modifiedWord/>
      <trackRevisions>false</trackRevisions>
    </reviewItem>
    <reviewItem>
      <errorID>b9c2fa73-2f8d-47af-998d-c57d8d1cf7d4</errorID>
      <errorWord>"</errorWord>
      <group>L1_Format</group>
      <groupName>格式问题</groupName>
      <ability>L2_HalfPunc_CN</ability>
      <abilityName>全半角问题</abilityName>
      <candidateList/>
      <explain>文本全半角错误。</explain>
      <paraID> 46C8C25</paraID>
      <start>79</start>
      <end>80</end>
      <status>unmodified</status>
      <modifiedWord/>
      <trackRevisions>false</trackRevisions>
    </reviewItem>
    <reviewItem>
      <errorID>131f393b-883e-48fd-bc71-2a806ddd52ae</errorID>
      <errorWord>《</errorWord>
      <group>L1_Word</group>
      <groupName>字词问题</groupName>
      <ability>L2_Typo</ability>
      <abilityName>字词错误</abilityName>
      <candidateList>
        <item>的《</item>
      </candidateList>
      <explain/>
      <paraID>149876CF</paraID>
      <start>20</start>
      <end>21</end>
      <status>unmodified</status>
      <modifiedWord/>
      <trackRevisions>false</trackRevisions>
    </reviewItem>
    <reviewItem>
      <errorID>761e2c54-0219-4d11-996a-a790b218089b</errorID>
      <errorWord>[2025]183号</errorWord>
      <group>L1_Knowledge</group>
      <groupName>知识性问题</groupName>
      <ability>L2_Knowledge</ability>
      <abilityName>其他知识</abilityName>
      <candidateList>
        <item>〔2025〕183号</item>
      </candidateList>
      <explain>发文字号格式错误。</explain>
      <paraID>149876CF</paraID>
      <start>54</start>
      <end>64</end>
      <status>unmodified</status>
      <modifiedWord/>
      <trackRevisions>false</trackRevisions>
    </reviewItem>
    <reviewItem>
      <errorID>f2118c00-f553-42f9-8a64-bc38db326694</errorID>
      <errorWord>"</errorWord>
      <group>L1_Format</group>
      <groupName>格式问题</groupName>
      <ability>L2_HalfPunc_CN</ability>
      <abilityName>全半角问题</abilityName>
      <candidateList>
        <item>“</item>
      </candidateList>
      <explain>文本全半角错误。</explain>
      <paraID>64938387</paraID>
      <start>89</start>
      <end>90</end>
      <status>unmodified</status>
      <modifiedWord/>
      <trackRevisions>false</trackRevisions>
    </reviewItem>
    <reviewItem>
      <errorID>df122b8a-7a7c-427e-b0ae-bd63316396bf</errorID>
      <errorWord>"</errorWord>
      <group>L1_Format</group>
      <groupName>格式问题</groupName>
      <ability>L2_HalfPunc_CN</ability>
      <abilityName>全半角问题</abilityName>
      <candidateList>
        <item>”</item>
      </candidateList>
      <explain>文本全半角错误。</explain>
      <paraID>64938387</paraID>
      <start>92</start>
      <end>93</end>
      <status>unmodified</status>
      <modifiedWord/>
      <trackRevisions>false</trackRevisions>
    </reviewItem>
    <reviewItem>
      <errorID>3e072542-3300-4ab8-a2a6-4fc6c74e05e9</errorID>
      <errorWord>"</errorWord>
      <group>L1_Format</group>
      <groupName>格式问题</groupName>
      <ability>L2_HalfPunc_CN</ability>
      <abilityName>全半角问题</abilityName>
      <candidateList/>
      <explain>文本全半角错误。</explain>
      <paraID>76DED36F</paraID>
      <start>29</start>
      <end>30</end>
      <status>unmodified</status>
      <modifiedWord/>
      <trackRevisions>false</trackRevisions>
    </reviewItem>
    <reviewItem>
      <errorID>4973cf2e-511c-4c05-a3e8-c4ee45751809</errorID>
      <errorWord>"</errorWord>
      <group>L1_Format</group>
      <groupName>格式问题</groupName>
      <ability>L2_HalfPunc_CN</ability>
      <abilityName>全半角问题</abilityName>
      <candidateList/>
      <explain>文本全半角错误。</explain>
      <paraID>76DED36F</paraID>
      <start>45</start>
      <end>46</end>
      <status>unmodified</status>
      <modifiedWord/>
      <trackRevisions>false</trackRevisions>
    </reviewItem>
    <reviewItem>
      <errorID>6a956e60-dab6-4228-9a18-c174f661e903</errorID>
      <errorWord>"</errorWord>
      <group>L1_Format</group>
      <groupName>格式问题</groupName>
      <ability>L2_HalfPunc_CN</ability>
      <abilityName>全半角问题</abilityName>
      <candidateList/>
      <explain>文本全半角错误。</explain>
      <paraID>76DED36F</paraID>
      <start>67</start>
      <end>68</end>
      <status>unmodified</status>
      <modifiedWord/>
      <trackRevisions>false</trackRevisions>
    </reviewItem>
    <reviewItem>
      <errorID>00d5fc66-ccbb-425a-a7c5-7db372552e1f</errorID>
      <errorWord>"</errorWord>
      <group>L1_Format</group>
      <groupName>格式问题</groupName>
      <ability>L2_HalfPunc_CN</ability>
      <abilityName>全半角问题</abilityName>
      <candidateList/>
      <explain>文本全半角错误。</explain>
      <paraID>76DED36F</paraID>
      <start>83</start>
      <end>84</end>
      <status>unmodified</status>
      <modifiedWord/>
      <trackRevisions>false</trackRevisions>
    </reviewItem>
    <reviewItem>
      <errorID>fa3a82a9-0f73-4182-b016-94a4289a6479</errorID>
      <errorWord>延</errorWord>
      <group>L1_Word</group>
      <groupName>字词问题</groupName>
      <ability>L2_Typo</ability>
      <abilityName>字词错误</abilityName>
      <candidateList>
        <item>沿</item>
      </candidateList>
      <explain/>
      <paraID>76DED36F</paraID>
      <start>99</start>
      <end>100</end>
      <status>unmodified</status>
      <modifiedWord/>
      <trackRevisions>false</trackRevisions>
    </reviewItem>
    <reviewItem>
      <errorID>fa2974a8-59cb-4b1e-a194-ec3f16a6228f</errorID>
      <errorWord>。。</errorWord>
      <group>L1_Punc</group>
      <groupName>标点问题</groupName>
      <ability>L2_Punc_CN</ability>
      <abilityName>标点符号问题</abilityName>
      <candidateList>
        <item>。</item>
      </candidateList>
      <explain/>
      <paraID>76DED36F</paraID>
      <start>189</start>
      <end>191</end>
      <status>unmodified</status>
      <modifiedWord/>
      <trackRevisions>false</trackRevisions>
    </reviewItem>
    <reviewItem>
      <errorID>b51ccd43-b2d1-46db-8cea-ba2255f33d3d</errorID>
      <errorWord>:</errorWord>
      <group>L1_Format</group>
      <groupName>格式问题</groupName>
      <ability>L2_HalfPunc_CN</ability>
      <abilityName>全半角问题</abilityName>
      <candidateList>
        <item>：</item>
      </candidateList>
      <explain>文本全半角错误。</explain>
      <paraID>51FF8886</paraID>
      <start>7</start>
      <end>8</end>
      <status>unmodified</status>
      <modifiedWord/>
      <trackRevisions>false</trackRevisions>
    </reviewItem>
    <reviewItem>
      <errorID>50f558fc-1558-486b-8b6b-a92af6acedcf</errorID>
      <errorWord>8457</errorWord>
      <group>L1_Word</group>
      <groupName>字词问题</groupName>
      <ability>L2_Typo</ability>
      <abilityName>字词错误</abilityName>
      <candidateList>
        <item>84～7</item>
      </candidateList>
      <explain/>
      <paraID> 819151F</paraID>
      <start>90</start>
      <end>94</end>
      <status>unmodified</status>
      <modifiedWord/>
      <trackRevisions>false</trackRevisions>
    </reviewItem>
    <reviewItem>
      <errorID>0953e4e0-115f-437a-94c4-de64489c6738</errorID>
      <errorWord>不设置</errorWord>
      <group>L1_Word</group>
      <groupName>字词问题</groupName>
      <ability>L2_Typo</ability>
      <abilityName>字词错误</abilityName>
      <candidateList>
        <item>设置</item>
      </candidateList>
      <explain/>
      <paraID>2A3F1E19</paraID>
      <start>0</start>
      <end>3</end>
      <status>unmodified</status>
      <modifiedWord/>
      <trackRevisions>false</trackRevisions>
    </reviewItem>
    <reviewItem>
      <errorID>12e8770a-e61a-4571-8701-0c1928184d14</errorID>
      <errorWord>水利</errorWord>
      <group>L1_Word</group>
      <groupName>字词问题</groupName>
      <ability>L2_Typo</ability>
      <abilityName>字词错误</abilityName>
      <candidateList>
        <item>水域</item>
      </candidateList>
      <explain/>
      <paraID>76584493</paraID>
      <start>110</start>
      <end>112</end>
      <status>unmodified</status>
      <modifiedWord/>
      <trackRevisions>false</trackRevisions>
    </reviewItem>
    <reviewItem>
      <errorID>0a6c4a23-57a5-4338-9604-dbde4fcecc1f</errorID>
      <errorWord>用地占地</errorWord>
      <group>L1_Grammar</group>
      <groupName>语法问题</groupName>
      <ability>L2_Grammar</ability>
      <abilityName>语法错误</abilityName>
      <candidateList>
        <item>用地</item>
      </candidateList>
      <explain/>
      <paraID>76584493</paraID>
      <start>117</start>
      <end>121</end>
      <status>unmodified</status>
      <modifiedWord/>
      <trackRevisions>false</trackRevisions>
    </reviewItem>
    <reviewItem>
      <errorID>aac18612-c2e6-48b5-9a0f-61f3e5389102</errorID>
      <errorWord>1500</errorWord>
      <group>L1_Word</group>
      <groupName>字词问题</groupName>
      <ability>L2_Typo</ability>
      <abilityName>字词错误</abilityName>
      <candidateList>
        <item>于1500</item>
      </candidateList>
      <explain/>
      <paraID>6B9AD8BA</paraID>
      <start>8</start>
      <end>12</end>
      <status>unmodified</status>
      <modifiedWord/>
      <trackRevisions>false</trackRevisions>
    </reviewItem>
    <reviewItem>
      <errorID>364e9e92-c0ba-4860-8040-618b0c09a30c</errorID>
      <errorWord>GB16297</errorWord>
      <group>L1_Word</group>
      <groupName>字词问题</groupName>
      <ability>L2_Typo</ability>
      <abilityName>字词错误</abilityName>
      <candidateList>
        <item>GB 16297</item>
      </candidateList>
      <explain/>
      <paraID>5342BBF7</paraID>
      <start>159</start>
      <end>166</end>
      <status>unmodified</status>
      <modifiedWord/>
      <trackRevisions>false</trackRevisions>
    </reviewItem>
    <reviewItem>
      <errorID>5b1f1c1b-9436-4041-ab67-4a4d9f494311</errorID>
      <errorWord>GB12523</errorWord>
      <group>L1_Word</group>
      <groupName>字词问题</groupName>
      <ability>L2_Typo</ability>
      <abilityName>字词错误</abilityName>
      <candidateList>
        <item>GB 12523</item>
      </candidateList>
      <explain/>
      <paraID>2406260F</paraID>
      <start>20</start>
      <end>27</end>
      <status>unmodified</status>
      <modifiedWord/>
      <trackRevisions>false</trackRevisions>
    </reviewItem>
    <reviewItem>
      <errorID>4a2289ce-a01f-47ff-a696-dfd2c7a3473e</errorID>
      <errorWord>:</errorWord>
      <group>L1_Format</group>
      <groupName>格式问题</groupName>
      <ability>L2_HalfPunc_CN</ability>
      <abilityName>全半角问题</abilityName>
      <candidateList>
        <item>：</item>
      </candidateList>
      <explain>文本全半角错误。</explain>
      <paraID>2DB2F380</paraID>
      <start>2</start>
      <end>3</end>
      <status>unmodified</status>
      <modifiedWord/>
      <trackRevisions>false</trackRevisions>
    </reviewItem>
    <reviewItem>
      <errorID>246bc649-8cee-446d-8c9a-81dd61e90680</errorID>
      <errorWord>:</errorWord>
      <group>L1_Format</group>
      <groupName>格式问题</groupName>
      <ability>L2_HalfPunc_CN</ability>
      <abilityName>全半角问题</abilityName>
      <candidateList>
        <item>：</item>
      </candidateList>
      <explain>文本全半角错误。</explain>
      <paraID>3A35F660</paraID>
      <start>2</start>
      <end>3</end>
      <status>unmodified</status>
      <modifiedWord/>
      <trackRevisions>false</trackRevisions>
    </reviewItem>
    <reviewItem>
      <errorID>52b0f33f-e894-4be0-bc62-655c17c92953</errorID>
      <errorWord>:</errorWord>
      <group>L1_Format</group>
      <groupName>格式问题</groupName>
      <ability>L2_HalfPunc_CN</ability>
      <abilityName>全半角问题</abilityName>
      <candidateList>
        <item>：</item>
      </candidateList>
      <explain>文本全半角错误。</explain>
      <paraID>19E3A719</paraID>
      <start>2</start>
      <end>3</end>
      <status>unmodified</status>
      <modifiedWord/>
      <trackRevisions>false</trackRevisions>
    </reviewItem>
    <reviewItem>
      <errorID>5a87998e-534d-4de1-8f6e-691430a22a11</errorID>
      <errorWord>:</errorWord>
      <group>L1_Format</group>
      <groupName>格式问题</groupName>
      <ability>L2_HalfPunc_CN</ability>
      <abilityName>全半角问题</abilityName>
      <candidateList>
        <item>：</item>
      </candidateList>
      <explain>文本全半角错误。</explain>
      <paraID>40347AAE</paraID>
      <start>2</start>
      <end>3</end>
      <status>unmodified</status>
      <modifiedWord/>
      <trackRevisions>false</trackRevisions>
    </reviewItem>
    <reviewItem>
      <errorID>4ed39c54-bf2b-4b7f-b2c4-cc6ce392034e</errorID>
      <errorWord>:</errorWord>
      <group>L1_Format</group>
      <groupName>格式问题</groupName>
      <ability>L2_HalfPunc_CN</ability>
      <abilityName>全半角问题</abilityName>
      <candidateList>
        <item>：</item>
      </candidateList>
      <explain>文本全半角错误。</explain>
      <paraID>543F6DFC</paraID>
      <start>2</start>
      <end>3</end>
      <status>unmodified</status>
      <modifiedWord/>
      <trackRevisions>false</trackRevisions>
    </reviewItem>
    <reviewItem>
      <errorID>4a6a582d-5c77-4574-8498-2f2325a337ca</errorID>
      <errorWord>:</errorWord>
      <group>L1_Format</group>
      <groupName>格式问题</groupName>
      <ability>L2_HalfPunc_CN</ability>
      <abilityName>全半角问题</abilityName>
      <candidateList>
        <item>：</item>
      </candidateList>
      <explain>文本全半角错误。</explain>
      <paraID>588298AC</paraID>
      <start>2</start>
      <end>3</end>
      <status>unmodified</status>
      <modifiedWord/>
      <trackRevisions>false</trackRevisions>
    </reviewItem>
    <reviewItem>
      <errorID>091c76ed-af46-4c2b-823b-182da76c6dd1</errorID>
      <errorWord>吉庆路附近位置</errorWord>
      <group>L1_Word</group>
      <groupName>字词问题</groupName>
      <ability>L2_Typo</ability>
      <abilityName>字词错误</abilityName>
      <candidateList>
        <item>位于吉庆路附近</item>
      </candidateList>
      <explain/>
      <paraID>7A5ED6A6</paraID>
      <start>16</start>
      <end>23</end>
      <status>unmodified</status>
      <modifiedWord/>
      <trackRevisions>false</trackRevisions>
    </reviewItem>
    <reviewItem>
      <errorID>445198a7-d12c-4da0-b742-855f66b7476e</errorID>
      <errorWord>收冲</errorWord>
      <group>L1_Word</group>
      <groupName>字词问题</groupName>
      <ability>L2_Typo</ability>
      <abilityName>字词错误</abilityName>
      <candidateList>
        <item>冲刷</item>
      </candidateList>
      <explain/>
      <paraID>7A5ED6A6</paraID>
      <start>67</start>
      <end>69</end>
      <status>unmodified</status>
      <modifiedWord/>
      <trackRevisions>false</trackRevisions>
    </reviewItem>
    <reviewItem>
      <errorID>a39dcbb4-8a9a-493a-941d-9450f407902f</errorID>
      <errorWord>延</errorWord>
      <group>L1_Word</group>
      <groupName>字词问题</groupName>
      <ability>L2_Typo</ability>
      <abilityName>字词错误</abilityName>
      <candidateList>
        <item>沿</item>
      </candidateList>
      <explain/>
      <paraID>7A5ED6A6</paraID>
      <start>81</start>
      <end>82</end>
      <status>unmodified</status>
      <modifiedWord/>
      <trackRevisions>false</trackRevisions>
    </reviewItem>
    <reviewItem>
      <errorID>0d3cfce6-de05-4cf4-b284-64d78b188beb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3438CBDF</paraID>
      <start>0</start>
      <end>2</end>
      <status>unmodified</status>
      <modifiedWord/>
      <trackRevisions>false</trackRevisions>
    </reviewItem>
    <reviewItem>
      <errorID>ad9e2ac4-eb76-4c63-9191-a598cd5199ec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47F952AA</paraID>
      <start>0</start>
      <end>2</end>
      <status>unmodified</status>
      <modifiedWord/>
      <trackRevisions>false</trackRevisions>
    </reviewItem>
    <reviewItem>
      <errorID>89fe6814-82e2-4bf9-880a-98301e81a3f5</errorID>
      <errorWord>临时工程表土暂存8059.20m3临时工程占地范围内</errorWord>
      <group>L1_Other</group>
      <groupName>其他问题</groupName>
      <ability>L2_Consistency</ability>
      <abilityName>一致性检查</abilityName>
      <candidateList>
        <item>临时工程表土暂存1500 m3临时工程占地范围内</item>
      </candidateList>
      <explain>数字一致性错误，临时储存用于生态修复的表土量数字前后不一致，修改后与前文内容保持一致</explain>
      <paraID>12A898A5</paraID>
      <start>147</start>
      <end>173</end>
      <status>unmodified</status>
      <modifiedWord/>
      <trackRevisions>false</trackRevisions>
    </reviewItem>
    <reviewItem>
      <errorID>c626798d-af4c-40bd-84e2-00f2410cd25d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11720C78</paraID>
      <start>0</start>
      <end>2</end>
      <status>unmodified</status>
      <modifiedWord/>
      <trackRevisions>false</trackRevisions>
    </reviewItem>
    <reviewItem>
      <errorID>933ebce5-3461-4e90-b1bb-dd79c9c0203a</errorID>
      <errorWord>:</errorWord>
      <group>L1_Format</group>
      <groupName>格式问题</groupName>
      <ability>L2_HalfPunc_CN</ability>
      <abilityName>全半角问题</abilityName>
      <candidateList>
        <item>：</item>
      </candidateList>
      <explain>文本全半角错误。</explain>
      <paraID>1334EDCD</paraID>
      <start>7</start>
      <end>8</end>
      <status>unmodified</status>
      <modifiedWord/>
      <trackRevisions>false</trackRevisions>
    </reviewItem>
    <reviewItem>
      <errorID>d79b402b-864f-4a4c-bbea-3e64e37e103a</errorID>
      <errorWord>:</errorWord>
      <group>L1_Format</group>
      <groupName>格式问题</groupName>
      <ability>L2_HalfPunc_CN</ability>
      <abilityName>全半角问题</abilityName>
      <candidateList>
        <item>：</item>
      </candidateList>
      <explain>文本全半角错误。</explain>
      <paraID>46A947CA</paraID>
      <start>5</start>
      <end>6</end>
      <status>unmodified</status>
      <modifiedWord/>
      <trackRevisions>false</trackRevisions>
    </reviewItem>
    <reviewItem>
      <errorID>dd7362a4-9f1c-4c2b-b121-018f09600f74</errorID>
      <errorWord>:</errorWord>
      <group>L1_Format</group>
      <groupName>格式问题</groupName>
      <ability>L2_HalfPunc_CN</ability>
      <abilityName>全半角问题</abilityName>
      <candidateList>
        <item>：</item>
      </candidateList>
      <explain>文本全半角错误。</explain>
      <paraID>4F0CE7F5</paraID>
      <start>4</start>
      <end>5</end>
      <status>unmodified</status>
      <modifiedWord/>
      <trackRevisions>false</trackRevisions>
    </reviewItem>
    <reviewItem>
      <errorID>4df8fd85-2fca-48df-b8fd-c02a93431440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597146DB</paraID>
      <start>0</start>
      <end>2</end>
      <status>unmodified</status>
      <modifiedWord/>
      <trackRevisions>false</trackRevisions>
    </reviewItem>
    <reviewItem>
      <errorID>85960418-4964-4669-88b1-0cc42309865d</errorID>
      <errorWord>:</errorWord>
      <group>L1_Format</group>
      <groupName>格式问题</groupName>
      <ability>L2_HalfPunc_CN</ability>
      <abilityName>全半角问题</abilityName>
      <candidateList>
        <item>：</item>
      </candidateList>
      <explain>文本全半角错误。</explain>
      <paraID>761B0B7B</paraID>
      <start>4</start>
      <end>5</end>
      <status>unmodified</status>
      <modifiedWord/>
      <trackRevisions>false</trackRevisions>
    </reviewItem>
    <reviewItem>
      <errorID>fef8d25f-42b2-48c6-a701-116bd98b0640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7B315C70</paraID>
      <start>0</start>
      <end>2</end>
      <status>unmodified</status>
      <modifiedWord/>
      <trackRevisions>false</trackRevisions>
    </reviewItem>
    <reviewItem>
      <errorID>50dfa134-fd31-41ec-bebc-9caff8fb1ac5</errorID>
      <errorWord>8457</errorWord>
      <group>L1_Word</group>
      <groupName>字词问题</groupName>
      <ability>L2_Typo</ability>
      <abilityName>字词错误</abilityName>
      <candidateList>
        <item>84～7</item>
      </candidateList>
      <explain/>
      <paraID>5A30F3F3</paraID>
      <start>91</start>
      <end>95</end>
      <status>unmodified</status>
      <modifiedWord/>
      <trackRevisions>false</trackRevisions>
    </reviewItem>
    <reviewItem>
      <errorID>ada6c9a6-3fd3-4593-8811-c8c3cf280943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68207B0B</paraID>
      <start>0</start>
      <end>2</end>
      <status>unmodified</status>
      <modifiedWord/>
      <trackRevisions>false</trackRevisions>
    </reviewItem>
    <reviewItem>
      <errorID>d764d1b1-3f99-4f38-ba6e-178bae752659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18A12813</paraID>
      <start>0</start>
      <end>2</end>
      <status>unmodified</status>
      <modifiedWord/>
      <trackRevisions>false</trackRevisions>
    </reviewItem>
    <reviewItem>
      <errorID>56c9f9b7-0e0e-49af-8baf-fa717c354fc8</errorID>
      <errorWord>设置1处</errorWord>
      <group>L1_Grammar</group>
      <groupName>语法问题</groupName>
      <ability>L2_Grammar</ability>
      <abilityName>语法错误</abilityName>
      <candidateList>
        <item>设置</item>
      </candidateList>
      <explain/>
      <paraID>5F493FF0</paraID>
      <start>1</start>
      <end>5</end>
      <status>unmodified</status>
      <modifiedWord/>
      <trackRevisions>false</trackRevisions>
    </reviewItem>
    <reviewItem>
      <errorID>be3d41bd-fdd1-4cad-8b16-77ea74acd4ad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42EFF96D</paraID>
      <start>0</start>
      <end>2</end>
      <status>unmodified</status>
      <modifiedWord/>
      <trackRevisions>false</trackRevisions>
    </reviewItem>
    <reviewItem>
      <errorID>95dc55ac-6264-46ac-92b5-ea9dcc9f6ef6</errorID>
      <errorWord>:</errorWord>
      <group>L1_Format</group>
      <groupName>格式问题</groupName>
      <ability>L2_HalfPunc_CN</ability>
      <abilityName>全半角问题</abilityName>
      <candidateList>
        <item>：</item>
      </candidateList>
      <explain>文本全半角错误。</explain>
      <paraID>3B3F6D83</paraID>
      <start>11</start>
      <end>12</end>
      <status>unmodified</status>
      <modifiedWord/>
      <trackRevisions>false</trackRevisions>
    </reviewItem>
    <reviewItem>
      <errorID>0a52f847-aa58-452b-b73d-61c2225d4305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1DCDD707</paraID>
      <start>0</start>
      <end>2</end>
      <status>unmodified</status>
      <modifiedWord/>
      <trackRevisions>false</trackRevisions>
    </reviewItem>
    <reviewItem>
      <errorID>ece948f0-3106-42bd-a7a2-954153d86674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772CC252</paraID>
      <start>0</start>
      <end>2</end>
      <status>unmodified</status>
      <modifiedWord/>
      <trackRevisions>false</trackRevisions>
    </reviewItem>
    <reviewItem>
      <errorID>6321eeab-e83e-4e74-870f-672e445bb35d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65C02299</paraID>
      <start>0</start>
      <end>2</end>
      <status>unmodified</status>
      <modifiedWord/>
      <trackRevisions>false</trackRevisions>
    </reviewItem>
    <reviewItem>
      <errorID>6f131b7d-2caf-420e-83b9-3e21e53b0e35</errorID>
      <errorWord>(</errorWord>
      <group>L1_Format</group>
      <groupName>格式问题</groupName>
      <ability>L2_HalfPunc_CN</ability>
      <abilityName>全半角问题</abilityName>
      <candidateList>
        <item>（</item>
      </candidateList>
      <explain>文本全半角错误。</explain>
      <paraID>413BBE93</paraID>
      <start>3</start>
      <end>4</end>
      <status>unmodified</status>
      <modifiedWord/>
      <trackRevisions>false</trackRevisions>
    </reviewItem>
    <reviewItem>
      <errorID>29d86efd-2f7d-4dc0-9db4-8870e595e189</errorID>
      <errorWord>)</errorWord>
      <group>L1_Format</group>
      <groupName>格式问题</groupName>
      <ability>L2_HalfPunc_CN</ability>
      <abilityName>全半角问题</abilityName>
      <candidateList>
        <item>）</item>
      </candidateList>
      <explain>文本全半角错误。</explain>
      <paraID>413BBE93</paraID>
      <start>5</start>
      <end>6</end>
      <status>unmodified</status>
      <modifiedWord/>
      <trackRevisions>false</trackRevisions>
    </reviewItem>
    <reviewItem>
      <errorID>d88a82f1-d616-439e-ad99-cb3991ec35b5</errorID>
      <errorWord>(</errorWord>
      <group>L1_Format</group>
      <groupName>格式问题</groupName>
      <ability>L2_HalfPunc_CN</ability>
      <abilityName>全半角问题</abilityName>
      <candidateList>
        <item>（</item>
      </candidateList>
      <explain>文本全半角错误。</explain>
      <paraID> F4FBC5A</paraID>
      <start>2</start>
      <end>3</end>
      <status>unmodified</status>
      <modifiedWord/>
      <trackRevisions>false</trackRevisions>
    </reviewItem>
    <reviewItem>
      <errorID>fe65e580-a1a9-4b2a-8422-b1064c09fdfd</errorID>
      <errorWord>)</errorWord>
      <group>L1_Format</group>
      <groupName>格式问题</groupName>
      <ability>L2_HalfPunc_CN</ability>
      <abilityName>全半角问题</abilityName>
      <candidateList>
        <item>）</item>
      </candidateList>
      <explain>文本全半角错误。</explain>
      <paraID> F4FBC5A</paraID>
      <start>4</start>
      <end>5</end>
      <status>unmodified</status>
      <modifiedWord/>
      <trackRevisions>false</trackRevisions>
    </reviewItem>
    <reviewItem>
      <errorID>83f4fa94-ac17-4dad-bb02-00204ea37ecc</errorID>
      <errorWord>(</errorWord>
      <group>L1_Format</group>
      <groupName>格式问题</groupName>
      <ability>L2_HalfPunc_CN</ability>
      <abilityName>全半角问题</abilityName>
      <candidateList>
        <item>（</item>
      </candidateList>
      <explain>文本全半角错误。</explain>
      <paraID>31AC3D9E</paraID>
      <start>4</start>
      <end>5</end>
      <status>unmodified</status>
      <modifiedWord/>
      <trackRevisions>false</trackRevisions>
    </reviewItem>
    <reviewItem>
      <errorID>9957916b-822a-427b-8476-7114eb985605</errorID>
      <errorWord>)</errorWord>
      <group>L1_Format</group>
      <groupName>格式问题</groupName>
      <ability>L2_HalfPunc_CN</ability>
      <abilityName>全半角问题</abilityName>
      <candidateList>
        <item>）</item>
      </candidateList>
      <explain>文本全半角错误。</explain>
      <paraID>31AC3D9E</paraID>
      <start>6</start>
      <end>7</end>
      <status>unmodified</status>
      <modifiedWord/>
      <trackRevisions>false</trackRevisions>
    </reviewItem>
    <reviewItem>
      <errorID>ab002fad-cf3a-4cbb-9b20-733fdc5be4ea</errorID>
      <errorWord>(</errorWord>
      <group>L1_Format</group>
      <groupName>格式问题</groupName>
      <ability>L2_HalfPunc_CN</ability>
      <abilityName>全半角问题</abilityName>
      <candidateList>
        <item>（</item>
      </candidateList>
      <explain>文本全半角错误。</explain>
      <paraID>645A1F26</paraID>
      <start>3</start>
      <end>4</end>
      <status>unmodified</status>
      <modifiedWord/>
      <trackRevisions>false</trackRevisions>
    </reviewItem>
    <reviewItem>
      <errorID>16950646-97b2-4230-8a67-38d700810296</errorID>
      <errorWord>)</errorWord>
      <group>L1_Format</group>
      <groupName>格式问题</groupName>
      <ability>L2_HalfPunc_CN</ability>
      <abilityName>全半角问题</abilityName>
      <candidateList>
        <item>）</item>
      </candidateList>
      <explain>文本全半角错误。</explain>
      <paraID>645A1F26</paraID>
      <start>5</start>
      <end>6</end>
      <status>unmodified</status>
      <modifiedWord/>
      <trackRevisions>false</trackRevisions>
    </reviewItem>
    <reviewItem>
      <errorID>5aafc3b7-9152-4712-8a1a-f78ee071b031</errorID>
      <errorWord>(</errorWord>
      <group>L1_Format</group>
      <groupName>格式问题</groupName>
      <ability>L2_HalfPunc_CN</ability>
      <abilityName>全半角问题</abilityName>
      <candidateList>
        <item>（</item>
      </candidateList>
      <explain>文本全半角错误。</explain>
      <paraID>29BFFEBC</paraID>
      <start>2</start>
      <end>3</end>
      <status>unmodified</status>
      <modifiedWord/>
      <trackRevisions>false</trackRevisions>
    </reviewItem>
    <reviewItem>
      <errorID>f04a2800-684d-451e-8bb1-974a127e4f46</errorID>
      <errorWord>)</errorWord>
      <group>L1_Format</group>
      <groupName>格式问题</groupName>
      <ability>L2_HalfPunc_CN</ability>
      <abilityName>全半角问题</abilityName>
      <candidateList>
        <item>）</item>
      </candidateList>
      <explain>文本全半角错误。</explain>
      <paraID>29BFFEBC</paraID>
      <start>4</start>
      <end>5</end>
      <status>unmodified</status>
      <modifiedWord/>
      <trackRevisions>false</trackRevisions>
    </reviewItem>
    <reviewItem>
      <errorID>832534d0-0fda-4d0b-b8c4-0a007b6761fd</errorID>
      <errorWord>(</errorWord>
      <group>L1_Punc</group>
      <groupName>标点问题</groupName>
      <ability>L2_Punc_CN</ability>
      <abilityName>标点符号问题</abilityName>
      <candidateList/>
      <explain>此处标点可能未正确匹配，请检查句子中是否存在标点冗余、缺失或使用错误的情况。</explain>
      <paraID>5C418649</paraID>
      <start>4</start>
      <end>5</end>
      <status>unmodified</status>
      <modifiedWord/>
      <trackRevisions>false</trackRevisions>
    </reviewItem>
    <reviewItem>
      <errorID>d549e5b8-e1ae-4ea0-a13d-31f84f8849b2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517B08F5</paraID>
      <start>0</start>
      <end>2</end>
      <status>unmodified</status>
      <modifiedWord/>
      <trackRevisions>false</trackRevisions>
    </reviewItem>
    <reviewItem>
      <errorID>a70abb3f-8df8-445b-86f0-f38aa128cd62</errorID>
      <errorWord>kw</errorWord>
      <group>L1_Word</group>
      <groupName>字词问题</groupName>
      <ability>L2_Typo</ability>
      <abilityName>字词错误</abilityName>
      <candidateList>
        <item>kW</item>
      </candidateList>
      <explain/>
      <paraID>799478E4</paraID>
      <start>81</start>
      <end>83</end>
      <status>unmodified</status>
      <modifiedWord/>
      <trackRevisions>false</trackRevisions>
    </reviewItem>
    <reviewItem>
      <errorID>3b9c7d83-f294-4913-abc7-ded5a4220826</errorID>
      <errorWord>1500</errorWord>
      <group>L1_Word</group>
      <groupName>字词问题</groupName>
      <ability>L2_Typo</ability>
      <abilityName>字词错误</abilityName>
      <candidateList>
        <item>于1500</item>
      </candidateList>
      <explain/>
      <paraID>6DB9986F</paraID>
      <start>8</start>
      <end>12</end>
      <status>unmodified</status>
      <modifiedWord/>
      <trackRevisions>false</trackRevisions>
    </reviewItem>
    <reviewItem>
      <errorID>03782705-10b0-41d5-8a7d-e648140bf548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25F5C55D</paraID>
      <start>0</start>
      <end>2</end>
      <status>unmodified</status>
      <modifiedWord/>
      <trackRevisions>false</trackRevisions>
    </reviewItem>
    <reviewItem>
      <errorID>c83e6c9e-059f-4e44-820b-49a4f2b24484</errorID>
      <errorWord>"保护优质表土、合理利用资源、减少生态扰动"</errorWord>
      <group>L1_Punc</group>
      <groupName>标点问题</groupName>
      <ability>L2_Punc_CN</ability>
      <abilityName>标点符号问题</abilityName>
      <candidateList>
        <item>“保护优质表土、合理利用资源、减少生态扰动”</item>
      </candidateList>
      <explain/>
      <paraID>779A4AC9</paraID>
      <start>13</start>
      <end>35</end>
      <status>unmodified</status>
      <modifiedWord/>
      <trackRevisions>false</trackRevisions>
    </reviewItem>
    <reviewItem>
      <errorID>d57627fc-0a9f-4772-b721-c51530d1dc68</errorID>
      <errorWord>:</errorWord>
      <group>L1_Format</group>
      <groupName>格式问题</groupName>
      <ability>L2_HalfPunc_CN</ability>
      <abilityName>全半角问题</abilityName>
      <candidateList>
        <item>：</item>
      </candidateList>
      <explain>文本全半角错误。</explain>
      <paraID>3A1ACE01</paraID>
      <start>8</start>
      <end>9</end>
      <status>unmodified</status>
      <modifiedWord/>
      <trackRevisions>false</trackRevisions>
    </reviewItem>
    <reviewItem>
      <errorID>979c09cd-cfa7-47ed-b7dd-d526a99a7d3e</errorID>
      <errorWord>表土</errorWord>
      <group>L1_Punc</group>
      <groupName>标点问题</groupName>
      <ability>L2_Punc_CN</ability>
      <abilityName>标点符号问题</abilityName>
      <candidateList>
        <item>。表土</item>
      </candidateList>
      <explain/>
      <paraID>3A1ACE01</paraID>
      <start>59</start>
      <end>61</end>
      <status>unmodified</status>
      <modifiedWord/>
      <trackRevisions>false</trackRevisions>
    </reviewItem>
    <reviewItem>
      <errorID>ad354d3d-3a93-4141-84de-70c4aee326ea</errorID>
      <errorWord>:</errorWord>
      <group>L1_Format</group>
      <groupName>格式问题</groupName>
      <ability>L2_HalfPunc_CN</ability>
      <abilityName>全半角问题</abilityName>
      <candidateList>
        <item>：</item>
      </candidateList>
      <explain>文本全半角错误。</explain>
      <paraID>3A1ACE01</paraID>
      <start>67</start>
      <end>68</end>
      <status>unmodified</status>
      <modifiedWord/>
      <trackRevisions>false</trackRevisions>
    </reviewItem>
    <reviewItem>
      <errorID>bae30021-bb90-4876-bc5c-154185d17669</errorID>
      <errorWord>:</errorWord>
      <group>L1_Format</group>
      <groupName>格式问题</groupName>
      <ability>L2_HalfPunc_CN</ability>
      <abilityName>全半角问题</abilityName>
      <candidateList>
        <item>：</item>
      </candidateList>
      <explain>文本全半角错误。</explain>
      <paraID>70619788</paraID>
      <start>23</start>
      <end>24</end>
      <status>unmodified</status>
      <modifiedWord/>
      <trackRevisions>false</trackRevisions>
    </reviewItem>
    <reviewItem>
      <errorID>31b2bcf3-44a3-4631-a445-ec42600b773a</errorID>
      <errorWord>回覆</errorWord>
      <group>L1_Word</group>
      <groupName>字词问题</groupName>
      <ability>L2_Fanti</ability>
      <abilityName>繁转简</abilityName>
      <candidateList>
        <item>回复</item>
      </candidateList>
      <explain/>
      <paraID>6F0E6529</paraID>
      <start>2</start>
      <end>4</end>
      <status>unmodified</status>
      <modifiedWord/>
      <trackRevisions>false</trackRevisions>
    </reviewItem>
    <reviewItem>
      <errorID>08aac71a-2f0f-4892-a355-f84a908861cc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29AB6A85</paraID>
      <start>0</start>
      <end>2</end>
      <status>unmodified</status>
      <modifiedWord/>
      <trackRevisions>false</trackRevisions>
    </reviewItem>
    <reviewItem>
      <errorID>13193122-8ca4-4fea-a902-d96570a101d2</errorID>
      <errorWord>"</errorWord>
      <group>L1_Format</group>
      <groupName>格式问题</groupName>
      <ability>L2_HalfPunc_CN</ability>
      <abilityName>全半角问题</abilityName>
      <candidateList>
        <item>“</item>
      </candidateList>
      <explain>文本全半角错误。</explain>
      <paraID>65F8BC56</paraID>
      <start>56</start>
      <end>57</end>
      <status>unmodified</status>
      <modifiedWord/>
      <trackRevisions>false</trackRevisions>
    </reviewItem>
    <reviewItem>
      <errorID>e3d50689-14df-429b-8ecf-ef45aef5437d</errorID>
      <errorWord>"</errorWord>
      <group>L1_Format</group>
      <groupName>格式问题</groupName>
      <ability>L2_HalfPunc_CN</ability>
      <abilityName>全半角问题</abilityName>
      <candidateList>
        <item>”</item>
      </candidateList>
      <explain>文本全半角错误。</explain>
      <paraID>65F8BC56</paraID>
      <start>77</start>
      <end>78</end>
      <status>unmodified</status>
      <modifiedWord/>
      <trackRevisions>false</trackRevisions>
    </reviewItem>
    <reviewItem>
      <errorID>f4c4ec0f-7fee-4642-a0fe-22a0436ca862</errorID>
      <errorWord>既</errorWord>
      <group>L1_Word</group>
      <groupName>字词问题</groupName>
      <ability>L2_Typo</ability>
      <abilityName>字词错误</abilityName>
      <candidateList>
        <item>即</item>
      </candidateList>
      <explain/>
      <paraID> 5BAA24C</paraID>
      <start>94</start>
      <end>95</end>
      <status>unmodified</status>
      <modifiedWord/>
      <trackRevisions>false</trackRevisions>
    </reviewItem>
    <reviewItem>
      <errorID>a8382c4c-f52d-41fc-96d6-283ed48bf772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191F0E0B</paraID>
      <start>0</start>
      <end>2</end>
      <status>unmodified</status>
      <modifiedWord/>
      <trackRevisions>false</trackRevisions>
    </reviewItem>
    <reviewItem>
      <errorID>939e1eb5-86b6-4732-b8ac-fac84e1ec095</errorID>
      <errorWord>:</errorWord>
      <group>L1_Format</group>
      <groupName>格式问题</groupName>
      <ability>L2_HalfPunc_CN</ability>
      <abilityName>全半角问题</abilityName>
      <candidateList>
        <item>：</item>
      </candidateList>
      <explain>文本全半角错误。</explain>
      <paraID>191F0E0B</paraID>
      <start>13</start>
      <end>14</end>
      <status>unmodified</status>
      <modifiedWord/>
      <trackRevisions>false</trackRevisions>
    </reviewItem>
    <reviewItem>
      <errorID>3b940f0f-1902-4583-a564-af42a9e8a116</errorID>
      <errorWord>:</errorWord>
      <group>L1_Format</group>
      <groupName>格式问题</groupName>
      <ability>L2_HalfPunc_CN</ability>
      <abilityName>全半角问题</abilityName>
      <candidateList>
        <item>：</item>
      </candidateList>
      <explain>文本全半角错误。</explain>
      <paraID>2C3A611A</paraID>
      <start>4</start>
      <end>5</end>
      <status>unmodified</status>
      <modifiedWord/>
      <trackRevisions>false</trackRevisions>
    </reviewItem>
    <reviewItem>
      <errorID>b90155c0-5941-4c83-8b2d-06252bc43f2d</errorID>
      <errorWord>种养殖</errorWord>
      <group>L1_Word</group>
      <groupName>字词问题</groupName>
      <ability>L2_Typo</ability>
      <abilityName>字词错误</abilityName>
      <candidateList>
        <item>种植养殖</item>
      </candidateList>
      <explain/>
      <paraID>2C3A611A</paraID>
      <start>148</start>
      <end>151</end>
      <status>unmodified</status>
      <modifiedWord/>
      <trackRevisions>false</trackRevisions>
    </reviewItem>
    <reviewItem>
      <errorID>f7cf9c1d-644b-4bb8-8996-6d7dfa51d4d0</errorID>
      <errorWord>:</errorWord>
      <group>L1_Format</group>
      <groupName>格式问题</groupName>
      <ability>L2_HalfPunc_CN</ability>
      <abilityName>全半角问题</abilityName>
      <candidateList>
        <item>：</item>
      </candidateList>
      <explain>文本全半角错误。</explain>
      <paraID> 219D554</paraID>
      <start>4</start>
      <end>5</end>
      <status>unmodified</status>
      <modifiedWord/>
      <trackRevisions>false</trackRevisions>
    </reviewItem>
    <reviewItem>
      <errorID>6b0639c6-98a6-4f93-9ea5-813e09ede403</errorID>
      <errorWord>:</errorWord>
      <group>L1_Format</group>
      <groupName>格式问题</groupName>
      <ability>L2_HalfPunc_CN</ability>
      <abilityName>全半角问题</abilityName>
      <candidateList>
        <item>：</item>
      </candidateList>
      <explain>文本全半角错误。</explain>
      <paraID>7327CD60</paraID>
      <start>4</start>
      <end>5</end>
      <status>unmodified</status>
      <modifiedWord/>
      <trackRevisions>false</trackRevisions>
    </reviewItem>
    <reviewItem>
      <errorID>c39b59db-b1c6-4253-b4c3-64b3d9051d9e</errorID>
      <errorWord>:</errorWord>
      <group>L1_Format</group>
      <groupName>格式问题</groupName>
      <ability>L2_HalfPunc_CN</ability>
      <abilityName>全半角问题</abilityName>
      <candidateList>
        <item>：</item>
      </candidateList>
      <explain>文本全半角错误。</explain>
      <paraID>232367B7</paraID>
      <start>9</start>
      <end>10</end>
      <status>unmodified</status>
      <modifiedWord/>
      <trackRevisions>false</trackRevisions>
    </reviewItem>
    <reviewItem>
      <errorID>81433625-816a-4009-8316-ef7c537bae75</errorID>
      <errorWord>:</errorWord>
      <group>L1_Format</group>
      <groupName>格式问题</groupName>
      <ability>L2_HalfPunc_CN</ability>
      <abilityName>全半角问题</abilityName>
      <candidateList>
        <item>：</item>
      </candidateList>
      <explain>文本全半角错误。</explain>
      <paraID>2DED3172</paraID>
      <start>11</start>
      <end>12</end>
      <status>unmodified</status>
      <modifiedWord/>
      <trackRevisions>false</trackRevisions>
    </reviewItem>
    <reviewItem>
      <errorID>6f9af0d8-b743-4930-8f2c-905036874bbf</errorID>
      <errorWord>务</errorWord>
      <group>L1_Word</group>
      <groupName>字词问题</groupName>
      <ability>L2_Typo</ability>
      <abilityName>字词错误</abilityName>
      <candidateList>
        <item>务是</item>
      </candidateList>
      <explain/>
      <paraID>35BA7491</paraID>
      <start>7</start>
      <end>8</end>
      <status>unmodified</status>
      <modifiedWord/>
      <trackRevisions>false</trackRevisions>
    </reviewItem>
    <reviewItem>
      <errorID>7ae4d090-45c4-459e-9e58-ac2767ada1d6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1A296B41</paraID>
      <start>0</start>
      <end>2</end>
      <status>unmodified</status>
      <modifiedWord/>
      <trackRevisions>false</trackRevisions>
    </reviewItem>
    <reviewItem>
      <errorID>28e28097-54e3-435b-b39a-cc325fc0cc77</errorID>
      <errorWord>:</errorWord>
      <group>L1_Format</group>
      <groupName>格式问题</groupName>
      <ability>L2_HalfPunc_CN</ability>
      <abilityName>全半角问题</abilityName>
      <candidateList>
        <item>：</item>
      </candidateList>
      <explain>文本全半角错误。</explain>
      <paraID>1A296B41</paraID>
      <start>12</start>
      <end>13</end>
      <status>unmodified</status>
      <modifiedWord/>
      <trackRevisions>false</trackRevisions>
    </reviewItem>
    <reviewItem>
      <errorID>b7f0efae-34ab-40d6-92cb-aa7c43ab9f88</errorID>
      <errorWord>水源涵养与土壤保持</errorWord>
      <group>L1_Political</group>
      <groupName>政治性问题</groupName>
      <ability>L2_Keyword</ability>
      <abilityName>固定表述</abilityName>
      <candidateList>
        <item>水源涵养与水土保持</item>
      </candidateList>
      <explain>词汇“水源涵养与水土保持”在特定场景下为固定表述形式，请确认此处的“水源涵养与土壤保持”是否存在不当。</explain>
      <paraID>1A296B41</paraID>
      <start>31</start>
      <end>40</end>
      <status>unmodified</status>
      <modifiedWord/>
      <trackRevisions>false</trackRevisions>
    </reviewItem>
    <reviewItem>
      <errorID>232b3f4a-4214-4d7b-beeb-aea8e7068903</errorID>
      <errorWord>:</errorWord>
      <group>L1_Format</group>
      <groupName>格式问题</groupName>
      <ability>L2_HalfPunc_CN</ability>
      <abilityName>全半角问题</abilityName>
      <candidateList>
        <item>：</item>
      </candidateList>
      <explain>文本全半角错误。</explain>
      <paraID>113B5850</paraID>
      <start>28</start>
      <end>29</end>
      <status>unmodified</status>
      <modifiedWord/>
      <trackRevisions>false</trackRevisions>
    </reviewItem>
    <reviewItem>
      <errorID>9f095129-8473-4af5-b119-60470821de52</errorID>
      <errorWord>面积:</errorWord>
      <group>L1_Grammar</group>
      <groupName>语法问题</groupName>
      <ability>L2_Grammar</ability>
      <abilityName>语法错误</abilityName>
      <candidateList>
        <item>由</item>
      </candidateList>
      <explain/>
      <paraID>37A6840E</paraID>
      <start>4</start>
      <end>7</end>
      <status>unmodified</status>
      <modifiedWord/>
      <trackRevisions>false</trackRevisions>
    </reviewItem>
    <reviewItem>
      <errorID>33c18d32-148a-4ef0-8b17-aec13ddfcd2a</errorID>
      <errorWord>:</errorWord>
      <group>L1_Format</group>
      <groupName>格式问题</groupName>
      <ability>L2_HalfPunc_CN</ability>
      <abilityName>全半角问题</abilityName>
      <candidateList>
        <item>：</item>
      </candidateList>
      <explain>文本全半角错误。</explain>
      <paraID>78D85AB3</paraID>
      <start>6</start>
      <end>7</end>
      <status>unmodified</status>
      <modifiedWord/>
      <trackRevisions>false</trackRevisions>
    </reviewItem>
    <reviewItem>
      <errorID>c6efdc7c-be07-4902-ae89-3ff71d583f13</errorID>
      <errorWord>:</errorWord>
      <group>L1_Format</group>
      <groupName>格式问题</groupName>
      <ability>L2_HalfPunc_CN</ability>
      <abilityName>全半角问题</abilityName>
      <candidateList>
        <item>：</item>
      </candidateList>
      <explain>文本全半角错误。</explain>
      <paraID>6F5C4CED</paraID>
      <start>7</start>
      <end>8</end>
      <status>unmodified</status>
      <modifiedWord/>
      <trackRevisions>false</trackRevisions>
    </reviewItem>
    <reviewItem>
      <errorID>252f9af1-4948-46c2-8d57-eca288860b97</errorID>
      <errorWord>:</errorWord>
      <group>L1_Format</group>
      <groupName>格式问题</groupName>
      <ability>L2_HalfPunc_CN</ability>
      <abilityName>全半角问题</abilityName>
      <candidateList>
        <item>：</item>
      </candidateList>
      <explain>文本全半角错误。</explain>
      <paraID>4E0C4B5A</paraID>
      <start>10</start>
      <end>11</end>
      <status>unmodified</status>
      <modifiedWord/>
      <trackRevisions>false</trackRevisions>
    </reviewItem>
    <reviewItem>
      <errorID>1cf8c369-0871-4e3d-8871-c81d135ef144</errorID>
      <errorWord>:</errorWord>
      <group>L1_Format</group>
      <groupName>格式问题</groupName>
      <ability>L2_HalfPunc_CN</ability>
      <abilityName>全半角问题</abilityName>
      <candidateList>
        <item>：</item>
      </candidateList>
      <explain>文本全半角错误。</explain>
      <paraID>700D89B5</paraID>
      <start>9</start>
      <end>10</end>
      <status>unmodified</status>
      <modifiedWord/>
      <trackRevisions>false</trackRevisions>
    </reviewItem>
    <reviewItem>
      <errorID>0d2fc279-15ea-4d6f-a140-085793fa8fc6</errorID>
      <errorWord>务</errorWord>
      <group>L1_Word</group>
      <groupName>字词问题</groupName>
      <ability>L2_Typo</ability>
      <abilityName>字词错误</abilityName>
      <candidateList>
        <item>务是</item>
      </candidateList>
      <explain/>
      <paraID>6E925367</paraID>
      <start>47</start>
      <end>48</end>
      <status>unmodified</status>
      <modifiedWord/>
      <trackRevisions>false</trackRevisions>
    </reviewItem>
    <reviewItem>
      <errorID>f93ce978-1133-4def-af2a-2845666d6f8f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43F23D59</paraID>
      <start>0</start>
      <end>2</end>
      <status>unmodified</status>
      <modifiedWord/>
      <trackRevisions>false</trackRevisions>
    </reviewItem>
    <reviewItem>
      <errorID>16ab95be-568c-4ddd-8aa7-72a2f5b2a3af</errorID>
      <errorWord>:</errorWord>
      <group>L1_Format</group>
      <groupName>格式问题</groupName>
      <ability>L2_HalfPunc_CN</ability>
      <abilityName>全半角问题</abilityName>
      <candidateList>
        <item>：</item>
      </candidateList>
      <explain>文本全半角错误。</explain>
      <paraID>43F23D59</paraID>
      <start>8</start>
      <end>9</end>
      <status>unmodified</status>
      <modifiedWord/>
      <trackRevisions>false</trackRevisions>
    </reviewItem>
    <reviewItem>
      <errorID>1022ad93-98db-4c80-a32b-aad2156fe8cd</errorID>
      <errorWord>:</errorWord>
      <group>L1_Format</group>
      <groupName>格式问题</groupName>
      <ability>L2_HalfPunc_CN</ability>
      <abilityName>全半角问题</abilityName>
      <candidateList>
        <item>：</item>
      </candidateList>
      <explain>文本全半角错误。</explain>
      <paraID> 6CD1DFF</paraID>
      <start>94</start>
      <end>95</end>
      <status>unmodified</status>
      <modifiedWord/>
      <trackRevisions>false</trackRevisions>
    </reviewItem>
    <reviewItem>
      <errorID>f7b9ec6b-52ab-4eeb-a846-25f6f76df203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7463DD63</paraID>
      <start>0</start>
      <end>2</end>
      <status>unmodified</status>
      <modifiedWord/>
      <trackRevisions>false</trackRevisions>
    </reviewItem>
    <reviewItem>
      <errorID>bf740c9d-b82a-4821-87cd-c79249cf6780</errorID>
      <errorWord>《</errorWord>
      <group>L1_Word</group>
      <groupName>字词问题</groupName>
      <ability>L2_Typo</ability>
      <abilityName>字词错误</abilityName>
      <candidateList>
        <item>的《</item>
      </candidateList>
      <explain/>
      <paraID>256D61E3</paraID>
      <start>14</start>
      <end>15</end>
      <status>unmodified</status>
      <modifiedWord/>
      <trackRevisions>false</trackRevisions>
    </reviewItem>
    <reviewItem>
      <errorID>79454f9a-03c9-4e9e-92c4-52e8a7eed33e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3C98D77E</paraID>
      <start>0</start>
      <end>2</end>
      <status>unmodified</status>
      <modifiedWord/>
      <trackRevisions>false</trackRevisions>
    </reviewItem>
    <reviewItem>
      <errorID>f26533e9-806d-4ce7-ba22-2b795db3d6f0</errorID>
      <errorWord>，鲶，</errorWord>
      <group>L1_Word</group>
      <groupName>字词问题</groupName>
      <ability>L2_Typo</ability>
      <abilityName>字词错误</abilityName>
      <candidateList>
        <item>、鲶鱼、</item>
      </candidateList>
      <explain/>
      <paraID> 537802A</paraID>
      <start>36</start>
      <end>39</end>
      <status>unmodified</status>
      <modifiedWord/>
      <trackRevisions>false</trackRevisions>
    </reviewItem>
    <reviewItem>
      <errorID>8c6a1525-6528-434e-b5f3-b8a45f4dfab3</errorID>
      <errorWord>"</errorWord>
      <group>L1_Format</group>
      <groupName>格式问题</groupName>
      <ability>L2_HalfPunc_CN</ability>
      <abilityName>全半角问题</abilityName>
      <candidateList>
        <item>“</item>
      </candidateList>
      <explain>文本全半角错误。</explain>
      <paraID>761078F5</paraID>
      <start>50</start>
      <end>51</end>
      <status>unmodified</status>
      <modifiedWord/>
      <trackRevisions>false</trackRevisions>
    </reviewItem>
    <reviewItem>
      <errorID>17101859-3d02-44a7-aa4d-a2b3b2fe5b28</errorID>
      <errorWord>"</errorWord>
      <group>L1_Format</group>
      <groupName>格式问题</groupName>
      <ability>L2_HalfPunc_CN</ability>
      <abilityName>全半角问题</abilityName>
      <candidateList>
        <item>”</item>
      </candidateList>
      <explain>文本全半角错误。</explain>
      <paraID>761078F5</paraID>
      <start>53</start>
      <end>54</end>
      <status>unmodified</status>
      <modifiedWord/>
      <trackRevisions>false</trackRevisions>
    </reviewItem>
    <reviewItem>
      <errorID>029593f3-7b65-48f3-8782-a23638960f92</errorID>
      <errorWord>主要为</errorWord>
      <group>L1_Grammar</group>
      <groupName>语法问题</groupName>
      <ability>L2_Grammar</ability>
      <abilityName>语法错误</abilityName>
      <candidateList>
        <item>以</item>
      </candidateList>
      <explain/>
      <paraID>5C337FA7</paraID>
      <start>27</start>
      <end>30</end>
      <status>unmodified</status>
      <modifiedWord/>
      <trackRevisions>false</trackRevisions>
    </reviewItem>
    <reviewItem>
      <errorID>c6d67f3f-2d74-49b4-bc1b-a542dc467858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7D766D8B</paraID>
      <start>0</start>
      <end>2</end>
      <status>unmodified</status>
      <modifiedWord/>
      <trackRevisions>false</trackRevisions>
    </reviewItem>
    <reviewItem>
      <errorID>d07afa89-56b3-4299-b36e-58d5ddbf537e</errorID>
      <errorWord>Pm2</errorWord>
      <group>L1_Word</group>
      <groupName>字词问题</groupName>
      <ability>L2_Typo</ability>
      <abilityName>字词错误</abilityName>
      <candidateList>
        <item>PM2</item>
      </candidateList>
      <explain/>
      <paraID>6691004A</paraID>
      <start>98</start>
      <end>101</end>
      <status>unmodified</status>
      <modifiedWord/>
      <trackRevisions>false</trackRevisions>
    </reviewItem>
    <reviewItem>
      <errorID>e03325b8-19e1-4ba8-93c3-32d2185fa038</errorID>
      <errorWord>Pm10</errorWord>
      <group>L1_Word</group>
      <groupName>字词问题</groupName>
      <ability>L2_Typo</ability>
      <abilityName>字词错误</abilityName>
      <candidateList>
        <item>PM10</item>
      </candidateList>
      <explain/>
      <paraID>6691004A</paraID>
      <start>104</start>
      <end>108</end>
      <status>unmodified</status>
      <modifiedWord/>
      <trackRevisions>false</trackRevisions>
    </reviewItem>
    <reviewItem>
      <errorID>dc6ed0d0-64f7-439f-a96e-e8510ae996e1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302C377C</paraID>
      <start>0</start>
      <end>2</end>
      <status>unmodified</status>
      <modifiedWord/>
      <trackRevisions>false</trackRevisions>
    </reviewItem>
    <reviewItem>
      <errorID>3a917576-c44a-43a7-9fe4-5e106ec1e95f</errorID>
      <errorWord>[2024]22号</errorWord>
      <group>L1_Knowledge</group>
      <groupName>知识性问题</groupName>
      <ability>L2_Knowledge</ability>
      <abilityName>其他知识</abilityName>
      <candidateList>
        <item>〔2024〕22号</item>
      </candidateList>
      <explain>发文字号格式错误。</explain>
      <paraID>2E8E06A1</paraID>
      <start>54</start>
      <end>63</end>
      <status>unmodified</status>
      <modifiedWord/>
      <trackRevisions>false</trackRevisions>
    </reviewItem>
    <reviewItem>
      <errorID>a0394019-d19d-4fd6-bbaa-0e59c61614e6</errorID>
      <errorWord>III类</errorWord>
      <group>L1_Knowledge</group>
      <groupName>知识性问题</groupName>
      <ability>L2_Knowledge</ability>
      <abilityName>其他知识</abilityName>
      <candidateList>
        <item>Ⅲ类</item>
      </candidateList>
      <explain>中文环境下罗马数字格式错误。</explain>
      <paraID>2E8E06A1</paraID>
      <start>119</start>
      <end>123</end>
      <status>unmodified</status>
      <modifiedWord/>
      <trackRevisions>false</trackRevisions>
    </reviewItem>
    <reviewItem>
      <errorID>cafe1002-923e-45ce-9699-8d274117f046</errorID>
      <errorWord>III类</errorWord>
      <group>L1_Knowledge</group>
      <groupName>知识性问题</groupName>
      <ability>L2_Knowledge</ability>
      <abilityName>其他知识</abilityName>
      <candidateList>
        <item>Ⅲ类</item>
      </candidateList>
      <explain>中文环境下罗马数字格式错误。</explain>
      <paraID>2E8E06A1</paraID>
      <start>159</start>
      <end>163</end>
      <status>unmodified</status>
      <modifiedWord/>
      <trackRevisions>false</trackRevisions>
    </reviewItem>
    <reviewItem>
      <errorID>5cd32ab9-b683-4313-b7a0-a7e6034061d9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361FDE0B</paraID>
      <start>0</start>
      <end>2</end>
      <status>unmodified</status>
      <modifiedWord/>
      <trackRevisions>false</trackRevisions>
    </reviewItem>
    <reviewItem>
      <errorID>0ec02477-2316-4bbe-b8e0-b584a361e3fa</errorID>
      <errorWord>:</errorWord>
      <group>L1_Format</group>
      <groupName>格式问题</groupName>
      <ability>L2_HalfPunc_CN</ability>
      <abilityName>全半角问题</abilityName>
      <candidateList>
        <item>：</item>
      </candidateList>
      <explain>文本全半角错误。</explain>
      <paraID>29A4440A</paraID>
      <start>22</start>
      <end>23</end>
      <status>unmodified</status>
      <modifiedWord/>
      <trackRevisions>false</trackRevisions>
    </reviewItem>
    <reviewItem>
      <errorID>bbcf15cf-3b06-4b64-9800-6f89d0acb8f5</errorID>
      <errorWord>"</errorWord>
      <group>L1_Format</group>
      <groupName>格式问题</groupName>
      <ability>L2_HalfPunc_CN</ability>
      <abilityName>全半角问题</abilityName>
      <candidateList>
        <item>“</item>
      </candidateList>
      <explain>文本全半角错误。</explain>
      <paraID>633C3021</paraID>
      <start>41</start>
      <end>42</end>
      <status>unmodified</status>
      <modifiedWord/>
      <trackRevisions>false</trackRevisions>
    </reviewItem>
    <reviewItem>
      <errorID>42e67adb-b181-4e02-998d-ebd8ca2732c4</errorID>
      <errorWord>"</errorWord>
      <group>L1_Format</group>
      <groupName>格式问题</groupName>
      <ability>L2_HalfPunc_CN</ability>
      <abilityName>全半角问题</abilityName>
      <candidateList>
        <item>”</item>
      </candidateList>
      <explain>文本全半角错误。</explain>
      <paraID>633C3021</paraID>
      <start>57</start>
      <end>58</end>
      <status>unmodified</status>
      <modifiedWord/>
      <trackRevisions>false</trackRevisions>
    </reviewItem>
    <reviewItem>
      <errorID>758db194-542c-47c0-9a6a-d8bd8f782b1f</errorID>
      <errorWord>III类</errorWord>
      <group>L1_Knowledge</group>
      <groupName>知识性问题</groupName>
      <ability>L2_Knowledge</ability>
      <abilityName>其他知识</abilityName>
      <candidateList>
        <item>Ⅲ类</item>
      </candidateList>
      <explain>中文环境下罗马数字格式错误。</explain>
      <paraID>6C185C30</paraID>
      <start>80</start>
      <end>84</end>
      <status>unmodified</status>
      <modifiedWord/>
      <trackRevisions>false</trackRevisions>
    </reviewItem>
    <reviewItem>
      <errorID>80981c06-52f3-4e19-bab9-0eb19651054d</errorID>
      <errorWord>"</errorWord>
      <group>L1_Format</group>
      <groupName>格式问题</groupName>
      <ability>L2_HalfPunc_CN</ability>
      <abilityName>全半角问题</abilityName>
      <candidateList>
        <item>“</item>
      </candidateList>
      <explain>文本全半角错误。</explain>
      <paraID>6C185C30</paraID>
      <start>166</start>
      <end>167</end>
      <status>unmodified</status>
      <modifiedWord/>
      <trackRevisions>false</trackRevisions>
    </reviewItem>
    <reviewItem>
      <errorID>e8a88804-37e1-428f-b3d8-20841a66bd48</errorID>
      <errorWord>"</errorWord>
      <group>L1_Format</group>
      <groupName>格式问题</groupName>
      <ability>L2_HalfPunc_CN</ability>
      <abilityName>全半角问题</abilityName>
      <candidateList>
        <item>”</item>
      </candidateList>
      <explain>文本全半角错误。</explain>
      <paraID>6C185C30</paraID>
      <start>178</start>
      <end>179</end>
      <status>unmodified</status>
      <modifiedWord/>
      <trackRevisions>false</trackRevisions>
    </reviewItem>
    <reviewItem>
      <errorID>6959fcc9-fede-4e08-97a3-bd4c0086bb26</errorID>
      <errorWord>"</errorWord>
      <group>L1_Format</group>
      <groupName>格式问题</groupName>
      <ability>L2_HalfPunc_CN</ability>
      <abilityName>全半角问题</abilityName>
      <candidateList>
        <item>“</item>
      </candidateList>
      <explain>文本全半角错误。</explain>
      <paraID>6C185C30</paraID>
      <start>185</start>
      <end>186</end>
      <status>unmodified</status>
      <modifiedWord/>
      <trackRevisions>false</trackRevisions>
    </reviewItem>
    <reviewItem>
      <errorID>0bc22390-25c8-48be-adfb-bb6baa54b7bb</errorID>
      <errorWord>"</errorWord>
      <group>L1_Format</group>
      <groupName>格式问题</groupName>
      <ability>L2_HalfPunc_CN</ability>
      <abilityName>全半角问题</abilityName>
      <candidateList>
        <item>”</item>
      </candidateList>
      <explain>文本全半角错误。</explain>
      <paraID>6C185C30</paraID>
      <start>199</start>
      <end>200</end>
      <status>unmodified</status>
      <modifiedWord/>
      <trackRevisions>false</trackRevisions>
    </reviewItem>
    <reviewItem>
      <errorID>76ff1f74-81ba-4b1d-b724-4cdaec2f4e41</errorID>
      <errorWord>"</errorWord>
      <group>L1_Format</group>
      <groupName>格式问题</groupName>
      <ability>L2_HalfPunc_CN</ability>
      <abilityName>全半角问题</abilityName>
      <candidateList>
        <item>“</item>
      </candidateList>
      <explain>文本全半角错误。</explain>
      <paraID>6CD1801C</paraID>
      <start>115</start>
      <end>116</end>
      <status>unmodified</status>
      <modifiedWord/>
      <trackRevisions>false</trackRevisions>
    </reviewItem>
    <reviewItem>
      <errorID>a5a330b9-7ae6-4e62-9eb4-80bc244650cf</errorID>
      <errorWord>"</errorWord>
      <group>L1_Format</group>
      <groupName>格式问题</groupName>
      <ability>L2_HalfPunc_CN</ability>
      <abilityName>全半角问题</abilityName>
      <candidateList>
        <item>”</item>
      </candidateList>
      <explain>文本全半角错误。</explain>
      <paraID>6CD1801C</paraID>
      <start>119</start>
      <end>120</end>
      <status>unmodified</status>
      <modifiedWord/>
      <trackRevisions>false</trackRevisions>
    </reviewItem>
    <reviewItem>
      <errorID>e74dd603-1cf5-4aed-aced-f115b60b0b9b</errorID>
      <errorWord>"</errorWord>
      <group>L1_Format</group>
      <groupName>格式问题</groupName>
      <ability>L2_HalfPunc_CN</ability>
      <abilityName>全半角问题</abilityName>
      <candidateList>
        <item>“</item>
      </candidateList>
      <explain>文本全半角错误。</explain>
      <paraID>6CD1801C</paraID>
      <start>137</start>
      <end>138</end>
      <status>unmodified</status>
      <modifiedWord/>
      <trackRevisions>false</trackRevisions>
    </reviewItem>
    <reviewItem>
      <errorID>f95152e4-53fd-40cf-90b7-c417c05be2c2</errorID>
      <errorWord>"</errorWord>
      <group>L1_Format</group>
      <groupName>格式问题</groupName>
      <ability>L2_HalfPunc_CN</ability>
      <abilityName>全半角问题</abilityName>
      <candidateList>
        <item>”</item>
      </candidateList>
      <explain>文本全半角错误。</explain>
      <paraID>6CD1801C</paraID>
      <start>139</start>
      <end>140</end>
      <status>unmodified</status>
      <modifiedWord/>
      <trackRevisions>false</trackRevisions>
    </reviewItem>
    <reviewItem>
      <errorID>ad46d849-2427-4f80-a253-8f6e4eecd2b0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5475E7CD</paraID>
      <start>0</start>
      <end>2</end>
      <status>unmodified</status>
      <modifiedWord/>
      <trackRevisions>false</trackRevisions>
    </reviewItem>
    <reviewItem>
      <errorID>772ebea6-b89f-409d-9a6b-6426bcc6b2c8</errorID>
      <errorWord>分叉</errorWord>
      <group>L1_Word</group>
      <groupName>字词问题</groupName>
      <ability>L2_Typo</ability>
      <abilityName>字词错误</abilityName>
      <candidateList>
        <item>分岔</item>
      </candidateList>
      <explain>存在发音相同字词的误用。</explain>
      <paraID>5D5510A0</paraID>
      <start>37</start>
      <end>39</end>
      <status>unmodified</status>
      <modifiedWord/>
      <trackRevisions>false</trackRevisions>
    </reviewItem>
    <reviewItem>
      <errorID>0c39781a-6eb9-4f34-b692-586149b09f04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6C494B3</paraID>
      <start>0</start>
      <end>2</end>
      <status>unmodified</status>
      <modifiedWord/>
      <trackRevisions>false</trackRevisions>
    </reviewItem>
    <reviewItem>
      <errorID>2ed51a81-d76b-40ba-859c-99caabf3ebf0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2F5DF401</paraID>
      <start>0</start>
      <end>2</end>
      <status>unmodified</status>
      <modifiedWord/>
      <trackRevisions>false</trackRevisions>
    </reviewItem>
    <reviewItem>
      <errorID>e1f8be15-a365-4db2-aeef-bbacec143101</errorID>
      <errorWord>:</errorWord>
      <group>L1_Format</group>
      <groupName>格式问题</groupName>
      <ability>L2_HalfPunc_CN</ability>
      <abilityName>全半角问题</abilityName>
      <candidateList>
        <item>：</item>
      </candidateList>
      <explain>文本全半角错误。</explain>
      <paraID>2F5DF401</paraID>
      <start>8</start>
      <end>9</end>
      <status>unmodified</status>
      <modifiedWord/>
      <trackRevisions>false</trackRevisions>
    </reviewItem>
    <reviewItem>
      <errorID>5c9ae6bb-42a6-42a2-ae51-31b6123b671a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1BD48087</paraID>
      <start>0</start>
      <end>2</end>
      <status>unmodified</status>
      <modifiedWord/>
      <trackRevisions>false</trackRevisions>
    </reviewItem>
    <reviewItem>
      <errorID>d5842671-f4ba-4902-aefb-c17ffa6f5b58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7E871922</paraID>
      <start>0</start>
      <end>2</end>
      <status>unmodified</status>
      <modifiedWord/>
      <trackRevisions>false</trackRevisions>
    </reviewItem>
    <reviewItem>
      <errorID>b6cffe71-dcda-464c-9d1b-513f83bc95a9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117A20F3</paraID>
      <start>0</start>
      <end>2</end>
      <status>unmodified</status>
      <modifiedWord/>
      <trackRevisions>false</trackRevisions>
    </reviewItem>
    <reviewItem>
      <errorID>be2eb24c-8d57-4012-a257-eb758ed6b1ab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76B67D2B</paraID>
      <start>0</start>
      <end>2</end>
      <status>unmodified</status>
      <modifiedWord/>
      <trackRevisions>false</trackRevisions>
    </reviewItem>
    <reviewItem>
      <errorID>3d79284d-08e9-4a6e-8e1c-71105975f376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3DBD91AE</paraID>
      <start>0</start>
      <end>2</end>
      <status>unmodified</status>
      <modifiedWord/>
      <trackRevisions>false</trackRevisions>
    </reviewItem>
    <reviewItem>
      <errorID>7969df4e-9290-4b62-b8c1-8a301abef8b0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1DB30C53</paraID>
      <start>0</start>
      <end>2</end>
      <status>unmodified</status>
      <modifiedWord/>
      <trackRevisions>false</trackRevisions>
    </reviewItem>
    <reviewItem>
      <errorID>e624872a-ddd3-43f3-9742-08c73ce4cac9</errorID>
      <errorWord>III</errorWord>
      <group>L1_Knowledge</group>
      <groupName>知识性问题</groupName>
      <ability>L2_Knowledge</ability>
      <abilityName>其他知识</abilityName>
      <candidateList>
        <item>Ⅲ</item>
      </candidateList>
      <explain>中文环境下罗马数字格式错误。</explain>
      <paraID>1BBCCC65</paraID>
      <start>16</start>
      <end>19</end>
      <status>unmodified</status>
      <modifiedWord/>
      <trackRevisions>false</trackRevisions>
    </reviewItem>
    <reviewItem>
      <errorID>d8a86793-d781-4b78-9d39-273a20dd6647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6C1A7C5E</paraID>
      <start>0</start>
      <end>2</end>
      <status>unmodified</status>
      <modifiedWord/>
      <trackRevisions>false</trackRevisions>
    </reviewItem>
    <reviewItem>
      <errorID>4ab5fd11-5e49-49bf-aabf-0007c0772876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73ADFE0</paraID>
      <start>0</start>
      <end>2</end>
      <status>unmodified</status>
      <modifiedWord/>
      <trackRevisions>false</trackRevisions>
    </reviewItem>
    <reviewItem>
      <errorID>f12a6108-92c1-4539-949d-f448f96a983c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520F225D</paraID>
      <start>0</start>
      <end>2</end>
      <status>unmodified</status>
      <modifiedWord/>
      <trackRevisions>false</trackRevisions>
    </reviewItem>
    <reviewItem>
      <errorID>84068861-e1db-4992-ad71-99b5598b4a27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4FDDF192</paraID>
      <start>0</start>
      <end>2</end>
      <status>unmodified</status>
      <modifiedWord/>
      <trackRevisions>false</trackRevisions>
    </reviewItem>
    <reviewItem>
      <errorID>015def1d-5629-4ccc-a767-db19c5b74689</errorID>
      <errorWord>:</errorWord>
      <group>L1_Format</group>
      <groupName>格式问题</groupName>
      <ability>L2_HalfPunc_CN</ability>
      <abilityName>全半角问题</abilityName>
      <candidateList>
        <item>：</item>
      </candidateList>
      <explain>文本全半角错误。</explain>
      <paraID>70F79B4E</paraID>
      <start>101</start>
      <end>102</end>
      <status>unmodified</status>
      <modifiedWord/>
      <trackRevisions>false</trackRevisions>
    </reviewItem>
    <reviewItem>
      <errorID>63c3bb99-5eb3-4fda-a6af-d2a849490680</errorID>
      <errorWord>或者为</errorWord>
      <group>L1_Word</group>
      <groupName>字词问题</groupName>
      <ability>L2_Typo</ability>
      <abilityName>字词错误</abilityName>
      <candidateList>
        <item>或者</item>
      </candidateList>
      <explain>❶〈副〉或许：你快走，～还赶得上车。❷〈连〉用在叙述句里，表示选择关系：这本书～你先看，～我先看。❸〈连〉表示等同关系：世界观～宇宙观是人们对整个世界的总的看法。</explain>
      <paraID>1273667B</paraID>
      <start>227</start>
      <end>230</end>
      <status>unmodified</status>
      <modifiedWord/>
      <trackRevisions>false</trackRevisions>
    </reviewItem>
    <reviewItem>
      <errorID>5e16ff8a-e2ee-4fe7-a67d-6433e0124fac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141B77B7</paraID>
      <start>0</start>
      <end>2</end>
      <status>unmodified</status>
      <modifiedWord/>
      <trackRevisions>false</trackRevisions>
    </reviewItem>
    <reviewItem>
      <errorID>e880ac90-a9de-4b16-b557-e6b2b113e715</errorID>
      <errorWord>"</errorWord>
      <group>L1_Format</group>
      <groupName>格式问题</groupName>
      <ability>L2_HalfPunc_CN</ability>
      <abilityName>全半角问题</abilityName>
      <candidateList>
        <item>“</item>
      </candidateList>
      <explain>文本全半角错误。</explain>
      <paraID> F2DBA5C</paraID>
      <start>5</start>
      <end>6</end>
      <status>unmodified</status>
      <modifiedWord/>
      <trackRevisions>false</trackRevisions>
    </reviewItem>
    <reviewItem>
      <errorID>4753fd47-8e6e-4c70-9ecf-8b73ffff5fd3</errorID>
      <errorWord>"</errorWord>
      <group>L1_Format</group>
      <groupName>格式问题</groupName>
      <ability>L2_HalfPunc_CN</ability>
      <abilityName>全半角问题</abilityName>
      <candidateList>
        <item>”</item>
      </candidateList>
      <explain>文本全半角错误。</explain>
      <paraID> F2DBA5C</paraID>
      <start>8</start>
      <end>9</end>
      <status>unmodified</status>
      <modifiedWord/>
      <trackRevisions>false</trackRevisions>
    </reviewItem>
    <reviewItem>
      <errorID>54fd53c2-97c8-4592-8fd9-946c39033965</errorID>
      <errorWord>"</errorWord>
      <group>L1_Format</group>
      <groupName>格式问题</groupName>
      <ability>L2_HalfPunc_CN</ability>
      <abilityName>全半角问题</abilityName>
      <candidateList>
        <item>“</item>
      </candidateList>
      <explain>文本全半角错误。</explain>
      <paraID>4D92C705</paraID>
      <start>132</start>
      <end>133</end>
      <status>unmodified</status>
      <modifiedWord/>
      <trackRevisions>false</trackRevisions>
    </reviewItem>
    <reviewItem>
      <errorID>099863d6-a716-44f6-9af8-1738fcf13b2f</errorID>
      <errorWord>"</errorWord>
      <group>L1_Format</group>
      <groupName>格式问题</groupName>
      <ability>L2_HalfPunc_CN</ability>
      <abilityName>全半角问题</abilityName>
      <candidateList>
        <item>”</item>
      </candidateList>
      <explain>文本全半角错误。</explain>
      <paraID>4D92C705</paraID>
      <start>135</start>
      <end>136</end>
      <status>unmodified</status>
      <modifiedWord/>
      <trackRevisions>false</trackRevisions>
    </reviewItem>
    <reviewItem>
      <errorID>999f176b-1475-4839-bce2-1772b4b660fd</errorID>
      <errorWord>噪音</errorWord>
      <group>L1_Word</group>
      <groupName>字词问题</groupName>
      <ability>L2_Alias</ability>
      <abilityName>也作/曾用词</abilityName>
      <candidateList>
        <item>噪声</item>
      </candidateList>
      <explain>词汇[噪音]为不规范表述或旧称，其规范书面表述为[噪声]。</explain>
      <paraID>11E61D5F</paraID>
      <start>88</start>
      <end>90</end>
      <status>unmodified</status>
      <modifiedWord/>
      <trackRevisions>false</trackRevisions>
    </reviewItem>
    <reviewItem>
      <errorID>6cce8ab7-5bca-4340-92c8-72be99cab186</errorID>
      <errorWord>"</errorWord>
      <group>L1_Format</group>
      <groupName>格式问题</groupName>
      <ability>L2_HalfPunc_CN</ability>
      <abilityName>全半角问题</abilityName>
      <candidateList>
        <item>“</item>
      </candidateList>
      <explain>文本全半角错误。</explain>
      <paraID>4DF90BD8</paraID>
      <start>105</start>
      <end>106</end>
      <status>unmodified</status>
      <modifiedWord/>
      <trackRevisions>false</trackRevisions>
    </reviewItem>
    <reviewItem>
      <errorID>132f9bc0-14af-4f8e-a7fb-44e90e12efe1</errorID>
      <errorWord>"</errorWord>
      <group>L1_Format</group>
      <groupName>格式问题</groupName>
      <ability>L2_HalfPunc_CN</ability>
      <abilityName>全半角问题</abilityName>
      <candidateList>
        <item>”</item>
      </candidateList>
      <explain>文本全半角错误。</explain>
      <paraID>4DF90BD8</paraID>
      <start>111</start>
      <end>112</end>
      <status>unmodified</status>
      <modifiedWord/>
      <trackRevisions>false</trackRevisions>
    </reviewItem>
    <reviewItem>
      <errorID>41b6736c-483b-43b3-bff3-68a9cb1b6d05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3B373157</paraID>
      <start>0</start>
      <end>2</end>
      <status>unmodified</status>
      <modifiedWord/>
      <trackRevisions>false</trackRevisions>
    </reviewItem>
    <reviewItem>
      <errorID>ad13925d-6202-4b8c-ad95-33f054c1112b</errorID>
      <errorWord>:</errorWord>
      <group>L1_Format</group>
      <groupName>格式问题</groupName>
      <ability>L2_HalfPunc_CN</ability>
      <abilityName>全半角问题</abilityName>
      <candidateList>
        <item>：</item>
      </candidateList>
      <explain>文本全半角错误。</explain>
      <paraID>1AED4235</paraID>
      <start>107</start>
      <end>108</end>
      <status>unmodified</status>
      <modifiedWord/>
      <trackRevisions>false</trackRevisions>
    </reviewItem>
    <reviewItem>
      <errorID>1a6dff44-72c8-41b5-be6b-3e91ff2ae980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60C67FD8</paraID>
      <start>0</start>
      <end>2</end>
      <status>unmodified</status>
      <modifiedWord/>
      <trackRevisions>false</trackRevisions>
    </reviewItem>
    <reviewItem>
      <errorID>cc590fa3-408c-4e55-9f60-3b1a8f057acd</errorID>
      <errorWord>区与</errorWord>
      <group>L1_Word</group>
      <groupName>字词问题</groupName>
      <ability>L2_Typo</ability>
      <abilityName>字词错误</abilityName>
      <candidateList>
        <item>区域</item>
      </candidateList>
      <explain/>
      <paraID>57541600</paraID>
      <start>43</start>
      <end>45</end>
      <status>unmodified</status>
      <modifiedWord/>
      <trackRevisions>false</trackRevisions>
    </reviewItem>
    <reviewItem>
      <errorID>a0e7d830-b078-43a1-929d-32013988d41b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9B7F160</paraID>
      <start>0</start>
      <end>2</end>
      <status>unmodified</status>
      <modifiedWord/>
      <trackRevisions>false</trackRevisions>
    </reviewItem>
    <reviewItem>
      <errorID>077a0247-523a-478c-a1f2-a3940cc59100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1476C902</paraID>
      <start>0</start>
      <end>2</end>
      <status>unmodified</status>
      <modifiedWord/>
      <trackRevisions>false</trackRevisions>
    </reviewItem>
    <reviewItem>
      <errorID>113c2d86-41e3-44b4-b6cb-bea4f4b49609</errorID>
      <errorWord>拌和</errorWord>
      <group>L1_Word</group>
      <groupName>字词问题</groupName>
      <ability>L2_Typo</ability>
      <abilityName>字词错误</abilityName>
      <candidateList>
        <item>拌合</item>
      </candidateList>
      <explain/>
      <paraID>74EFFA98</paraID>
      <start>268</start>
      <end>270</end>
      <status>unmodified</status>
      <modifiedWord/>
      <trackRevisions>false</trackRevisions>
    </reviewItem>
    <reviewItem>
      <errorID>6eeb8936-9796-4aed-aa76-59f888730623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512A08F6</paraID>
      <start>0</start>
      <end>2</end>
      <status>unmodified</status>
      <modifiedWord/>
      <trackRevisions>false</trackRevisions>
    </reviewItem>
    <reviewItem>
      <errorID>0a25c604-7faf-4301-b38d-b77267c779cd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74342BA2</paraID>
      <start>0</start>
      <end>2</end>
      <status>unmodified</status>
      <modifiedWord/>
      <trackRevisions>false</trackRevisions>
    </reviewItem>
    <reviewItem>
      <errorID>27e16e61-bce9-479b-b4b4-11f386391fb3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7F440C30</paraID>
      <start>0</start>
      <end>2</end>
      <status>unmodified</status>
      <modifiedWord/>
      <trackRevisions>false</trackRevisions>
    </reviewItem>
    <reviewItem>
      <errorID>83a50238-fa16-44f5-b335-cc5bcf313c31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DDDD4D1</paraID>
      <start>0</start>
      <end>2</end>
      <status>unmodified</status>
      <modifiedWord/>
      <trackRevisions>false</trackRevisions>
    </reviewItem>
    <reviewItem>
      <errorID>4516fab9-a567-43e5-93dd-4504632a0a6e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32EAD6B8</paraID>
      <start>0</start>
      <end>2</end>
      <status>unmodified</status>
      <modifiedWord/>
      <trackRevisions>false</trackRevisions>
    </reviewItem>
    <reviewItem>
      <errorID>30322b6d-071e-4e28-92d1-39408449bf8c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10440D64</paraID>
      <start>0</start>
      <end>2</end>
      <status>unmodified</status>
      <modifiedWord/>
      <trackRevisions>false</trackRevisions>
    </reviewItem>
    <reviewItem>
      <errorID>996588c4-7680-4af5-828f-7185c91f6f80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69493645</paraID>
      <start>0</start>
      <end>2</end>
      <status>unmodified</status>
      <modifiedWord/>
      <trackRevisions>false</trackRevisions>
    </reviewItem>
    <reviewItem>
      <errorID>569860a8-0833-47b1-b170-a0e6af727fb6</errorID>
      <errorWord>:</errorWord>
      <group>L1_Format</group>
      <groupName>格式问题</groupName>
      <ability>L2_HalfPunc_CN</ability>
      <abilityName>全半角问题</abilityName>
      <candidateList>
        <item>：</item>
      </candidateList>
      <explain>文本全半角错误。</explain>
      <paraID>4B2C6707</paraID>
      <start>31</start>
      <end>32</end>
      <status>unmodified</status>
      <modifiedWord/>
      <trackRevisions>false</trackRevisions>
    </reviewItem>
    <reviewItem>
      <errorID>4589cfee-206e-444a-9d82-930031d2aeab</errorID>
      <errorWord>:</errorWord>
      <group>L1_Format</group>
      <groupName>格式问题</groupName>
      <ability>L2_HalfPunc_CN</ability>
      <abilityName>全半角问题</abilityName>
      <candidateList>
        <item>：</item>
      </candidateList>
      <explain>文本全半角错误。</explain>
      <paraID>4B2C6707</paraID>
      <start>50</start>
      <end>51</end>
      <status>unmodified</status>
      <modifiedWord/>
      <trackRevisions>false</trackRevisions>
    </reviewItem>
    <reviewItem>
      <errorID>6f98d15e-0d76-4afe-aefe-bcddf26d5fa0</errorID>
      <errorWord>污气</errorWord>
      <group>L1_Word</group>
      <groupName>字词问题</groupName>
      <ability>L2_Typo</ability>
      <abilityName>字词错误</abilityName>
      <candidateList>
        <item>废气</item>
      </candidateList>
      <explain/>
      <paraID>4B2C6707</paraID>
      <start>191</start>
      <end>193</end>
      <status>unmodified</status>
      <modifiedWord/>
      <trackRevisions>false</trackRevisions>
    </reviewItem>
    <reviewItem>
      <errorID>da0759d1-8fdf-45ea-8e76-51ea623814fe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30B71734</paraID>
      <start>0</start>
      <end>2</end>
      <status>unmodified</status>
      <modifiedWord/>
      <trackRevisions>false</trackRevisions>
    </reviewItem>
    <reviewItem>
      <errorID>fb6ac16b-3636-49fe-bfba-7157233e3d5c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2792FB31</paraID>
      <start>0</start>
      <end>2</end>
      <status>unmodified</status>
      <modifiedWord/>
      <trackRevisions>false</trackRevisions>
    </reviewItem>
    <reviewItem>
      <errorID>0d2fabc9-e6eb-47bc-8d2c-3504e9aa0e70</errorID>
      <errorWord>:</errorWord>
      <group>L1_Format</group>
      <groupName>格式问题</groupName>
      <ability>L2_HalfPunc_CN</ability>
      <abilityName>全半角问题</abilityName>
      <candidateList>
        <item>：</item>
      </candidateList>
      <explain>文本全半角错误。</explain>
      <paraID> CF34F7E</paraID>
      <start>61</start>
      <end>62</end>
      <status>unmodified</status>
      <modifiedWord/>
      <trackRevisions>false</trackRevisions>
    </reviewItem>
    <reviewItem>
      <errorID>eb870cb8-ad32-4755-b6d5-2254afa0914d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F8301E0</paraID>
      <start>0</start>
      <end>2</end>
      <status>unmodified</status>
      <modifiedWord/>
      <trackRevisions>false</trackRevisions>
    </reviewItem>
    <reviewItem>
      <errorID>88fc3673-f80d-4a4a-94c0-5e2f5ca7f4dd</errorID>
      <errorWord>:</errorWord>
      <group>L1_Format</group>
      <groupName>格式问题</groupName>
      <ability>L2_HalfPunc_CN</ability>
      <abilityName>全半角问题</abilityName>
      <candidateList>
        <item>：</item>
      </candidateList>
      <explain>文本全半角错误。</explain>
      <paraID>2A58071B</paraID>
      <start>20</start>
      <end>21</end>
      <status>unmodified</status>
      <modifiedWord/>
      <trackRevisions>false</trackRevisions>
    </reviewItem>
    <reviewItem>
      <errorID>38a8cee0-99fd-43e9-8082-7a15d8b923ca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2EAE26BC</paraID>
      <start>0</start>
      <end>2</end>
      <status>unmodified</status>
      <modifiedWord/>
      <trackRevisions>false</trackRevisions>
    </reviewItem>
    <reviewItem>
      <errorID>19ddf885-00c0-4781-b1f4-0d263971f4ee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9749C68</paraID>
      <start>0</start>
      <end>2</end>
      <status>unmodified</status>
      <modifiedWord/>
      <trackRevisions>false</trackRevisions>
    </reviewItem>
    <reviewItem>
      <errorID>0565f8b3-481a-40b9-a842-d74d9fdc5186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462ADBDA</paraID>
      <start>0</start>
      <end>2</end>
      <status>unmodified</status>
      <modifiedWord/>
      <trackRevisions>false</trackRevisions>
    </reviewItem>
    <reviewItem>
      <errorID>b9bb69bb-4904-479c-be45-743b92cae605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7BAB0075</paraID>
      <start>0</start>
      <end>2</end>
      <status>unmodified</status>
      <modifiedWord/>
      <trackRevisions>false</trackRevisions>
    </reviewItem>
    <reviewItem>
      <errorID>907bc3d0-9905-45a2-8c55-88ba7d1822e1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6DD74C90</paraID>
      <start>0</start>
      <end>2</end>
      <status>unmodified</status>
      <modifiedWord/>
      <trackRevisions>false</trackRevisions>
    </reviewItem>
    <reviewItem>
      <errorID>21fb783f-1187-4e66-a1b4-6f2d0af236d8</errorID>
      <errorWord>:</errorWord>
      <group>L1_Format</group>
      <groupName>格式问题</groupName>
      <ability>L2_HalfPunc_CN</ability>
      <abilityName>全半角问题</abilityName>
      <candidateList>
        <item>：</item>
      </candidateList>
      <explain>文本全半角错误。</explain>
      <paraID> 522F7AF</paraID>
      <start>119</start>
      <end>120</end>
      <status>unmodified</status>
      <modifiedWord/>
      <trackRevisions>false</trackRevisions>
    </reviewItem>
    <reviewItem>
      <errorID>867189e1-0c50-45d9-9e20-831e75c9632c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161E07AB</paraID>
      <start>0</start>
      <end>2</end>
      <status>unmodified</status>
      <modifiedWord/>
      <trackRevisions>false</trackRevisions>
    </reviewItem>
    <reviewItem>
      <errorID>0c0f3300-d6f8-48a6-8d55-c4eba8795d08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57033179</paraID>
      <start>0</start>
      <end>2</end>
      <status>unmodified</status>
      <modifiedWord/>
      <trackRevisions>false</trackRevisions>
    </reviewItem>
    <reviewItem>
      <errorID>c29710eb-03bc-43f8-8172-98069b21d4e3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7F9375B0</paraID>
      <start>0</start>
      <end>2</end>
      <status>unmodified</status>
      <modifiedWord/>
      <trackRevisions>false</trackRevisions>
    </reviewItem>
    <reviewItem>
      <errorID>a6f4d7cc-cca6-46d1-827b-e0102fe19e6a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6C1E31DD</paraID>
      <start>0</start>
      <end>2</end>
      <status>unmodified</status>
      <modifiedWord/>
      <trackRevisions>false</trackRevisions>
    </reviewItem>
    <reviewItem>
      <errorID>241f195e-783a-4016-9206-f3dab640c0f8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51B7AFF2</paraID>
      <start>0</start>
      <end>2</end>
      <status>unmodified</status>
      <modifiedWord/>
      <trackRevisions>false</trackRevisions>
    </reviewItem>
    <reviewItem>
      <errorID>b0cd9abd-2b6c-4c1f-8ef7-eb27da86ec38</errorID>
      <errorWord>"</errorWord>
      <group>L1_Format</group>
      <groupName>格式问题</groupName>
      <ability>L2_HalfPunc_CN</ability>
      <abilityName>全半角问题</abilityName>
      <candidateList>
        <item>“</item>
      </candidateList>
      <explain>文本全半角错误。</explain>
      <paraID>2B2D70BF</paraID>
      <start>40</start>
      <end>41</end>
      <status>unmodified</status>
      <modifiedWord/>
      <trackRevisions>false</trackRevisions>
    </reviewItem>
    <reviewItem>
      <errorID>1ec60230-7d3b-43d7-91d7-0809f84bbb06</errorID>
      <errorWord>"</errorWord>
      <group>L1_Format</group>
      <groupName>格式问题</groupName>
      <ability>L2_HalfPunc_CN</ability>
      <abilityName>全半角问题</abilityName>
      <candidateList>
        <item>”</item>
      </candidateList>
      <explain>文本全半角错误。</explain>
      <paraID>2B2D70BF</paraID>
      <start>54</start>
      <end>55</end>
      <status>unmodified</status>
      <modifiedWord/>
      <trackRevisions>false</trackRevisions>
    </reviewItem>
    <reviewItem>
      <errorID>23bee07d-9b56-4795-9444-5757cf12fd6b</errorID>
      <errorWord>III类</errorWord>
      <group>L1_Knowledge</group>
      <groupName>知识性问题</groupName>
      <ability>L2_Knowledge</ability>
      <abilityName>其他知识</abilityName>
      <candidateList>
        <item>Ⅲ类</item>
      </candidateList>
      <explain>中文环境下罗马数字格式错误。</explain>
      <paraID> 900E101</paraID>
      <start>80</start>
      <end>84</end>
      <status>unmodified</status>
      <modifiedWord/>
      <trackRevisions>false</trackRevisions>
    </reviewItem>
    <reviewItem>
      <errorID>d1ed3d34-86b8-490b-abb1-b7034148b524</errorID>
      <errorWord>"</errorWord>
      <group>L1_Format</group>
      <groupName>格式问题</groupName>
      <ability>L2_HalfPunc_CN</ability>
      <abilityName>全半角问题</abilityName>
      <candidateList>
        <item>“</item>
      </candidateList>
      <explain>文本全半角错误。</explain>
      <paraID> 900E101</paraID>
      <start>166</start>
      <end>167</end>
      <status>unmodified</status>
      <modifiedWord/>
      <trackRevisions>false</trackRevisions>
    </reviewItem>
    <reviewItem>
      <errorID>d8777fd6-5ede-4420-87cc-a820cad9283a</errorID>
      <errorWord>"</errorWord>
      <group>L1_Format</group>
      <groupName>格式问题</groupName>
      <ability>L2_HalfPunc_CN</ability>
      <abilityName>全半角问题</abilityName>
      <candidateList>
        <item>”</item>
      </candidateList>
      <explain>文本全半角错误。</explain>
      <paraID> 900E101</paraID>
      <start>178</start>
      <end>179</end>
      <status>unmodified</status>
      <modifiedWord/>
      <trackRevisions>false</trackRevisions>
    </reviewItem>
    <reviewItem>
      <errorID>70e75953-88a3-49c4-a0fd-03b5264c2872</errorID>
      <errorWord>"</errorWord>
      <group>L1_Format</group>
      <groupName>格式问题</groupName>
      <ability>L2_HalfPunc_CN</ability>
      <abilityName>全半角问题</abilityName>
      <candidateList>
        <item>“</item>
      </candidateList>
      <explain>文本全半角错误。</explain>
      <paraID> 900E101</paraID>
      <start>185</start>
      <end>186</end>
      <status>unmodified</status>
      <modifiedWord/>
      <trackRevisions>false</trackRevisions>
    </reviewItem>
    <reviewItem>
      <errorID>c63c27b2-e10b-4aaa-97cf-84675ad866b5</errorID>
      <errorWord>"</errorWord>
      <group>L1_Format</group>
      <groupName>格式问题</groupName>
      <ability>L2_HalfPunc_CN</ability>
      <abilityName>全半角问题</abilityName>
      <candidateList>
        <item>”</item>
      </candidateList>
      <explain>文本全半角错误。</explain>
      <paraID> 900E101</paraID>
      <start>199</start>
      <end>200</end>
      <status>unmodified</status>
      <modifiedWord/>
      <trackRevisions>false</trackRevisions>
    </reviewItem>
    <reviewItem>
      <errorID>ec87d74e-2689-4bbc-bf4e-55f4161b778f</errorID>
      <errorWord>"</errorWord>
      <group>L1_Format</group>
      <groupName>格式问题</groupName>
      <ability>L2_HalfPunc_CN</ability>
      <abilityName>全半角问题</abilityName>
      <candidateList>
        <item>“</item>
      </candidateList>
      <explain>文本全半角错误。</explain>
      <paraID>31984348</paraID>
      <start>115</start>
      <end>116</end>
      <status>unmodified</status>
      <modifiedWord/>
      <trackRevisions>false</trackRevisions>
    </reviewItem>
    <reviewItem>
      <errorID>7c3a5abb-f257-4126-ab0b-4353645a07e5</errorID>
      <errorWord>"</errorWord>
      <group>L1_Format</group>
      <groupName>格式问题</groupName>
      <ability>L2_HalfPunc_CN</ability>
      <abilityName>全半角问题</abilityName>
      <candidateList>
        <item>”</item>
      </candidateList>
      <explain>文本全半角错误。</explain>
      <paraID>31984348</paraID>
      <start>119</start>
      <end>120</end>
      <status>unmodified</status>
      <modifiedWord/>
      <trackRevisions>false</trackRevisions>
    </reviewItem>
    <reviewItem>
      <errorID>ac132890-db70-4fce-ba5b-d818575788db</errorID>
      <errorWord>"</errorWord>
      <group>L1_Format</group>
      <groupName>格式问题</groupName>
      <ability>L2_HalfPunc_CN</ability>
      <abilityName>全半角问题</abilityName>
      <candidateList>
        <item>“</item>
      </candidateList>
      <explain>文本全半角错误。</explain>
      <paraID>31984348</paraID>
      <start>137</start>
      <end>138</end>
      <status>unmodified</status>
      <modifiedWord/>
      <trackRevisions>false</trackRevisions>
    </reviewItem>
    <reviewItem>
      <errorID>cdcd81c6-692c-4b4e-a94c-9b6c24cb6724</errorID>
      <errorWord>"</errorWord>
      <group>L1_Format</group>
      <groupName>格式问题</groupName>
      <ability>L2_HalfPunc_CN</ability>
      <abilityName>全半角问题</abilityName>
      <candidateList>
        <item>”</item>
      </candidateList>
      <explain>文本全半角错误。</explain>
      <paraID>31984348</paraID>
      <start>139</start>
      <end>140</end>
      <status>unmodified</status>
      <modifiedWord/>
      <trackRevisions>false</trackRevisions>
    </reviewItem>
    <reviewItem>
      <errorID>637707d3-53a0-47f3-9d95-27a282bf6849</errorID>
      <errorWord>:</errorWord>
      <group>L1_Format</group>
      <groupName>格式问题</groupName>
      <ability>L2_HalfPunc_CN</ability>
      <abilityName>全半角问题</abilityName>
      <candidateList>
        <item>：</item>
      </candidateList>
      <explain>文本全半角错误。</explain>
      <paraID>12990A08</paraID>
      <start>85</start>
      <end>86</end>
      <status>unmodified</status>
      <modifiedWord/>
      <trackRevisions>false</trackRevisions>
    </reviewItem>
    <reviewItem>
      <errorID>79463117-d191-4610-bec6-2b0bf0a3bc52</errorID>
      <errorWord>:</errorWord>
      <group>L1_Format</group>
      <groupName>格式问题</groupName>
      <ability>L2_HalfPunc_CN</ability>
      <abilityName>全半角问题</abilityName>
      <candidateList>
        <item>：</item>
      </candidateList>
      <explain>文本全半角错误。</explain>
      <paraID>4B394BD8</paraID>
      <start>4</start>
      <end>5</end>
      <status>unmodified</status>
      <modifiedWord/>
      <trackRevisions>false</trackRevisions>
    </reviewItem>
    <reviewItem>
      <errorID>a9a3ae34-82e1-4fa1-bfb0-d7c6d1ced674</errorID>
      <errorWord>:</errorWord>
      <group>L1_Format</group>
      <groupName>格式问题</groupName>
      <ability>L2_HalfPunc_CN</ability>
      <abilityName>全半角问题</abilityName>
      <candidateList>
        <item>：</item>
      </candidateList>
      <explain>文本全半角错误。</explain>
      <paraID> 5E38654</paraID>
      <start>5</start>
      <end>6</end>
      <status>unmodified</status>
      <modifiedWord/>
      <trackRevisions>false</trackRevisions>
    </reviewItem>
    <reviewItem>
      <errorID>e9a48290-7325-47c3-bc0b-0c70f6730e0a</errorID>
      <errorWord>:</errorWord>
      <group>L1_Format</group>
      <groupName>格式问题</groupName>
      <ability>L2_HalfPunc_CN</ability>
      <abilityName>全半角问题</abilityName>
      <candidateList>
        <item>：</item>
      </candidateList>
      <explain>文本全半角错误。</explain>
      <paraID> 68284C5</paraID>
      <start>4</start>
      <end>5</end>
      <status>unmodified</status>
      <modifiedWord/>
      <trackRevisions>false</trackRevisions>
    </reviewItem>
    <reviewItem>
      <errorID>ae039069-7b4a-46a3-be54-8b25c425a9b7</errorID>
      <errorWord>:</errorWord>
      <group>L1_Format</group>
      <groupName>格式问题</groupName>
      <ability>L2_HalfPunc_CN</ability>
      <abilityName>全半角问题</abilityName>
      <candidateList>
        <item>：</item>
      </candidateList>
      <explain>文本全半角错误。</explain>
      <paraID>15CFCB0C</paraID>
      <start>6</start>
      <end>7</end>
      <status>unmodified</status>
      <modifiedWord/>
      <trackRevisions>false</trackRevisions>
    </reviewItem>
    <reviewItem>
      <errorID>06823d00-62a3-4f1f-ad60-6c3304089e8b</errorID>
      <errorWord>:</errorWord>
      <group>L1_Format</group>
      <groupName>格式问题</groupName>
      <ability>L2_HalfPunc_CN</ability>
      <abilityName>全半角问题</abilityName>
      <candidateList>
        <item>：</item>
      </candidateList>
      <explain>文本全半角错误。</explain>
      <paraID>57F3FEE3</paraID>
      <start>6</start>
      <end>7</end>
      <status>unmodified</status>
      <modifiedWord/>
      <trackRevisions>false</trackRevisions>
    </reviewItem>
    <reviewItem>
      <errorID>9b92d202-4646-4bed-bd23-3abf9b44fa70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481B79CB</paraID>
      <start>0</start>
      <end>2</end>
      <status>unmodified</status>
      <modifiedWord/>
      <trackRevisions>false</trackRevisions>
    </reviewItem>
    <reviewItem>
      <errorID>4e8e0bfd-ec97-4ad1-bd05-9c91e061838f</errorID>
      <errorWord>将</errorWord>
      <group>L1_Word</group>
      <groupName>字词问题</groupName>
      <ability>L2_Typo</ability>
      <abilityName>字词错误</abilityName>
      <candidateList>
        <item>将对</item>
      </candidateList>
      <explain/>
      <paraID>362F9E14</paraID>
      <start>182</start>
      <end>183</end>
      <status>unmodified</status>
      <modifiedWord/>
      <trackRevisions>false</trackRevisions>
    </reviewItem>
    <reviewItem>
      <errorID>a8318391-2b48-4f05-8931-2aa40a51e445</errorID>
      <errorWord>"</errorWord>
      <group>L1_Format</group>
      <groupName>格式问题</groupName>
      <ability>L2_HalfPunc_CN</ability>
      <abilityName>全半角问题</abilityName>
      <candidateList>
        <item>“</item>
      </candidateList>
      <explain>文本全半角错误。</explain>
      <paraID>3966E5E7</paraID>
      <start>61</start>
      <end>62</end>
      <status>unmodified</status>
      <modifiedWord/>
      <trackRevisions>false</trackRevisions>
    </reviewItem>
    <reviewItem>
      <errorID>070101b1-711a-4d07-ba35-28a775358b74</errorID>
      <errorWord>"</errorWord>
      <group>L1_Format</group>
      <groupName>格式问题</groupName>
      <ability>L2_HalfPunc_CN</ability>
      <abilityName>全半角问题</abilityName>
      <candidateList>
        <item>”</item>
      </candidateList>
      <explain>文本全半角错误。</explain>
      <paraID>3966E5E7</paraID>
      <start>141</start>
      <end>142</end>
      <status>unmodified</status>
      <modifiedWord/>
      <trackRevisions>false</trackRevisions>
    </reviewItem>
    <reviewItem>
      <errorID>c69129ac-1233-483f-a800-af360bced5cc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4827F85C</paraID>
      <start>0</start>
      <end>2</end>
      <status>unmodified</status>
      <modifiedWord/>
      <trackRevisions>false</trackRevisions>
    </reviewItem>
    <reviewItem>
      <errorID>e18876e2-9ad5-40cf-815b-bb403f9909fc</errorID>
      <errorWord>:</errorWord>
      <group>L1_Format</group>
      <groupName>格式问题</groupName>
      <ability>L2_HalfPunc_CN</ability>
      <abilityName>全半角问题</abilityName>
      <candidateList>
        <item>：</item>
      </candidateList>
      <explain>文本全半角错误。</explain>
      <paraID>2A7CA07D</paraID>
      <start>3</start>
      <end>4</end>
      <status>unmodified</status>
      <modifiedWord/>
      <trackRevisions>false</trackRevisions>
    </reviewItem>
    <reviewItem>
      <errorID>2892a991-df78-4f88-b23c-bb30e2fd56cd</errorID>
      <errorWord>:</errorWord>
      <group>L1_Format</group>
      <groupName>格式问题</groupName>
      <ability>L2_HalfPunc_CN</ability>
      <abilityName>全半角问题</abilityName>
      <candidateList>
        <item>：</item>
      </candidateList>
      <explain>文本全半角错误。</explain>
      <paraID>5C45373E</paraID>
      <start>3</start>
      <end>4</end>
      <status>unmodified</status>
      <modifiedWord/>
      <trackRevisions>false</trackRevisions>
    </reviewItem>
    <reviewItem>
      <errorID>03369d53-24d3-4f60-84af-85fdf4cea49c</errorID>
      <errorWord>:</errorWord>
      <group>L1_Format</group>
      <groupName>格式问题</groupName>
      <ability>L2_HalfPunc_CN</ability>
      <abilityName>全半角问题</abilityName>
      <candidateList>
        <item>：</item>
      </candidateList>
      <explain>文本全半角错误。</explain>
      <paraID>5B635DC0</paraID>
      <start>3</start>
      <end>4</end>
      <status>unmodified</status>
      <modifiedWord/>
      <trackRevisions>false</trackRevisions>
    </reviewItem>
    <reviewItem>
      <errorID>9383ff39-284e-4a7f-8495-a120375bdc3d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594F8DE3</paraID>
      <start>0</start>
      <end>2</end>
      <status>unmodified</status>
      <modifiedWord/>
      <trackRevisions>false</trackRevisions>
    </reviewItem>
    <reviewItem>
      <errorID>57ff25dc-3fbd-4825-bf7c-de52dfa047c4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366949C5</paraID>
      <start>0</start>
      <end>2</end>
      <status>unmodified</status>
      <modifiedWord/>
      <trackRevisions>false</trackRevisions>
    </reviewItem>
    <reviewItem>
      <errorID>94aefef8-74f6-4601-b636-97c5c8458627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6AC7592D</paraID>
      <start>0</start>
      <end>2</end>
      <status>unmodified</status>
      <modifiedWord/>
      <trackRevisions>false</trackRevisions>
    </reviewItem>
    <reviewItem>
      <errorID>8eba1d2d-a602-464d-98ff-a2ed1d39d43a</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290DA382</paraID>
      <start>60</start>
      <end>63</end>
      <status>unmodified</status>
      <modifiedWord/>
      <trackRevisions>false</trackRevisions>
    </reviewItem>
    <reviewItem>
      <errorID>8937848c-640d-4bf6-86cb-25ce632fed42</errorID>
      <errorWord>》、《</errorWord>
      <group>L1_Punc</group>
      <groupName>标点问题</groupName>
      <ability>L2_Punc_CN</ability>
      <abilityName>标点符号问题</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290DA382</paraID>
      <start>77</start>
      <end>80</end>
      <status>unmodified</status>
      <modifiedWord/>
      <trackRevisions>false</trackRevisions>
    </reviewItem>
    <reviewItem>
      <errorID>5cd75120-0e12-4226-8019-df0518c673cb</errorID>
      <errorWord>"</errorWord>
      <group>L1_Format</group>
      <groupName>格式问题</groupName>
      <ability>L2_HalfPunc_CN</ability>
      <abilityName>全半角问题</abilityName>
      <candidateList>
        <item>“</item>
      </candidateList>
      <explain>文本全半角错误。</explain>
      <paraID>46FFE851</paraID>
      <start>18</start>
      <end>19</end>
      <status>unmodified</status>
      <modifiedWord/>
      <trackRevisions>false</trackRevisions>
    </reviewItem>
    <reviewItem>
      <errorID>16770604-764c-440f-8eca-3d87fee1a008</errorID>
      <errorWord>森林防火条例</errorWord>
      <group>L1_Knowledge</group>
      <groupName>知识性问题</groupName>
      <ability>L2_Knowledge</ability>
      <abilityName>其他知识</abilityName>
      <candidateList/>
      <explain>该法规已废止，请注意检查引用是否正确。</explain>
      <paraID>6AC9481C</paraID>
      <start>39</start>
      <end>45</end>
      <status>unmodified</status>
      <modifiedWord/>
      <trackRevisions>false</trackRevisions>
    </reviewItem>
    <reviewItem>
      <errorID>32b5e916-8475-4910-bcd3-a6cddd6b4246</errorID>
      <errorWord>法律、法规</errorWord>
      <group>L1_Word</group>
      <groupName>字词问题</groupName>
      <ability>L2_Typo</ability>
      <abilityName>字词错误</abilityName>
      <candidateList>
        <item>法律法规</item>
      </candidateList>
      <explain/>
      <paraID> 5358E75</paraID>
      <start>27</start>
      <end>32</end>
      <status>unmodified</status>
      <modifiedWord/>
      <trackRevisions>false</trackRevisions>
    </reviewItem>
    <reviewItem>
      <errorID>28a76daf-6d57-4e92-b079-fcb877f996d6</errorID>
      <errorWord>:</errorWord>
      <group>L1_Format</group>
      <groupName>格式问题</groupName>
      <ability>L2_HalfPunc_CN</ability>
      <abilityName>全半角问题</abilityName>
      <candidateList>
        <item>：</item>
      </candidateList>
      <explain>文本全半角错误。</explain>
      <paraID> 6B05E03</paraID>
      <start>2</start>
      <end>3</end>
      <status>unmodified</status>
      <modifiedWord/>
      <trackRevisions>false</trackRevisions>
    </reviewItem>
    <reviewItem>
      <errorID>301e6b7e-2656-47ec-ad62-84396c463a97</errorID>
      <errorWord>:</errorWord>
      <group>L1_Format</group>
      <groupName>格式问题</groupName>
      <ability>L2_HalfPunc_CN</ability>
      <abilityName>全半角问题</abilityName>
      <candidateList>
        <item>：</item>
      </candidateList>
      <explain>文本全半角错误。</explain>
      <paraID>7C134D0D</paraID>
      <start>2</start>
      <end>3</end>
      <status>unmodified</status>
      <modifiedWord/>
      <trackRevisions>false</trackRevisions>
    </reviewItem>
    <reviewItem>
      <errorID>d6ec894c-9ad9-45ad-b346-167a70e10678</errorID>
      <errorWord>:</errorWord>
      <group>L1_Format</group>
      <groupName>格式问题</groupName>
      <ability>L2_HalfPunc_CN</ability>
      <abilityName>全半角问题</abilityName>
      <candidateList>
        <item>：</item>
      </candidateList>
      <explain>文本全半角错误。</explain>
      <paraID>64CF2DD2</paraID>
      <start>2</start>
      <end>3</end>
      <status>unmodified</status>
      <modifiedWord/>
      <trackRevisions>false</trackRevisions>
    </reviewItem>
    <reviewItem>
      <errorID>06ae9917-f2e9-4878-9ed2-8ed58240761a</errorID>
      <errorWord>:</errorWord>
      <group>L1_Format</group>
      <groupName>格式问题</groupName>
      <ability>L2_HalfPunc_CN</ability>
      <abilityName>全半角问题</abilityName>
      <candidateList>
        <item>：</item>
      </candidateList>
      <explain>文本全半角错误。</explain>
      <paraID>11FE180C</paraID>
      <start>2</start>
      <end>3</end>
      <status>unmodified</status>
      <modifiedWord/>
      <trackRevisions>false</trackRevisions>
    </reviewItem>
    <reviewItem>
      <errorID>4a51564d-8b9b-45c2-8e56-5d1de91ee62d</errorID>
      <errorWord>:</errorWord>
      <group>L1_Format</group>
      <groupName>格式问题</groupName>
      <ability>L2_HalfPunc_CN</ability>
      <abilityName>全半角问题</abilityName>
      <candidateList>
        <item>：</item>
      </candidateList>
      <explain>文本全半角错误。</explain>
      <paraID>661810C3</paraID>
      <start>2</start>
      <end>3</end>
      <status>unmodified</status>
      <modifiedWord/>
      <trackRevisions>false</trackRevisions>
    </reviewItem>
    <reviewItem>
      <errorID>73df93a5-3337-4b51-a922-6376deeb743e</errorID>
      <errorWord>:</errorWord>
      <group>L1_Format</group>
      <groupName>格式问题</groupName>
      <ability>L2_HalfPunc_CN</ability>
      <abilityName>全半角问题</abilityName>
      <candidateList>
        <item>：</item>
      </candidateList>
      <explain>文本全半角错误。</explain>
      <paraID> B78C259</paraID>
      <start>2</start>
      <end>3</end>
      <status>unmodified</status>
      <modifiedWord/>
      <trackRevisions>false</trackRevisions>
    </reviewItem>
    <reviewItem>
      <errorID>662ed403-7241-4908-b149-878ed48caf48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167E04E1</paraID>
      <start>0</start>
      <end>2</end>
      <status>unmodified</status>
      <modifiedWord/>
      <trackRevisions>false</trackRevisions>
    </reviewItem>
    <reviewItem>
      <errorID>fb812d9b-a5f4-4a63-aef3-93737152fc09</errorID>
      <errorWord>图5—</errorWord>
      <group>L1_Word</group>
      <groupName>字词问题</groupName>
      <ability>L2_Typo</ability>
      <abilityName>字词错误</abilityName>
      <candidateList>
        <item>图5-</item>
      </candidateList>
      <explain/>
      <paraID>4F1CBEC4</paraID>
      <start>0</start>
      <end>3</end>
      <status>unmodified</status>
      <modifiedWord/>
      <trackRevisions>false</trackRevisions>
    </reviewItem>
    <reviewItem>
      <errorID>73994358-375a-4286-9205-47368beb4419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753E42EB</paraID>
      <start>0</start>
      <end>2</end>
      <status>unmodified</status>
      <modifiedWord/>
      <trackRevisions>false</trackRevisions>
    </reviewItem>
    <reviewItem>
      <errorID>77247f73-da07-4747-8be9-c8524539a862</errorID>
      <errorWord>:</errorWord>
      <group>L1_Format</group>
      <groupName>格式问题</groupName>
      <ability>L2_HalfPunc_CN</ability>
      <abilityName>全半角问题</abilityName>
      <candidateList>
        <item>：</item>
      </candidateList>
      <explain>文本全半角错误。</explain>
      <paraID>6D0FFF66</paraID>
      <start>68</start>
      <end>69</end>
      <status>unmodified</status>
      <modifiedWord/>
      <trackRevisions>false</trackRevisions>
    </reviewItem>
    <reviewItem>
      <errorID>14165be9-8596-4fd6-88c1-373422f64ef4</errorID>
      <errorWord>:</errorWord>
      <group>L1_Format</group>
      <groupName>格式问题</groupName>
      <ability>L2_HalfPunc_CN</ability>
      <abilityName>全半角问题</abilityName>
      <candidateList>
        <item>：</item>
      </candidateList>
      <explain>文本全半角错误。</explain>
      <paraID>6D0FFF66</paraID>
      <start>96</start>
      <end>97</end>
      <status>unmodified</status>
      <modifiedWord/>
      <trackRevisions>false</trackRevisions>
    </reviewItem>
    <reviewItem>
      <errorID>4bd22998-b020-4d21-9faf-592ec8adb210</errorID>
      <errorWord>:</errorWord>
      <group>L1_Format</group>
      <groupName>格式问题</groupName>
      <ability>L2_HalfPunc_CN</ability>
      <abilityName>全半角问题</abilityName>
      <candidateList>
        <item>：</item>
      </candidateList>
      <explain>文本全半角错误。</explain>
      <paraID>6D0FFF66</paraID>
      <start>108</start>
      <end>109</end>
      <status>unmodified</status>
      <modifiedWord/>
      <trackRevisions>false</trackRevisions>
    </reviewItem>
    <reviewItem>
      <errorID>8aa5c640-af68-4e9f-90cf-55f8ddd39542</errorID>
      <errorWord>:</errorWord>
      <group>L1_Format</group>
      <groupName>格式问题</groupName>
      <ability>L2_HalfPunc_CN</ability>
      <abilityName>全半角问题</abilityName>
      <candidateList>
        <item>：</item>
      </candidateList>
      <explain>文本全半角错误。</explain>
      <paraID>6D0FFF66</paraID>
      <start>121</start>
      <end>122</end>
      <status>unmodified</status>
      <modifiedWord/>
      <trackRevisions>false</trackRevisions>
    </reviewItem>
    <reviewItem>
      <errorID>cd65a493-66aa-4636-9413-b003bc49333a</errorID>
      <errorWord>图5—</errorWord>
      <group>L1_Word</group>
      <groupName>字词问题</groupName>
      <ability>L2_Typo</ability>
      <abilityName>字词错误</abilityName>
      <candidateList>
        <item>图5-</item>
      </candidateList>
      <explain/>
      <paraID>67F28F83</paraID>
      <start>0</start>
      <end>3</end>
      <status>unmodified</status>
      <modifiedWord/>
      <trackRevisions>false</trackRevisions>
    </reviewItem>
    <reviewItem>
      <errorID>cae79fed-30b2-4bde-a986-45c12cc82544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A17F64F</paraID>
      <start>0</start>
      <end>2</end>
      <status>unmodified</status>
      <modifiedWord/>
      <trackRevisions>false</trackRevisions>
    </reviewItem>
    <reviewItem>
      <errorID>3a3db808-338d-4ec8-9613-85fe54e7c876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44ADD324</paraID>
      <start>0</start>
      <end>2</end>
      <status>unmodified</status>
      <modifiedWord/>
      <trackRevisions>false</trackRevisions>
    </reviewItem>
    <reviewItem>
      <errorID>6428ae9e-a5ce-4966-8043-07dc7c6cdb4e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68166240</paraID>
      <start>0</start>
      <end>2</end>
      <status>unmodified</status>
      <modifiedWord/>
      <trackRevisions>false</trackRevisions>
    </reviewItem>
    <reviewItem>
      <errorID>4cb40152-082d-405a-a5f5-f695d72be8e5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3A680DBA</paraID>
      <start>0</start>
      <end>2</end>
      <status>unmodified</status>
      <modifiedWord/>
      <trackRevisions>false</trackRevisions>
    </reviewItem>
    <reviewItem>
      <errorID>05fad2d0-35f6-4d20-addc-0a1b69e8075f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383D5ADA</paraID>
      <start>0</start>
      <end>2</end>
      <status>unmodified</status>
      <modifiedWord/>
      <trackRevisions>false</trackRevisions>
    </reviewItem>
    <reviewItem>
      <errorID>7421e18e-6104-4384-a351-7ad2ead15006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1F51BEBC</paraID>
      <start>0</start>
      <end>2</end>
      <status>unmodified</status>
      <modifiedWord/>
      <trackRevisions>false</trackRevisions>
    </reviewItem>
    <reviewItem>
      <errorID>cf00b68d-8435-43ac-85a4-e4280c631e53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2F80290D</paraID>
      <start>0</start>
      <end>2</end>
      <status>unmodified</status>
      <modifiedWord/>
      <trackRevisions>false</trackRevisions>
    </reviewItem>
    <reviewItem>
      <errorID>3a1aa66e-3089-42cf-acde-2d1a503cb7db</errorID>
      <errorWord>期</errorWord>
      <group>L1_Word</group>
      <groupName>字词问题</groupName>
      <ability>L2_Typo</ability>
      <abilityName>字词错误</abilityName>
      <candidateList>
        <item>期间</item>
      </candidateList>
      <explain>〈名〉某个时期里面：农忙～｜春节～｜抗战～。</explain>
      <paraID>2F80290D</paraID>
      <start>116</start>
      <end>117</end>
      <status>unmodified</status>
      <modifiedWord/>
      <trackRevisions>false</trackRevisions>
    </reviewItem>
    <reviewItem>
      <errorID>7f840866-80ab-40f2-804c-dd37befbcf27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2BBE0812</paraID>
      <start>0</start>
      <end>2</end>
      <status>unmodified</status>
      <modifiedWord/>
      <trackRevisions>false</trackRevisions>
    </reviewItem>
    <reviewItem>
      <errorID>de016c11-dd79-4dc9-aebe-b7703ccb83e6</errorID>
      <errorWord>:</errorWord>
      <group>L1_Format</group>
      <groupName>格式问题</groupName>
      <ability>L2_HalfPunc_CN</ability>
      <abilityName>全半角问题</abilityName>
      <candidateList>
        <item>：</item>
      </candidateList>
      <explain>文本全半角错误。</explain>
      <paraID>2BBE0812</paraID>
      <start>52</start>
      <end>53</end>
      <status>unmodified</status>
      <modifiedWord/>
      <trackRevisions>false</trackRevisions>
    </reviewItem>
    <reviewItem>
      <errorID>364bdf5e-20a7-4324-9eee-18a71090f4cb</errorID>
      <errorWord>"</errorWord>
      <group>L1_Format</group>
      <groupName>格式问题</groupName>
      <ability>L2_HalfPunc_CN</ability>
      <abilityName>全半角问题</abilityName>
      <candidateList>
        <item>“</item>
      </candidateList>
      <explain>文本全半角错误。</explain>
      <paraID>29AE0DC6</paraID>
      <start>35</start>
      <end>36</end>
      <status>unmodified</status>
      <modifiedWord/>
      <trackRevisions>false</trackRevisions>
    </reviewItem>
    <reviewItem>
      <errorID>37ddb2ba-6363-4752-942f-43343267f7ed</errorID>
      <errorWord>"</errorWord>
      <group>L1_Format</group>
      <groupName>格式问题</groupName>
      <ability>L2_HalfPunc_CN</ability>
      <abilityName>全半角问题</abilityName>
      <candidateList>
        <item>”</item>
      </candidateList>
      <explain>文本全半角错误。</explain>
      <paraID>29AE0DC6</paraID>
      <start>43</start>
      <end>44</end>
      <status>unmodified</status>
      <modifiedWord/>
      <trackRevisions>false</trackRevisions>
    </reviewItem>
    <reviewItem>
      <errorID>fffbc696-3198-48cb-9c28-bcfa4d25a7a7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284C2299</paraID>
      <start>0</start>
      <end>2</end>
      <status>unmodified</status>
      <modifiedWord/>
      <trackRevisions>false</trackRevisions>
    </reviewItem>
    <reviewItem>
      <errorID>cf686259-02f0-4dc5-9f47-d3fa28fefc20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6110AB0D</paraID>
      <start>0</start>
      <end>2</end>
      <status>unmodified</status>
      <modifiedWord/>
      <trackRevisions>false</trackRevisions>
    </reviewItem>
    <reviewItem>
      <errorID>3151a912-eaa1-43b7-b1a2-d1bf5418d924</errorID>
      <errorWord>:</errorWord>
      <group>L1_Format</group>
      <groupName>格式问题</groupName>
      <ability>L2_HalfPunc_CN</ability>
      <abilityName>全半角问题</abilityName>
      <candidateList>
        <item>：</item>
      </candidateList>
      <explain>文本全半角错误。</explain>
      <paraID>6110AB0D</paraID>
      <start>12</start>
      <end>13</end>
      <status>unmodified</status>
      <modifiedWord/>
      <trackRevisions>false</trackRevisions>
    </reviewItem>
    <reviewItem>
      <errorID>d2d08ddb-9d06-41ae-a965-f50bab849a0a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3F6D3853</paraID>
      <start>0</start>
      <end>2</end>
      <status>unmodified</status>
      <modifiedWord/>
      <trackRevisions>false</trackRevisions>
    </reviewItem>
    <reviewItem>
      <errorID>01fd627f-4874-4c74-8388-761d74f4e9d2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14360140</paraID>
      <start>0</start>
      <end>2</end>
      <status>unmodified</status>
      <modifiedWord/>
      <trackRevisions>false</trackRevisions>
    </reviewItem>
    <reviewItem>
      <errorID>5233c5e9-250e-45e3-8dcd-3ea6a6620f0d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6A4BCB06</paraID>
      <start>0</start>
      <end>2</end>
      <status>unmodified</status>
      <modifiedWord/>
      <trackRevisions>false</trackRevisions>
    </reviewItem>
    <reviewItem>
      <errorID>583f2ecd-33b2-4790-a545-813c93eb4a70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29E0176E</paraID>
      <start>0</start>
      <end>2</end>
      <status>unmodified</status>
      <modifiedWord/>
      <trackRevisions>false</trackRevisions>
    </reviewItem>
    <reviewItem>
      <errorID>d0408f73-884d-4ac9-a28e-0c8d717cc055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11504695</paraID>
      <start>0</start>
      <end>2</end>
      <status>unmodified</status>
      <modifiedWord/>
      <trackRevisions>false</trackRevisions>
    </reviewItem>
    <reviewItem>
      <errorID>2a6d2970-44ac-4918-8375-aa883bf6c649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2FCB1AF1</paraID>
      <start>0</start>
      <end>2</end>
      <status>unmodified</status>
      <modifiedWord/>
      <trackRevisions>false</trackRevisions>
    </reviewItem>
    <reviewItem>
      <errorID>4e56abc9-86b9-4f9a-8dd1-11ae1b054688</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4DF69CD5</paraID>
      <start>0</start>
      <end>2</end>
      <status>unmodified</status>
      <modifiedWord/>
      <trackRevisions>false</trackRevisions>
    </reviewItem>
    <reviewItem>
      <errorID>86dabe11-a779-4e39-a60a-c3c973c34e45</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53AD64A6</paraID>
      <start>0</start>
      <end>2</end>
      <status>unmodified</status>
      <modifiedWord/>
      <trackRevisions>false</trackRevisions>
    </reviewItem>
    <reviewItem>
      <errorID>46a1e0a9-6bfd-42a2-87ff-fc0f296d3750</errorID>
      <errorWord>暴发</errorWord>
      <group>L1_Word</group>
      <groupName>字词问题</groupName>
      <ability>L2_Typo</ability>
      <abilityName>字词错误</abilityName>
      <candidateList>
        <item>爆发</item>
      </candidateList>
      <explain>存在发音相同字词的误用。</explain>
      <paraID>46663621</paraID>
      <start>62</start>
      <end>64</end>
      <status>unmodified</status>
      <modifiedWord/>
      <trackRevisions>false</trackRevisions>
    </reviewItem>
    <reviewItem>
      <errorID>466024d6-9b0c-46c4-bf45-33b9a2e03a79</errorID>
      <errorWord>"</errorWord>
      <group>L1_Format</group>
      <groupName>格式问题</groupName>
      <ability>L2_HalfPunc_CN</ability>
      <abilityName>全半角问题</abilityName>
      <candidateList>
        <item>“</item>
      </candidateList>
      <explain>文本全半角错误。</explain>
      <paraID>46663621</paraID>
      <start>135</start>
      <end>136</end>
      <status>unmodified</status>
      <modifiedWord/>
      <trackRevisions>false</trackRevisions>
    </reviewItem>
    <reviewItem>
      <errorID>331420bc-032e-4a16-b3df-42f1bb16f601</errorID>
      <errorWord>"</errorWord>
      <group>L1_Format</group>
      <groupName>格式问题</groupName>
      <ability>L2_HalfPunc_CN</ability>
      <abilityName>全半角问题</abilityName>
      <candidateList>
        <item>”</item>
      </candidateList>
      <explain>文本全半角错误。</explain>
      <paraID>46663621</paraID>
      <start>140</start>
      <end>141</end>
      <status>unmodified</status>
      <modifiedWord/>
      <trackRevisions>false</trackRevisions>
    </reviewItem>
    <reviewItem>
      <errorID>48b3dc48-0c58-4d41-8b7b-458538418695</errorID>
      <errorWord>:</errorWord>
      <group>L1_Format</group>
      <groupName>格式问题</groupName>
      <ability>L2_HalfPunc_CN</ability>
      <abilityName>全半角问题</abilityName>
      <candidateList>
        <item>：</item>
      </candidateList>
      <explain>文本全半角错误。</explain>
      <paraID> 2125B37</paraID>
      <start>18</start>
      <end>19</end>
      <status>unmodified</status>
      <modifiedWord/>
      <trackRevisions>false</trackRevisions>
    </reviewItem>
    <reviewItem>
      <errorID>2d71df14-b8e7-4d2f-916b-176a970009c3</errorID>
      <errorWord>"</errorWord>
      <group>L1_Format</group>
      <groupName>格式问题</groupName>
      <ability>L2_HalfPunc_CN</ability>
      <abilityName>全半角问题</abilityName>
      <candidateList>
        <item>“</item>
      </candidateList>
      <explain>文本全半角错误。</explain>
      <paraID> 2125B37</paraID>
      <start>19</start>
      <end>20</end>
      <status>unmodified</status>
      <modifiedWord/>
      <trackRevisions>false</trackRevisions>
    </reviewItem>
    <reviewItem>
      <errorID>b52505db-f299-4374-8d2c-fcef033d0eb4</errorID>
      <errorWord>"</errorWord>
      <group>L1_Format</group>
      <groupName>格式问题</groupName>
      <ability>L2_HalfPunc_CN</ability>
      <abilityName>全半角问题</abilityName>
      <candidateList>
        <item>”</item>
      </candidateList>
      <explain>文本全半角错误。</explain>
      <paraID> 2125B37</paraID>
      <start>56</start>
      <end>57</end>
      <status>unmodified</status>
      <modifiedWord/>
      <trackRevisions>false</trackRevisions>
    </reviewItem>
    <reviewItem>
      <errorID>537afccd-9390-4c86-91d1-e59336386ce4</errorID>
      <errorWord>"</errorWord>
      <group>L1_Format</group>
      <groupName>格式问题</groupName>
      <ability>L2_HalfPunc_CN</ability>
      <abilityName>全半角问题</abilityName>
      <candidateList>
        <item>“</item>
      </candidateList>
      <explain>文本全半角错误。</explain>
      <paraID>148136FB</paraID>
      <start>10</start>
      <end>11</end>
      <status>unmodified</status>
      <modifiedWord/>
      <trackRevisions>false</trackRevisions>
    </reviewItem>
    <reviewItem>
      <errorID>79a289c5-a516-4bde-9475-5fcdd2e1d871</errorID>
      <errorWord>"</errorWord>
      <group>L1_Format</group>
      <groupName>格式问题</groupName>
      <ability>L2_HalfPunc_CN</ability>
      <abilityName>全半角问题</abilityName>
      <candidateList>
        <item>”</item>
      </candidateList>
      <explain>文本全半角错误。</explain>
      <paraID>148136FB</paraID>
      <start>13</start>
      <end>14</end>
      <status>unmodified</status>
      <modifiedWord/>
      <trackRevisions>false</trackRevisions>
    </reviewItem>
    <reviewItem>
      <errorID>d9fab4bc-6a53-4260-ada2-f741722e20ab</errorID>
      <errorWord>"</errorWord>
      <group>L1_Format</group>
      <groupName>格式问题</groupName>
      <ability>L2_HalfPunc_CN</ability>
      <abilityName>全半角问题</abilityName>
      <candidateList>
        <item>“</item>
      </candidateList>
      <explain>文本全半角错误。</explain>
      <paraID>148136FB</paraID>
      <start>15</start>
      <end>16</end>
      <status>unmodified</status>
      <modifiedWord/>
      <trackRevisions>false</trackRevisions>
    </reviewItem>
    <reviewItem>
      <errorID>18b2c16e-7fa3-4e31-b24e-2c98d23749ee</errorID>
      <errorWord>"</errorWord>
      <group>L1_Format</group>
      <groupName>格式问题</groupName>
      <ability>L2_HalfPunc_CN</ability>
      <abilityName>全半角问题</abilityName>
      <candidateList>
        <item>”</item>
      </candidateList>
      <explain>文本全半角错误。</explain>
      <paraID>148136FB</paraID>
      <start>32</start>
      <end>33</end>
      <status>unmodified</status>
      <modifiedWord/>
      <trackRevisions>false</trackRevisions>
    </reviewItem>
    <reviewItem>
      <errorID>8eab974d-dd58-4188-80d1-4bb18943413a</errorID>
      <errorWord>法律、法规</errorWord>
      <group>L1_Word</group>
      <groupName>字词问题</groupName>
      <ability>L2_Typo</ability>
      <abilityName>字词错误</abilityName>
      <candidateList>
        <item>法律法规</item>
      </candidateList>
      <explain/>
      <paraID>3E1AA54C</paraID>
      <start>32</start>
      <end>37</end>
      <status>unmodified</status>
      <modifiedWord/>
      <trackRevisions>false</trackRevisions>
    </reviewItem>
    <reviewItem>
      <errorID>ee54c63c-2b60-4150-ac4e-ca6a8e711e01</errorID>
      <errorWord>:</errorWord>
      <group>L1_Format</group>
      <groupName>格式问题</groupName>
      <ability>L2_HalfPunc_CN</ability>
      <abilityName>全半角问题</abilityName>
      <candidateList>
        <item>：</item>
      </candidateList>
      <explain>文本全半角错误。</explain>
      <paraID>4E986535</paraID>
      <start>136</start>
      <end>137</end>
      <status>unmodified</status>
      <modifiedWord/>
      <trackRevisions>false</trackRevisions>
    </reviewItem>
    <reviewItem>
      <errorID>73d25061-117a-4a6c-972d-66f079e9b1d4</errorID>
      <errorWord>[2024]323号</errorWord>
      <group>L1_Knowledge</group>
      <groupName>知识性问题</groupName>
      <ability>L2_Knowledge</ability>
      <abilityName>其他知识</abilityName>
      <candidateList>
        <item>〔2024〕323号</item>
      </candidateList>
      <explain>发文字号格式错误。</explain>
      <paraID>4B587B86</paraID>
      <start>39</start>
      <end>49</end>
      <status>unmodified</status>
      <modifiedWord/>
      <trackRevisions>false</trackRevisions>
    </reviewItem>
    <reviewItem>
      <errorID>e4df2925-a8d3-4422-b1fb-717e9adc9773</errorID>
      <errorWord>.</errorWord>
      <group>L1_Format</group>
      <groupName>格式问题</groupName>
      <ability>L2_HalfPunc_CN</ability>
      <abilityName>全半角问题</abilityName>
      <candidateList>
        <item>。</item>
      </candidateList>
      <explain>文本全半角错误。</explain>
      <paraID>246BF4D0</paraID>
      <start>3</start>
      <end>4</end>
      <status>unmodified</status>
      <modifiedWord/>
      <trackRevisions>false</trackRevisions>
    </reviewItem>
    <reviewItem>
      <errorID>11aefd0c-e94c-4b4f-997d-afd0d1db3675</errorID>
      <errorWord>"</errorWord>
      <group>L1_Format</group>
      <groupName>格式问题</groupName>
      <ability>L2_HalfPunc_CN</ability>
      <abilityName>全半角问题</abilityName>
      <candidateList>
        <item>“</item>
      </candidateList>
      <explain>文本全半角错误。</explain>
      <paraID> 3E42CA9</paraID>
      <start>9</start>
      <end>10</end>
      <status>unmodified</status>
      <modifiedWord/>
      <trackRevisions>false</trackRevisions>
    </reviewItem>
    <reviewItem>
      <errorID>001f75c8-4d8a-44c8-a39f-c6ea3785cdf7</errorID>
      <errorWord>"</errorWord>
      <group>L1_Format</group>
      <groupName>格式问题</groupName>
      <ability>L2_HalfPunc_CN</ability>
      <abilityName>全半角问题</abilityName>
      <candidateList>
        <item>”</item>
      </candidateList>
      <explain>文本全半角错误。</explain>
      <paraID> 3E42CA9</paraID>
      <start>14</start>
      <end>15</end>
      <status>unmodified</status>
      <modifiedWord/>
      <trackRevisions>false</trackRevisions>
    </reviewItem>
    <reviewItem>
      <errorID>229cd614-b2ea-4d74-962c-08994e0f1d05</errorID>
      <errorWord>监测</errorWord>
      <group>L1_Word</group>
      <groupName>字词问题</groupName>
      <ability>L2_Typo</ability>
      <abilityName>字词错误</abilityName>
      <candidateList>
        <item>检测</item>
      </candidateList>
      <explain/>
      <paraID>3DC85215</paraID>
      <start>9</start>
      <end>11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b408e8-2144-45f4-93aa-48ecd8ecda65}">
  <ds:schemaRefs/>
</ds:datastoreItem>
</file>

<file path=docProps/app.xml><?xml version="1.0" encoding="utf-8"?>
<Properties xmlns="http://schemas.openxmlformats.org/officeDocument/2006/extended-properties" xmlns:vt="http://schemas.openxmlformats.org/officeDocument/2006/docPropsVTypes">
  <Template>Normal.dotm</Template>
  <Pages>124</Pages>
  <Words>1425</Words>
  <Characters>1558</Characters>
  <Lines>1</Lines>
  <Paragraphs>1</Paragraphs>
  <TotalTime>3</TotalTime>
  <ScaleCrop>false</ScaleCrop>
  <LinksUpToDate>false</LinksUpToDate>
  <CharactersWithSpaces>1685</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2024-02-06T14:18:00Z</dcterms:created>
  <dc:creator>lhj</dc:creator>
  <cp:lastModifiedBy>ARR</cp:lastModifiedBy>
  <cp:lastPrinted>2021-06-09T06:59:00Z</cp:lastPrinted>
  <dcterms:modified xsi:type="dcterms:W3CDTF">2026-07-14T05:02:22Z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159B681EC3C242A0B9FDB9AA5872C0AF_13</vt:lpwstr>
  </property>
  <property fmtid="{D5CDD505-2E9C-101B-9397-08002B2CF9AE}" pid="4" name="KSOTemplateDocerSaveRecord">
    <vt:lpwstr>eyJoZGlkIjoiN2U1MzIxZDgyNTc2MGIzMTE3NjZlMzUyNGNlMGM4OWIiLCJ1c2VySWQiOiIzOTczODE5OTQifQ==</vt:lpwstr>
  </property>
</Properties>
</file>