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65897E">
      <w:pPr>
        <w:ind w:firstLine="720"/>
        <w:rPr>
          <w:rFonts w:hint="default" w:ascii="Times New Roman" w:hAnsi="Times New Roman" w:eastAsia="宋体" w:cs="Times New Roman"/>
          <w:color w:val="auto"/>
          <w:sz w:val="36"/>
          <w:szCs w:val="36"/>
          <w:highlight w:val="none"/>
          <w:lang w:val="en-US" w:eastAsia="zh-CN"/>
        </w:rPr>
      </w:pPr>
      <w:bookmarkStart w:id="0" w:name="_Hlk57883707"/>
    </w:p>
    <w:p w14:paraId="0A534150">
      <w:pPr>
        <w:ind w:firstLine="720"/>
        <w:rPr>
          <w:rFonts w:hint="default" w:ascii="Times New Roman" w:hAnsi="Times New Roman" w:cs="Times New Roman"/>
          <w:color w:val="auto"/>
          <w:sz w:val="36"/>
          <w:szCs w:val="36"/>
          <w:highlight w:val="none"/>
        </w:rPr>
      </w:pPr>
    </w:p>
    <w:p w14:paraId="51A6CE1F">
      <w:pPr>
        <w:ind w:firstLine="720"/>
        <w:rPr>
          <w:rFonts w:hint="default" w:ascii="Times New Roman" w:hAnsi="Times New Roman" w:cs="Times New Roman"/>
          <w:color w:val="auto"/>
          <w:sz w:val="36"/>
          <w:szCs w:val="36"/>
          <w:highlight w:val="none"/>
        </w:rPr>
      </w:pPr>
    </w:p>
    <w:p w14:paraId="66F2366B">
      <w:pPr>
        <w:pStyle w:val="52"/>
        <w:ind w:firstLine="210"/>
        <w:rPr>
          <w:rFonts w:hint="default" w:ascii="Times New Roman" w:hAnsi="Times New Roman" w:cs="Times New Roman"/>
          <w:color w:val="auto"/>
          <w:highlight w:val="none"/>
        </w:rPr>
      </w:pPr>
    </w:p>
    <w:p w14:paraId="5A828548">
      <w:pPr>
        <w:ind w:firstLine="480"/>
        <w:rPr>
          <w:rFonts w:hint="default" w:ascii="Times New Roman" w:hAnsi="Times New Roman" w:cs="Times New Roman"/>
          <w:color w:val="auto"/>
          <w:highlight w:val="none"/>
        </w:rPr>
      </w:pPr>
    </w:p>
    <w:p w14:paraId="6A0B1519">
      <w:pPr>
        <w:pStyle w:val="52"/>
        <w:ind w:firstLine="210"/>
        <w:rPr>
          <w:rFonts w:hint="default" w:ascii="Times New Roman" w:hAnsi="Times New Roman" w:cs="Times New Roman"/>
          <w:color w:val="auto"/>
          <w:highlight w:val="none"/>
        </w:rPr>
      </w:pPr>
    </w:p>
    <w:p w14:paraId="3C0C9FD3">
      <w:pPr>
        <w:rPr>
          <w:rFonts w:hint="default" w:ascii="Times New Roman" w:hAnsi="Times New Roman" w:cs="Times New Roman"/>
          <w:color w:val="auto"/>
          <w:highlight w:val="none"/>
        </w:rPr>
      </w:pPr>
    </w:p>
    <w:p w14:paraId="37F89946">
      <w:pPr>
        <w:pStyle w:val="52"/>
        <w:rPr>
          <w:rFonts w:hint="default" w:ascii="Times New Roman" w:hAnsi="Times New Roman" w:cs="Times New Roman"/>
          <w:color w:val="auto"/>
          <w:highlight w:val="none"/>
        </w:rPr>
      </w:pPr>
    </w:p>
    <w:p w14:paraId="0FE9829B">
      <w:pPr>
        <w:ind w:firstLine="720"/>
        <w:rPr>
          <w:rFonts w:hint="default" w:ascii="Times New Roman" w:hAnsi="Times New Roman" w:cs="Times New Roman"/>
          <w:color w:val="auto"/>
          <w:sz w:val="36"/>
          <w:szCs w:val="36"/>
          <w:highlight w:val="none"/>
        </w:rPr>
      </w:pPr>
    </w:p>
    <w:bookmarkEnd w:id="0"/>
    <w:p w14:paraId="72E00270">
      <w:pPr>
        <w:adjustRightInd w:val="0"/>
        <w:snapToGrid w:val="0"/>
        <w:jc w:val="center"/>
        <w:rPr>
          <w:rFonts w:hint="default" w:ascii="Times New Roman" w:hAnsi="Times New Roman" w:eastAsia="方正小标宋_GBK" w:cs="Times New Roman"/>
          <w:bCs/>
          <w:color w:val="auto"/>
          <w:sz w:val="72"/>
          <w:szCs w:val="72"/>
          <w:highlight w:val="none"/>
        </w:rPr>
      </w:pPr>
      <w:bookmarkStart w:id="1" w:name="_Toc68074381"/>
      <w:bookmarkStart w:id="2" w:name="_Toc68074316"/>
      <w:bookmarkStart w:id="3" w:name="_Toc68074658"/>
      <w:r>
        <w:rPr>
          <w:rFonts w:hint="default" w:ascii="Times New Roman" w:hAnsi="Times New Roman" w:eastAsia="方正小标宋_GBK" w:cs="Times New Roman"/>
          <w:bCs/>
          <w:color w:val="auto"/>
          <w:sz w:val="72"/>
          <w:szCs w:val="72"/>
          <w:highlight w:val="none"/>
        </w:rPr>
        <w:t>建设项目环境影响报告表</w:t>
      </w:r>
      <w:bookmarkEnd w:id="1"/>
      <w:bookmarkEnd w:id="2"/>
      <w:bookmarkEnd w:id="3"/>
    </w:p>
    <w:p w14:paraId="4D2D4ACA">
      <w:pPr>
        <w:adjustRightInd w:val="0"/>
        <w:snapToGrid w:val="0"/>
        <w:spacing w:before="192" w:beforeLines="80"/>
        <w:ind w:firstLine="960"/>
        <w:jc w:val="center"/>
        <w:rPr>
          <w:rFonts w:hint="default" w:ascii="Times New Roman" w:hAnsi="Times New Roman" w:eastAsia="楷体" w:cs="Times New Roman"/>
          <w:bCs/>
          <w:color w:val="auto"/>
          <w:sz w:val="48"/>
          <w:szCs w:val="48"/>
          <w:highlight w:val="none"/>
        </w:rPr>
      </w:pPr>
      <w:r>
        <w:rPr>
          <w:rFonts w:hint="default" w:ascii="Times New Roman" w:hAnsi="Times New Roman" w:eastAsia="楷体" w:cs="Times New Roman"/>
          <w:bCs/>
          <w:color w:val="auto"/>
          <w:sz w:val="48"/>
          <w:szCs w:val="48"/>
          <w:highlight w:val="none"/>
        </w:rPr>
        <w:t>（生态影响类）</w:t>
      </w:r>
    </w:p>
    <w:p w14:paraId="21B9E3D9">
      <w:pPr>
        <w:ind w:firstLine="880"/>
        <w:rPr>
          <w:rFonts w:hint="default" w:ascii="Times New Roman" w:hAnsi="Times New Roman" w:eastAsia="仿宋" w:cs="Times New Roman"/>
          <w:color w:val="auto"/>
          <w:sz w:val="44"/>
          <w:szCs w:val="44"/>
          <w:highlight w:val="none"/>
        </w:rPr>
      </w:pPr>
      <w:bookmarkStart w:id="4" w:name="_Hlk57883728"/>
    </w:p>
    <w:p w14:paraId="2A150049">
      <w:pPr>
        <w:ind w:firstLine="880"/>
        <w:rPr>
          <w:rFonts w:hint="default" w:ascii="Times New Roman" w:hAnsi="Times New Roman" w:eastAsia="仿宋" w:cs="Times New Roman"/>
          <w:color w:val="auto"/>
          <w:sz w:val="44"/>
          <w:szCs w:val="44"/>
          <w:highlight w:val="none"/>
        </w:rPr>
      </w:pPr>
    </w:p>
    <w:p w14:paraId="73856010">
      <w:pPr>
        <w:ind w:firstLine="880"/>
        <w:rPr>
          <w:rFonts w:hint="default" w:ascii="Times New Roman" w:hAnsi="Times New Roman" w:eastAsia="仿宋" w:cs="Times New Roman"/>
          <w:color w:val="auto"/>
          <w:sz w:val="44"/>
          <w:szCs w:val="44"/>
          <w:highlight w:val="none"/>
        </w:rPr>
      </w:pPr>
    </w:p>
    <w:p w14:paraId="79547205">
      <w:pPr>
        <w:ind w:firstLine="880"/>
        <w:rPr>
          <w:rFonts w:hint="default" w:ascii="Times New Roman" w:hAnsi="Times New Roman" w:eastAsia="仿宋" w:cs="Times New Roman"/>
          <w:color w:val="auto"/>
          <w:sz w:val="44"/>
          <w:szCs w:val="44"/>
          <w:highlight w:val="none"/>
        </w:rPr>
      </w:pPr>
    </w:p>
    <w:p w14:paraId="59A7B950">
      <w:pPr>
        <w:ind w:firstLine="880"/>
        <w:rPr>
          <w:rFonts w:hint="default" w:ascii="Times New Roman" w:hAnsi="Times New Roman" w:eastAsia="仿宋" w:cs="Times New Roman"/>
          <w:color w:val="auto"/>
          <w:sz w:val="44"/>
          <w:szCs w:val="44"/>
          <w:highlight w:val="none"/>
        </w:rPr>
      </w:pPr>
    </w:p>
    <w:p w14:paraId="149E7ED1">
      <w:pPr>
        <w:ind w:firstLine="880"/>
        <w:rPr>
          <w:rFonts w:hint="default" w:ascii="Times New Roman" w:hAnsi="Times New Roman" w:eastAsia="仿宋" w:cs="Times New Roman"/>
          <w:color w:val="auto"/>
          <w:sz w:val="44"/>
          <w:szCs w:val="44"/>
          <w:highlight w:val="none"/>
        </w:rPr>
      </w:pPr>
    </w:p>
    <w:p w14:paraId="34F2464A">
      <w:pPr>
        <w:ind w:firstLine="880"/>
        <w:rPr>
          <w:rFonts w:hint="default" w:ascii="Times New Roman" w:hAnsi="Times New Roman" w:eastAsia="仿宋" w:cs="Times New Roman"/>
          <w:color w:val="auto"/>
          <w:sz w:val="44"/>
          <w:szCs w:val="44"/>
          <w:highlight w:val="none"/>
        </w:rPr>
      </w:pPr>
    </w:p>
    <w:bookmarkEnd w:id="4"/>
    <w:p w14:paraId="50261AF8">
      <w:pPr>
        <w:adjustRightInd w:val="0"/>
        <w:snapToGrid w:val="0"/>
        <w:spacing w:line="288" w:lineRule="auto"/>
        <w:ind w:firstLine="640" w:firstLineChars="200"/>
        <w:rPr>
          <w:rFonts w:hint="default" w:ascii="Times New Roman" w:hAnsi="Times New Roman" w:eastAsia="仿宋" w:cs="Times New Roman"/>
          <w:color w:val="auto"/>
          <w:sz w:val="32"/>
          <w:szCs w:val="36"/>
          <w:highlight w:val="none"/>
          <w:u w:val="single"/>
        </w:rPr>
      </w:pPr>
      <w:r>
        <w:rPr>
          <w:rFonts w:hint="default" w:ascii="Times New Roman" w:hAnsi="Times New Roman" w:eastAsia="仿宋" w:cs="Times New Roman"/>
          <w:color w:val="auto"/>
          <w:sz w:val="32"/>
          <w:szCs w:val="36"/>
          <w:highlight w:val="none"/>
        </w:rPr>
        <w:t>项目名称</w:t>
      </w:r>
      <w:r>
        <w:rPr>
          <w:rFonts w:hint="default" w:ascii="Times New Roman" w:hAnsi="Times New Roman" w:eastAsia="仿宋" w:cs="Times New Roman"/>
          <w:color w:val="auto"/>
          <w:sz w:val="32"/>
          <w:szCs w:val="36"/>
          <w:highlight w:val="none"/>
          <w:lang w:eastAsia="zh-CN"/>
        </w:rPr>
        <w:t>:</w:t>
      </w:r>
      <w:r>
        <w:rPr>
          <w:rFonts w:hint="default" w:ascii="Times New Roman" w:hAnsi="Times New Roman" w:eastAsia="仿宋" w:cs="Times New Roman"/>
          <w:color w:val="auto"/>
          <w:sz w:val="32"/>
          <w:szCs w:val="36"/>
          <w:highlight w:val="none"/>
          <w:u w:val="single"/>
          <w:lang w:eastAsia="zh-CN"/>
        </w:rPr>
        <w:t>黑龙江省庆安县欧根河治理工程</w:t>
      </w:r>
      <w:r>
        <w:rPr>
          <w:rFonts w:hint="default" w:ascii="Times New Roman" w:hAnsi="Times New Roman" w:eastAsia="仿宋" w:cs="Times New Roman"/>
          <w:color w:val="auto"/>
          <w:sz w:val="32"/>
          <w:szCs w:val="36"/>
          <w:highlight w:val="none"/>
          <w:u w:val="single"/>
        </w:rPr>
        <w:t xml:space="preserve">     </w:t>
      </w:r>
    </w:p>
    <w:p w14:paraId="306D48D3">
      <w:pPr>
        <w:adjustRightInd w:val="0"/>
        <w:snapToGrid w:val="0"/>
        <w:spacing w:line="288" w:lineRule="auto"/>
        <w:ind w:firstLine="640" w:firstLineChars="200"/>
        <w:rPr>
          <w:rFonts w:hint="default" w:ascii="Times New Roman" w:hAnsi="Times New Roman" w:eastAsia="仿宋" w:cs="Times New Roman"/>
          <w:color w:val="auto"/>
          <w:sz w:val="32"/>
          <w:szCs w:val="36"/>
          <w:highlight w:val="none"/>
          <w:u w:val="single"/>
        </w:rPr>
      </w:pPr>
      <w:r>
        <w:rPr>
          <w:rFonts w:hint="default" w:ascii="Times New Roman" w:hAnsi="Times New Roman" w:eastAsia="仿宋" w:cs="Times New Roman"/>
          <w:color w:val="auto"/>
          <w:sz w:val="32"/>
          <w:szCs w:val="36"/>
          <w:highlight w:val="none"/>
        </w:rPr>
        <w:t>建设单位</w:t>
      </w:r>
      <w:r>
        <w:rPr>
          <w:rFonts w:hint="default" w:ascii="Times New Roman" w:hAnsi="Times New Roman" w:eastAsia="仿宋" w:cs="Times New Roman"/>
          <w:color w:val="auto"/>
          <w:sz w:val="32"/>
          <w:szCs w:val="36"/>
          <w:highlight w:val="none"/>
          <w:lang w:eastAsia="zh-CN"/>
        </w:rPr>
        <w:t>（</w:t>
      </w:r>
      <w:r>
        <w:rPr>
          <w:rFonts w:hint="default" w:ascii="Times New Roman" w:hAnsi="Times New Roman" w:eastAsia="仿宋" w:cs="Times New Roman"/>
          <w:color w:val="auto"/>
          <w:sz w:val="32"/>
          <w:szCs w:val="36"/>
          <w:highlight w:val="none"/>
        </w:rPr>
        <w:t>盖章</w:t>
      </w:r>
      <w:r>
        <w:rPr>
          <w:rFonts w:hint="default" w:ascii="Times New Roman" w:hAnsi="Times New Roman" w:eastAsia="仿宋" w:cs="Times New Roman"/>
          <w:color w:val="auto"/>
          <w:sz w:val="32"/>
          <w:szCs w:val="36"/>
          <w:highlight w:val="none"/>
          <w:lang w:eastAsia="zh-CN"/>
        </w:rPr>
        <w:t>）:</w:t>
      </w:r>
      <w:r>
        <w:rPr>
          <w:rFonts w:hint="default" w:ascii="Times New Roman" w:hAnsi="Times New Roman" w:eastAsia="仿宋" w:cs="Times New Roman"/>
          <w:color w:val="auto"/>
          <w:sz w:val="32"/>
          <w:szCs w:val="36"/>
          <w:highlight w:val="none"/>
          <w:u w:val="single"/>
          <w:lang w:eastAsia="zh-CN"/>
        </w:rPr>
        <w:t>庆安县中小型水利工程建设管理中心</w:t>
      </w:r>
      <w:r>
        <w:rPr>
          <w:rFonts w:hint="default" w:ascii="Times New Roman" w:hAnsi="Times New Roman" w:eastAsia="仿宋" w:cs="Times New Roman"/>
          <w:color w:val="auto"/>
          <w:sz w:val="32"/>
          <w:szCs w:val="36"/>
          <w:highlight w:val="none"/>
          <w:u w:val="single"/>
        </w:rPr>
        <w:t xml:space="preserve">                 </w:t>
      </w:r>
    </w:p>
    <w:p w14:paraId="13A59D3C">
      <w:pPr>
        <w:adjustRightInd w:val="0"/>
        <w:snapToGrid w:val="0"/>
        <w:spacing w:line="288" w:lineRule="auto"/>
        <w:ind w:firstLine="640" w:firstLineChars="200"/>
        <w:rPr>
          <w:rFonts w:hint="default" w:ascii="Times New Roman" w:hAnsi="Times New Roman" w:eastAsia="仿宋" w:cs="Times New Roman"/>
          <w:color w:val="auto"/>
          <w:sz w:val="32"/>
          <w:szCs w:val="36"/>
          <w:highlight w:val="none"/>
          <w:u w:val="single"/>
        </w:rPr>
      </w:pPr>
      <w:r>
        <w:rPr>
          <w:rFonts w:hint="default" w:ascii="Times New Roman" w:hAnsi="Times New Roman" w:eastAsia="仿宋" w:cs="Times New Roman"/>
          <w:color w:val="auto"/>
          <w:sz w:val="32"/>
          <w:szCs w:val="36"/>
          <w:highlight w:val="none"/>
        </w:rPr>
        <w:t>编制日期</w:t>
      </w:r>
      <w:r>
        <w:rPr>
          <w:rFonts w:hint="default" w:ascii="Times New Roman" w:hAnsi="Times New Roman" w:eastAsia="仿宋" w:cs="Times New Roman"/>
          <w:color w:val="auto"/>
          <w:sz w:val="32"/>
          <w:szCs w:val="36"/>
          <w:highlight w:val="none"/>
          <w:lang w:eastAsia="zh-CN"/>
        </w:rPr>
        <w:t>:</w:t>
      </w:r>
      <w:r>
        <w:rPr>
          <w:rFonts w:hint="default" w:ascii="Times New Roman" w:hAnsi="Times New Roman" w:eastAsia="仿宋" w:cs="Times New Roman"/>
          <w:color w:val="auto"/>
          <w:sz w:val="32"/>
          <w:szCs w:val="36"/>
          <w:highlight w:val="none"/>
          <w:u w:val="single"/>
        </w:rPr>
        <w:t xml:space="preserve">           202</w:t>
      </w:r>
      <w:r>
        <w:rPr>
          <w:rFonts w:hint="default" w:ascii="Times New Roman" w:hAnsi="Times New Roman" w:eastAsia="仿宋" w:cs="Times New Roman"/>
          <w:color w:val="auto"/>
          <w:sz w:val="32"/>
          <w:szCs w:val="36"/>
          <w:highlight w:val="none"/>
          <w:u w:val="single"/>
          <w:lang w:val="en-US" w:eastAsia="zh-CN"/>
        </w:rPr>
        <w:t>6</w:t>
      </w:r>
      <w:r>
        <w:rPr>
          <w:rFonts w:hint="default" w:ascii="Times New Roman" w:hAnsi="Times New Roman" w:eastAsia="仿宋" w:cs="Times New Roman"/>
          <w:color w:val="auto"/>
          <w:sz w:val="32"/>
          <w:szCs w:val="36"/>
          <w:highlight w:val="none"/>
          <w:u w:val="single"/>
        </w:rPr>
        <w:t>年</w:t>
      </w:r>
      <w:r>
        <w:rPr>
          <w:rFonts w:hint="default" w:ascii="Times New Roman" w:hAnsi="Times New Roman" w:eastAsia="仿宋" w:cs="Times New Roman"/>
          <w:color w:val="auto"/>
          <w:sz w:val="32"/>
          <w:szCs w:val="36"/>
          <w:highlight w:val="none"/>
          <w:u w:val="single"/>
          <w:lang w:val="en-US" w:eastAsia="zh-CN"/>
        </w:rPr>
        <w:t>6</w:t>
      </w:r>
      <w:r>
        <w:rPr>
          <w:rFonts w:hint="default" w:ascii="Times New Roman" w:hAnsi="Times New Roman" w:eastAsia="仿宋" w:cs="Times New Roman"/>
          <w:color w:val="auto"/>
          <w:sz w:val="32"/>
          <w:szCs w:val="36"/>
          <w:highlight w:val="none"/>
          <w:u w:val="single"/>
        </w:rPr>
        <w:t xml:space="preserve">月             </w:t>
      </w:r>
    </w:p>
    <w:p w14:paraId="32450B0F">
      <w:pPr>
        <w:adjustRightInd w:val="0"/>
        <w:snapToGrid w:val="0"/>
        <w:spacing w:line="288" w:lineRule="auto"/>
        <w:ind w:firstLine="720" w:firstLineChars="200"/>
        <w:rPr>
          <w:rFonts w:hint="default" w:ascii="Times New Roman" w:hAnsi="Times New Roman" w:cs="Times New Roman"/>
          <w:color w:val="auto"/>
          <w:sz w:val="36"/>
          <w:szCs w:val="36"/>
          <w:highlight w:val="none"/>
          <w:u w:val="single"/>
        </w:rPr>
      </w:pPr>
    </w:p>
    <w:p w14:paraId="43E3A218">
      <w:pPr>
        <w:adjustRightInd w:val="0"/>
        <w:snapToGrid w:val="0"/>
        <w:spacing w:line="288" w:lineRule="auto"/>
        <w:ind w:firstLine="720"/>
        <w:rPr>
          <w:rFonts w:hint="default" w:ascii="Times New Roman" w:hAnsi="Times New Roman" w:cs="Times New Roman"/>
          <w:color w:val="auto"/>
          <w:sz w:val="36"/>
          <w:szCs w:val="36"/>
          <w:highlight w:val="none"/>
        </w:rPr>
      </w:pPr>
    </w:p>
    <w:p w14:paraId="34ECF5F5">
      <w:pPr>
        <w:adjustRightInd w:val="0"/>
        <w:snapToGrid w:val="0"/>
        <w:spacing w:line="288" w:lineRule="auto"/>
        <w:ind w:firstLine="720"/>
        <w:rPr>
          <w:rFonts w:hint="default" w:ascii="Times New Roman" w:hAnsi="Times New Roman" w:cs="Times New Roman"/>
          <w:color w:val="auto"/>
          <w:sz w:val="36"/>
          <w:szCs w:val="36"/>
          <w:highlight w:val="none"/>
        </w:rPr>
      </w:pPr>
    </w:p>
    <w:p w14:paraId="6617144A">
      <w:pPr>
        <w:adjustRightInd w:val="0"/>
        <w:snapToGrid w:val="0"/>
        <w:spacing w:line="288" w:lineRule="auto"/>
        <w:ind w:firstLine="720"/>
        <w:rPr>
          <w:rFonts w:hint="default" w:ascii="Times New Roman" w:hAnsi="Times New Roman" w:cs="Times New Roman"/>
          <w:color w:val="auto"/>
          <w:sz w:val="36"/>
          <w:szCs w:val="36"/>
          <w:highlight w:val="none"/>
        </w:rPr>
      </w:pPr>
    </w:p>
    <w:p w14:paraId="10726688">
      <w:pPr>
        <w:adjustRightInd w:val="0"/>
        <w:snapToGrid w:val="0"/>
        <w:spacing w:line="288" w:lineRule="auto"/>
        <w:ind w:firstLine="720"/>
        <w:jc w:val="center"/>
        <w:rPr>
          <w:rFonts w:hint="default" w:ascii="Times New Roman" w:hAnsi="Times New Roman" w:eastAsia="楷体" w:cs="Times New Roman"/>
          <w:color w:val="auto"/>
          <w:sz w:val="36"/>
          <w:szCs w:val="36"/>
          <w:highlight w:val="none"/>
        </w:rPr>
      </w:pPr>
      <w:r>
        <w:rPr>
          <w:rFonts w:hint="default" w:ascii="Times New Roman" w:hAnsi="Times New Roman" w:eastAsia="楷体" w:cs="Times New Roman"/>
          <w:color w:val="auto"/>
          <w:sz w:val="36"/>
          <w:szCs w:val="36"/>
          <w:highlight w:val="none"/>
        </w:rPr>
        <w:t>中华人民共和国生态环境部制</w:t>
      </w:r>
    </w:p>
    <w:p w14:paraId="31C73818">
      <w:pPr>
        <w:adjustRightInd w:val="0"/>
        <w:snapToGrid w:val="0"/>
        <w:spacing w:line="288" w:lineRule="auto"/>
        <w:rPr>
          <w:rFonts w:hint="default" w:ascii="Times New Roman" w:hAnsi="Times New Roman" w:cs="Times New Roman"/>
          <w:color w:val="auto"/>
          <w:sz w:val="36"/>
          <w:szCs w:val="36"/>
          <w:highlight w:val="none"/>
        </w:rPr>
      </w:pPr>
      <w:r>
        <w:rPr>
          <w:rFonts w:hint="default" w:ascii="Times New Roman" w:hAnsi="Times New Roman" w:cs="Times New Roman"/>
          <w:color w:val="auto"/>
          <w:sz w:val="36"/>
          <w:szCs w:val="36"/>
          <w:highlight w:val="none"/>
        </w:rPr>
        <w:br w:type="page"/>
      </w:r>
    </w:p>
    <w:p w14:paraId="7F584447">
      <w:pPr>
        <w:adjustRightInd w:val="0"/>
        <w:snapToGrid w:val="0"/>
        <w:spacing w:line="288" w:lineRule="auto"/>
        <w:jc w:val="both"/>
        <w:rPr>
          <w:rFonts w:hint="default" w:ascii="Times New Roman" w:hAnsi="Times New Roman" w:eastAsia="宋体" w:cs="Times New Roman"/>
          <w:color w:val="auto"/>
          <w:sz w:val="36"/>
          <w:szCs w:val="36"/>
          <w:highlight w:val="none"/>
          <w:lang w:eastAsia="zh-CN"/>
        </w:rPr>
      </w:pPr>
    </w:p>
    <w:p w14:paraId="1A26CC95">
      <w:pPr>
        <w:adjustRightInd w:val="0"/>
        <w:snapToGrid w:val="0"/>
        <w:spacing w:line="288" w:lineRule="auto"/>
        <w:jc w:val="both"/>
        <w:rPr>
          <w:rFonts w:hint="default" w:ascii="Times New Roman" w:hAnsi="Times New Roman" w:eastAsia="宋体" w:cs="Times New Roman"/>
          <w:color w:val="auto"/>
          <w:sz w:val="36"/>
          <w:szCs w:val="36"/>
          <w:highlight w:val="none"/>
          <w:lang w:eastAsia="zh-CN"/>
        </w:rPr>
        <w:sectPr>
          <w:footerReference r:id="rId3" w:type="even"/>
          <w:pgSz w:w="11906" w:h="16838"/>
          <w:pgMar w:top="1440" w:right="1800" w:bottom="1440" w:left="1800" w:header="851" w:footer="1077" w:gutter="0"/>
          <w:pgNumType w:start="1"/>
          <w:cols w:space="720" w:num="1"/>
          <w:docGrid w:linePitch="312" w:charSpace="0"/>
        </w:sectPr>
      </w:pPr>
      <w:r>
        <w:drawing>
          <wp:inline distT="0" distB="0" distL="114300" distR="114300">
            <wp:extent cx="5269865" cy="6770370"/>
            <wp:effectExtent l="0" t="0" r="6985" b="1143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8"/>
                    <a:stretch>
                      <a:fillRect/>
                    </a:stretch>
                  </pic:blipFill>
                  <pic:spPr>
                    <a:xfrm>
                      <a:off x="0" y="0"/>
                      <a:ext cx="5269865" cy="6770370"/>
                    </a:xfrm>
                    <a:prstGeom prst="rect">
                      <a:avLst/>
                    </a:prstGeom>
                    <a:noFill/>
                    <a:ln>
                      <a:noFill/>
                    </a:ln>
                  </pic:spPr>
                </pic:pic>
              </a:graphicData>
            </a:graphic>
          </wp:inline>
        </w:drawing>
      </w:r>
    </w:p>
    <w:p w14:paraId="556D10B6">
      <w:pPr>
        <w:adjustRightInd w:val="0"/>
        <w:snapToGrid w:val="0"/>
        <w:spacing w:before="120" w:beforeLines="50" w:after="120" w:afterLines="50" w:line="600" w:lineRule="exact"/>
        <w:ind w:firstLine="723"/>
        <w:jc w:val="center"/>
        <w:rPr>
          <w:rFonts w:hint="default" w:ascii="Times New Roman" w:hAnsi="Times New Roman" w:cs="Times New Roman"/>
          <w:b/>
          <w:color w:val="auto"/>
          <w:sz w:val="36"/>
          <w:szCs w:val="30"/>
          <w:highlight w:val="none"/>
        </w:rPr>
      </w:pPr>
      <w:r>
        <w:rPr>
          <w:rFonts w:hint="default" w:ascii="Times New Roman" w:hAnsi="Times New Roman" w:cs="Times New Roman"/>
          <w:b/>
          <w:color w:val="auto"/>
          <w:sz w:val="36"/>
          <w:szCs w:val="30"/>
          <w:highlight w:val="none"/>
        </w:rPr>
        <w:t>目录</w:t>
      </w:r>
    </w:p>
    <w:sdt>
      <w:sdtPr>
        <w:rPr>
          <w:rFonts w:hint="default" w:ascii="Times New Roman" w:hAnsi="Times New Roman" w:eastAsia="宋体" w:cs="Times New Roman"/>
          <w:kern w:val="2"/>
          <w:sz w:val="21"/>
          <w:szCs w:val="24"/>
          <w:highlight w:val="none"/>
          <w:lang w:val="en-US" w:eastAsia="zh-CN" w:bidi="ar-SA"/>
        </w:rPr>
        <w:id w:val="147477517"/>
        <w15:color w:val="DBDBDB"/>
        <w:docPartObj>
          <w:docPartGallery w:val="Table of Contents"/>
          <w:docPartUnique/>
        </w:docPartObj>
      </w:sdtPr>
      <w:sdtEndPr>
        <w:rPr>
          <w:rFonts w:hint="default" w:ascii="Times New Roman" w:hAnsi="Times New Roman" w:eastAsia="黑体" w:cs="Times New Roman"/>
          <w:bCs/>
          <w:color w:val="auto"/>
          <w:kern w:val="2"/>
          <w:sz w:val="21"/>
          <w:szCs w:val="24"/>
          <w:highlight w:val="none"/>
          <w:lang w:val="en-US" w:eastAsia="zh-CN" w:bidi="ar-SA"/>
        </w:rPr>
      </w:sdtEndPr>
      <w:sdtContent>
        <w:p w14:paraId="704D0378">
          <w:pPr>
            <w:spacing w:before="0" w:beforeLines="0" w:after="0" w:afterLines="0" w:line="240" w:lineRule="auto"/>
            <w:ind w:left="0" w:leftChars="0" w:right="0" w:rightChars="0" w:firstLine="0" w:firstLineChars="0"/>
            <w:jc w:val="center"/>
            <w:rPr>
              <w:rFonts w:hint="default" w:ascii="Times New Roman" w:hAnsi="Times New Roman" w:cs="Times New Roman"/>
              <w:highlight w:val="none"/>
            </w:rPr>
          </w:pPr>
        </w:p>
        <w:p w14:paraId="6C6DD3B5">
          <w:pPr>
            <w:pStyle w:val="18"/>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highlight w:val="none"/>
            </w:rPr>
            <w:fldChar w:fldCharType="begin"/>
          </w:r>
          <w:r>
            <w:rPr>
              <w:rFonts w:hint="default" w:ascii="Times New Roman" w:hAnsi="Times New Roman" w:eastAsia="黑体" w:cs="Times New Roman"/>
              <w:bCs/>
              <w:color w:val="auto"/>
              <w:sz w:val="24"/>
              <w:highlight w:val="none"/>
            </w:rPr>
            <w:instrText xml:space="preserve">TOC \o "1-2" \h \u </w:instrText>
          </w:r>
          <w:r>
            <w:rPr>
              <w:rFonts w:hint="default" w:ascii="Times New Roman" w:hAnsi="Times New Roman" w:eastAsia="黑体" w:cs="Times New Roman"/>
              <w:bCs/>
              <w:color w:val="auto"/>
              <w:sz w:val="24"/>
              <w:highlight w:val="none"/>
            </w:rPr>
            <w:fldChar w:fldCharType="separate"/>
          </w: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_Toc27124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一、建设项目基本情况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_Toc27124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346F7CB3">
          <w:pPr>
            <w:pStyle w:val="18"/>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_Toc18636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二、建设内容</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_Toc18636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30</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7B6601BB">
          <w:pPr>
            <w:pStyle w:val="18"/>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_Toc25901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三、生态环境现状、保护目标及评价标准</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_Toc25901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58</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61BC2AD5">
          <w:pPr>
            <w:pStyle w:val="18"/>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_Toc32128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四、生态环境影响分析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_Toc32128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71</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30B9BA3E">
          <w:pPr>
            <w:pStyle w:val="18"/>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_Toc25490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五、主要生态环境保护措施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_Toc25490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91</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1DCF4599">
          <w:pPr>
            <w:pStyle w:val="18"/>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_Toc32237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六、生态环境保护措施监督检查清单</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_Toc32237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106</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52EE857E">
          <w:pPr>
            <w:pStyle w:val="18"/>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_Toc31771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七、结论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_Toc31771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108</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35990741">
          <w:pPr>
            <w:pStyle w:val="18"/>
            <w:tabs>
              <w:tab w:val="right" w:leader="dot" w:pos="8844"/>
            </w:tabs>
            <w:spacing w:line="360" w:lineRule="auto"/>
            <w:rPr>
              <w:rFonts w:hint="default" w:ascii="Times New Roman" w:hAnsi="Times New Roman" w:eastAsia="黑体" w:cs="Times New Roman"/>
              <w:bCs/>
              <w:color w:val="auto"/>
              <w:sz w:val="24"/>
              <w:szCs w:val="24"/>
              <w:highlight w:val="none"/>
            </w:rPr>
          </w:pPr>
        </w:p>
        <w:p w14:paraId="41E56FEB">
          <w:pPr>
            <w:pStyle w:val="18"/>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_Toc16641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附图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_Toc16641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109</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6134F19C">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_Toc32368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附图1</w:t>
          </w:r>
          <w:r>
            <w:rPr>
              <w:rFonts w:hint="default" w:ascii="Times New Roman" w:hAnsi="Times New Roman" w:cs="Times New Roman"/>
              <w:sz w:val="24"/>
              <w:szCs w:val="24"/>
              <w:highlight w:val="none"/>
              <w:lang w:val="en-US" w:eastAsia="zh-CN"/>
            </w:rPr>
            <w:t xml:space="preserve">  </w:t>
          </w:r>
          <w:r>
            <w:rPr>
              <w:rFonts w:hint="default" w:ascii="Times New Roman" w:hAnsi="Times New Roman" w:cs="Times New Roman"/>
              <w:sz w:val="24"/>
              <w:szCs w:val="24"/>
              <w:highlight w:val="none"/>
            </w:rPr>
            <w:t>地理位置示意图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_Toc32368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109</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1576E5F1">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_Toc626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3（1）  施工</w:t>
          </w:r>
          <w:r>
            <w:rPr>
              <w:rFonts w:hint="default" w:ascii="Times New Roman" w:hAnsi="Times New Roman" w:cs="Times New Roman"/>
              <w:bCs/>
              <w:sz w:val="24"/>
              <w:szCs w:val="24"/>
              <w:highlight w:val="none"/>
            </w:rPr>
            <w:t>平面布置图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_Toc626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111</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3D12D7DC">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_Toc24432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附图</w:t>
          </w:r>
          <w:r>
            <w:rPr>
              <w:rFonts w:hint="default" w:ascii="Times New Roman" w:hAnsi="Times New Roman" w:cs="Times New Roman"/>
              <w:sz w:val="24"/>
              <w:szCs w:val="24"/>
              <w:highlight w:val="none"/>
              <w:lang w:val="en-US" w:eastAsia="zh-CN"/>
            </w:rPr>
            <w:t>3（2）  施工</w:t>
          </w:r>
          <w:r>
            <w:rPr>
              <w:rFonts w:hint="default" w:ascii="Times New Roman" w:hAnsi="Times New Roman" w:cs="Times New Roman"/>
              <w:sz w:val="24"/>
              <w:szCs w:val="24"/>
              <w:highlight w:val="none"/>
            </w:rPr>
            <w:t>平面布置图</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lang w:val="en-US" w:eastAsia="zh-CN"/>
            </w:rPr>
            <w:t>放大</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_Toc24432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112</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4053E4C7">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_Toc29594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附图</w:t>
          </w:r>
          <w:r>
            <w:rPr>
              <w:rFonts w:hint="default" w:ascii="Times New Roman" w:hAnsi="Times New Roman" w:cs="Times New Roman"/>
              <w:sz w:val="24"/>
              <w:szCs w:val="24"/>
              <w:highlight w:val="none"/>
              <w:lang w:val="en-US" w:eastAsia="zh-CN"/>
            </w:rPr>
            <w:t>3（3）  施工</w:t>
          </w:r>
          <w:r>
            <w:rPr>
              <w:rFonts w:hint="default" w:ascii="Times New Roman" w:hAnsi="Times New Roman" w:cs="Times New Roman"/>
              <w:sz w:val="24"/>
              <w:szCs w:val="24"/>
              <w:highlight w:val="none"/>
            </w:rPr>
            <w:t>平面布置图</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lang w:val="en-US" w:eastAsia="zh-CN"/>
            </w:rPr>
            <w:t>放大</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_Toc29594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113</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25B4C132">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_Toc17180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附图</w:t>
          </w:r>
          <w:r>
            <w:rPr>
              <w:rFonts w:hint="default" w:ascii="Times New Roman" w:hAnsi="Times New Roman" w:cs="Times New Roman"/>
              <w:sz w:val="24"/>
              <w:szCs w:val="24"/>
              <w:highlight w:val="none"/>
              <w:lang w:val="en-US" w:eastAsia="zh-CN"/>
            </w:rPr>
            <w:t>4  施工生产生活区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_Toc17180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114</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4B209739">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_Toc18497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5（1）  1号堤防排水分区布置图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_Toc18497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115</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568BC070">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_Toc22214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5（2）  2号堤防排水分区布置图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_Toc22214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116</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20EDEE94">
          <w:pPr>
            <w:pStyle w:val="20"/>
            <w:tabs>
              <w:tab w:val="right" w:leader="dot" w:pos="8844"/>
            </w:tabs>
            <w:spacing w:line="360" w:lineRule="auto"/>
            <w:rPr>
              <w:rFonts w:hint="eastAsia" w:ascii="Times New Roman" w:hAnsi="Times New Roman" w:eastAsia="黑体" w:cs="Times New Roman"/>
              <w:bCs/>
              <w:color w:val="auto"/>
              <w:sz w:val="24"/>
              <w:szCs w:val="24"/>
              <w:highlight w:val="none"/>
              <w:lang w:val="en-US" w:eastAsia="zh-CN"/>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_Toc9869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5（</w:t>
          </w:r>
          <w:r>
            <w:rPr>
              <w:rFonts w:hint="eastAsia" w:cs="Times New Roman"/>
              <w:sz w:val="24"/>
              <w:szCs w:val="24"/>
              <w:highlight w:val="none"/>
              <w:lang w:val="en-US" w:eastAsia="zh-CN"/>
            </w:rPr>
            <w:t>3</w:t>
          </w:r>
          <w:r>
            <w:rPr>
              <w:rFonts w:hint="default" w:ascii="Times New Roman" w:hAnsi="Times New Roman" w:cs="Times New Roman"/>
              <w:sz w:val="24"/>
              <w:szCs w:val="24"/>
              <w:highlight w:val="none"/>
              <w:lang w:val="en-US" w:eastAsia="zh-CN"/>
            </w:rPr>
            <w:t>）  4号堤防排水分区布置图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_Toc9869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118</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r>
            <w:rPr>
              <w:rFonts w:hint="eastAsia" w:eastAsia="黑体" w:cs="Times New Roman"/>
              <w:bCs/>
              <w:color w:val="auto"/>
              <w:sz w:val="24"/>
              <w:szCs w:val="24"/>
              <w:highlight w:val="none"/>
              <w:lang w:val="en-US" w:eastAsia="zh-CN"/>
            </w:rPr>
            <w:t>2</w:t>
          </w:r>
        </w:p>
        <w:p w14:paraId="1FAE6442">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_Toc9869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5（4）  4号堤防排水分区布置图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_Toc9869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118</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3C3ED5CB">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_Toc1447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5（5）  5号堤防排水分区布置图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_Toc1447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119</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616ACB99">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_Toc31672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 xml:space="preserve">6（1）  </w:t>
          </w:r>
          <w:r>
            <w:rPr>
              <w:rFonts w:hint="default" w:ascii="Times New Roman" w:hAnsi="Times New Roman" w:cs="Times New Roman"/>
              <w:sz w:val="24"/>
              <w:szCs w:val="24"/>
              <w:highlight w:val="none"/>
              <w:lang w:eastAsia="zh-CN"/>
            </w:rPr>
            <w:t>典型设计图</w:t>
          </w:r>
          <w:r>
            <w:rPr>
              <w:rFonts w:hint="default" w:ascii="Times New Roman" w:hAnsi="Times New Roman" w:cs="Times New Roman"/>
              <w:sz w:val="24"/>
              <w:szCs w:val="24"/>
              <w:highlight w:val="none"/>
              <w:lang w:val="en-US" w:eastAsia="zh-CN"/>
            </w:rPr>
            <w:t>—直立墙与土堤衔接设计图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_Toc31672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120</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721593CA">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_Toc9045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 xml:space="preserve">6（2）  </w:t>
          </w:r>
          <w:r>
            <w:rPr>
              <w:rFonts w:hint="default" w:ascii="Times New Roman" w:hAnsi="Times New Roman" w:cs="Times New Roman"/>
              <w:sz w:val="24"/>
              <w:szCs w:val="24"/>
              <w:highlight w:val="none"/>
              <w:lang w:eastAsia="zh-CN"/>
            </w:rPr>
            <w:t>典型设计图</w:t>
          </w:r>
          <w:r>
            <w:rPr>
              <w:rFonts w:hint="default" w:ascii="Times New Roman" w:hAnsi="Times New Roman" w:cs="Times New Roman"/>
              <w:sz w:val="24"/>
              <w:szCs w:val="24"/>
              <w:highlight w:val="none"/>
              <w:lang w:val="en-US" w:eastAsia="zh-CN"/>
            </w:rPr>
            <w:t>—上堤路设计图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_Toc9045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121</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53E49DDE">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_Toc832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 xml:space="preserve">6（3）  </w:t>
          </w:r>
          <w:r>
            <w:rPr>
              <w:rFonts w:hint="default" w:ascii="Times New Roman" w:hAnsi="Times New Roman" w:cs="Times New Roman"/>
              <w:sz w:val="24"/>
              <w:szCs w:val="24"/>
              <w:highlight w:val="none"/>
              <w:lang w:eastAsia="zh-CN"/>
            </w:rPr>
            <w:t>典型设计图</w:t>
          </w:r>
          <w:r>
            <w:rPr>
              <w:rFonts w:hint="default" w:ascii="Times New Roman" w:hAnsi="Times New Roman" w:cs="Times New Roman"/>
              <w:sz w:val="24"/>
              <w:szCs w:val="24"/>
              <w:highlight w:val="none"/>
              <w:lang w:val="en-US" w:eastAsia="zh-CN"/>
            </w:rPr>
            <w:t>—防洪墙设计图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_Toc832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122</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60858208">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_Toc17066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 xml:space="preserve">6（4）  </w:t>
          </w:r>
          <w:r>
            <w:rPr>
              <w:rFonts w:hint="default" w:ascii="Times New Roman" w:hAnsi="Times New Roman" w:cs="Times New Roman"/>
              <w:sz w:val="24"/>
              <w:szCs w:val="24"/>
              <w:highlight w:val="none"/>
              <w:lang w:eastAsia="zh-CN"/>
            </w:rPr>
            <w:t>典型设计图</w:t>
          </w:r>
          <w:r>
            <w:rPr>
              <w:rFonts w:hint="default" w:ascii="Times New Roman" w:hAnsi="Times New Roman" w:cs="Times New Roman"/>
              <w:sz w:val="24"/>
              <w:szCs w:val="24"/>
              <w:highlight w:val="none"/>
              <w:lang w:val="en-US" w:eastAsia="zh-CN"/>
            </w:rPr>
            <w:t>—堤防设计图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_Toc17066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123</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27FF1B64">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_Toc31903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 xml:space="preserve">6（5）  </w:t>
          </w:r>
          <w:r>
            <w:rPr>
              <w:rFonts w:hint="default" w:ascii="Times New Roman" w:hAnsi="Times New Roman" w:cs="Times New Roman"/>
              <w:sz w:val="24"/>
              <w:szCs w:val="24"/>
              <w:highlight w:val="none"/>
              <w:lang w:eastAsia="zh-CN"/>
            </w:rPr>
            <w:t>典型设计图</w:t>
          </w:r>
          <w:r>
            <w:rPr>
              <w:rFonts w:hint="default" w:ascii="Times New Roman" w:hAnsi="Times New Roman" w:cs="Times New Roman"/>
              <w:sz w:val="24"/>
              <w:szCs w:val="24"/>
              <w:highlight w:val="none"/>
              <w:lang w:val="en-US" w:eastAsia="zh-CN"/>
            </w:rPr>
            <w:t>—护岸横断面设计图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_Toc31903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124</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1B33D24F">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_Toc25879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7（1）  评价范围及环境保护目标分布图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_Toc25879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125</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22CAB64F">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_Toc11223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7（2）  评价范围及环境保护目标分布图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_Toc11223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126</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1E4B5E6A">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_Toc19847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 xml:space="preserve">8  </w:t>
          </w:r>
          <w:r>
            <w:rPr>
              <w:rFonts w:hint="default" w:ascii="Times New Roman" w:hAnsi="Times New Roman" w:cs="Times New Roman"/>
              <w:sz w:val="24"/>
              <w:szCs w:val="24"/>
              <w:highlight w:val="none"/>
              <w:lang w:eastAsia="zh-CN"/>
            </w:rPr>
            <w:t>工程所在流域水系图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_Toc19847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127</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43592E94">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_Toc25434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default" w:ascii="Times New Roman" w:hAnsi="Times New Roman" w:cs="Times New Roman"/>
              <w:sz w:val="24"/>
              <w:szCs w:val="24"/>
              <w:highlight w:val="none"/>
              <w:lang w:val="en-US" w:eastAsia="zh-CN"/>
            </w:rPr>
            <w:t xml:space="preserve">9  </w:t>
          </w:r>
          <w:r>
            <w:rPr>
              <w:rFonts w:hint="default" w:ascii="Times New Roman" w:hAnsi="Times New Roman" w:cs="Times New Roman"/>
              <w:sz w:val="24"/>
              <w:szCs w:val="24"/>
              <w:highlight w:val="none"/>
              <w:lang w:eastAsia="zh-CN"/>
            </w:rPr>
            <w:t>典型生态措施分布图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_Toc25434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128</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6A050128">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_Toc23339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 xml:space="preserve"> </w:t>
          </w:r>
          <w:r>
            <w:rPr>
              <w:rFonts w:hint="default" w:ascii="Times New Roman" w:hAnsi="Times New Roman" w:cs="Times New Roman"/>
              <w:bCs/>
              <w:sz w:val="24"/>
              <w:szCs w:val="24"/>
              <w:highlight w:val="none"/>
              <w:lang w:val="en-US" w:eastAsia="zh-CN"/>
            </w:rPr>
            <w:t>附</w:t>
          </w:r>
          <w:r>
            <w:rPr>
              <w:rFonts w:hint="default" w:ascii="Times New Roman" w:hAnsi="Times New Roman" w:eastAsia="宋体" w:cs="Times New Roman"/>
              <w:bCs/>
              <w:sz w:val="24"/>
              <w:szCs w:val="24"/>
              <w:highlight w:val="none"/>
              <w:lang w:val="en-US" w:eastAsia="zh-CN"/>
            </w:rPr>
            <w:t>图</w:t>
          </w:r>
          <w:r>
            <w:rPr>
              <w:rFonts w:hint="default" w:ascii="Times New Roman" w:hAnsi="Times New Roman" w:cs="Times New Roman"/>
              <w:bCs/>
              <w:sz w:val="24"/>
              <w:szCs w:val="24"/>
              <w:highlight w:val="none"/>
              <w:lang w:val="en-US" w:eastAsia="zh-CN"/>
            </w:rPr>
            <w:t>10  生态监测布点图</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_Toc23339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129</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075092A7">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_Toc23954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val="en-US" w:eastAsia="zh-CN"/>
            </w:rPr>
            <w:t>附图11  现场照片</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_Toc23954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131</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108B56F0">
          <w:pPr>
            <w:pStyle w:val="18"/>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_Toc12433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附件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_Toc12433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132</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16D6740D">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_Toc6044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val="en-US" w:eastAsia="zh-CN"/>
            </w:rPr>
            <w:t>附件1 关于黑龙江省庆安县欧根河治理工程初步设计报告的批复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_Toc6044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132</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7418F6F2">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_Toc5137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val="en-US" w:eastAsia="zh-CN"/>
            </w:rPr>
            <w:t>附件2 关于黑龙江省根河治理方案的批复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_Toc5137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134</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74E63805">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_Toc21729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val="en-US" w:eastAsia="zh-CN"/>
            </w:rPr>
            <w:t>附件3 关于加强"十五五"期间中小河流治理前期工作有关要求的通知</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_Toc21729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136</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104E56B5">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_Toc20247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val="en-US" w:eastAsia="zh-CN"/>
            </w:rPr>
            <w:t>附件4 生态环境分区管控报告</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_Toc20247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146</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63CD0314">
          <w:pPr>
            <w:pStyle w:val="20"/>
            <w:tabs>
              <w:tab w:val="right" w:leader="dot" w:pos="8844"/>
            </w:tabs>
            <w:spacing w:line="360" w:lineRule="auto"/>
            <w:rPr>
              <w:rFonts w:hint="default" w:ascii="Times New Roman" w:hAnsi="Times New Roman" w:cs="Times New Roman"/>
              <w:sz w:val="24"/>
              <w:szCs w:val="24"/>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_Toc19699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val="en-US" w:eastAsia="zh-CN"/>
            </w:rPr>
            <w:t>附件5 关于弃土说明</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_Toc19699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164</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7ED97E91">
          <w:pPr>
            <w:pStyle w:val="20"/>
            <w:tabs>
              <w:tab w:val="right" w:leader="dot" w:pos="8844"/>
            </w:tabs>
            <w:spacing w:line="360" w:lineRule="auto"/>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_Toc26261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val="en-US" w:eastAsia="zh-CN"/>
            </w:rPr>
            <w:t>附件6关于用地范围不占用永久基本农田的情况说明</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_Toc26261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165</w:t>
          </w:r>
          <w:r>
            <w:rPr>
              <w:rFonts w:hint="default" w:ascii="Times New Roman" w:hAnsi="Times New Roman" w:cs="Times New Roman"/>
              <w:sz w:val="24"/>
              <w:szCs w:val="24"/>
            </w:rPr>
            <w:fldChar w:fldCharType="end"/>
          </w:r>
          <w:r>
            <w:rPr>
              <w:rFonts w:hint="default" w:ascii="Times New Roman" w:hAnsi="Times New Roman" w:eastAsia="黑体" w:cs="Times New Roman"/>
              <w:bCs/>
              <w:color w:val="auto"/>
              <w:sz w:val="24"/>
              <w:szCs w:val="24"/>
              <w:highlight w:val="none"/>
            </w:rPr>
            <w:fldChar w:fldCharType="end"/>
          </w:r>
        </w:p>
        <w:p w14:paraId="7848E6A3">
          <w:pPr>
            <w:adjustRightInd w:val="0"/>
            <w:snapToGrid w:val="0"/>
            <w:spacing w:before="120" w:beforeLines="50" w:after="120" w:afterLines="50" w:line="600" w:lineRule="exact"/>
            <w:ind w:firstLine="480"/>
            <w:jc w:val="center"/>
            <w:rPr>
              <w:rFonts w:hint="default" w:ascii="Times New Roman" w:hAnsi="Times New Roman" w:eastAsia="黑体" w:cs="Times New Roman"/>
              <w:bCs/>
              <w:color w:val="auto"/>
              <w:kern w:val="2"/>
              <w:sz w:val="21"/>
              <w:szCs w:val="24"/>
              <w:highlight w:val="none"/>
              <w:lang w:val="en-US" w:eastAsia="zh-CN" w:bidi="ar-SA"/>
            </w:rPr>
            <w:sectPr>
              <w:footerReference r:id="rId4" w:type="default"/>
              <w:pgSz w:w="11906" w:h="16838"/>
              <w:pgMar w:top="1701" w:right="1531" w:bottom="1701" w:left="1531" w:header="851" w:footer="1077" w:gutter="0"/>
              <w:pgNumType w:fmt="upperRoman" w:start="1"/>
              <w:cols w:space="720" w:num="1"/>
              <w:docGrid w:linePitch="312" w:charSpace="0"/>
            </w:sectPr>
          </w:pPr>
          <w:r>
            <w:rPr>
              <w:rFonts w:hint="default" w:ascii="Times New Roman" w:hAnsi="Times New Roman" w:eastAsia="黑体" w:cs="Times New Roman"/>
              <w:bCs/>
              <w:color w:val="auto"/>
              <w:highlight w:val="none"/>
            </w:rPr>
            <w:fldChar w:fldCharType="end"/>
          </w:r>
        </w:p>
      </w:sdtContent>
    </w:sdt>
    <w:p w14:paraId="4953ED78">
      <w:pPr>
        <w:pStyle w:val="34"/>
        <w:rPr>
          <w:rFonts w:hint="default" w:ascii="Times New Roman" w:hAnsi="Times New Roman" w:cs="Times New Roman"/>
          <w:highlight w:val="none"/>
        </w:rPr>
      </w:pPr>
    </w:p>
    <w:p w14:paraId="0C2AF76D">
      <w:pPr>
        <w:pStyle w:val="2"/>
        <w:bidi w:val="0"/>
        <w:jc w:val="center"/>
        <w:rPr>
          <w:rFonts w:hint="default" w:ascii="Times New Roman" w:hAnsi="Times New Roman" w:eastAsia="宋体" w:cs="Times New Roman"/>
          <w:highlight w:val="none"/>
        </w:rPr>
      </w:pPr>
      <w:bookmarkStart w:id="5" w:name="_Toc27124"/>
      <w:bookmarkStart w:id="6" w:name="_Toc27584"/>
      <w:r>
        <w:rPr>
          <w:rFonts w:hint="default" w:ascii="Times New Roman" w:hAnsi="Times New Roman" w:eastAsia="宋体" w:cs="Times New Roman"/>
          <w:highlight w:val="none"/>
        </w:rPr>
        <w:t>一、建设项目基本情况</w:t>
      </w:r>
      <w:bookmarkEnd w:id="5"/>
      <w:bookmarkEnd w:id="6"/>
    </w:p>
    <w:tbl>
      <w:tblPr>
        <w:tblStyle w:val="25"/>
        <w:tblW w:w="4989"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53"/>
        <w:gridCol w:w="1839"/>
        <w:gridCol w:w="1809"/>
        <w:gridCol w:w="4250"/>
      </w:tblGrid>
      <w:tr w14:paraId="59C481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c>
          <w:tcPr>
            <w:tcW w:w="538" w:type="pct"/>
            <w:tcBorders>
              <w:top w:val="single" w:color="auto" w:sz="8"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84D7B7C">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建设项目名称</w:t>
            </w:r>
          </w:p>
        </w:tc>
        <w:tc>
          <w:tcPr>
            <w:tcW w:w="4461" w:type="pct"/>
            <w:gridSpan w:val="3"/>
            <w:tcBorders>
              <w:top w:val="single" w:color="auto" w:sz="8" w:space="0"/>
              <w:left w:val="nil"/>
              <w:bottom w:val="single" w:color="auto" w:sz="4" w:space="0"/>
              <w:right w:val="single" w:color="auto" w:sz="8" w:space="0"/>
            </w:tcBorders>
            <w:noWrap w:val="0"/>
            <w:vAlign w:val="center"/>
          </w:tcPr>
          <w:p w14:paraId="652C35DC">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黑龙江省庆安县欧根河治理工程</w:t>
            </w:r>
          </w:p>
        </w:tc>
      </w:tr>
      <w:tr w14:paraId="2B2497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2AEB583C">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项目代码</w:t>
            </w:r>
          </w:p>
        </w:tc>
        <w:tc>
          <w:tcPr>
            <w:tcW w:w="4461" w:type="pct"/>
            <w:gridSpan w:val="3"/>
            <w:tcBorders>
              <w:top w:val="single" w:color="auto" w:sz="4" w:space="0"/>
              <w:left w:val="nil"/>
              <w:bottom w:val="single" w:color="auto" w:sz="4" w:space="0"/>
              <w:right w:val="single" w:color="auto" w:sz="8" w:space="0"/>
            </w:tcBorders>
            <w:noWrap w:val="0"/>
            <w:vAlign w:val="center"/>
          </w:tcPr>
          <w:p w14:paraId="22CC356D">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2605</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231224</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04</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01</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178786</w:t>
            </w:r>
          </w:p>
        </w:tc>
      </w:tr>
      <w:tr w14:paraId="1BF411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8" w:space="0"/>
              <w:left w:val="single" w:color="auto" w:sz="8" w:space="0"/>
              <w:bottom w:val="single" w:color="auto" w:sz="8" w:space="0"/>
              <w:right w:val="single" w:color="auto" w:sz="4" w:space="0"/>
            </w:tcBorders>
            <w:noWrap w:val="0"/>
            <w:tcMar>
              <w:top w:w="16" w:type="dxa"/>
              <w:left w:w="16" w:type="dxa"/>
              <w:bottom w:w="0" w:type="dxa"/>
              <w:right w:w="16" w:type="dxa"/>
            </w:tcMar>
            <w:vAlign w:val="center"/>
          </w:tcPr>
          <w:p w14:paraId="21592179">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建设单位联系人</w:t>
            </w:r>
          </w:p>
        </w:tc>
        <w:tc>
          <w:tcPr>
            <w:tcW w:w="1038" w:type="pct"/>
            <w:tcBorders>
              <w:top w:val="single" w:color="auto" w:sz="8" w:space="0"/>
              <w:left w:val="nil"/>
              <w:bottom w:val="single" w:color="auto" w:sz="8" w:space="0"/>
              <w:right w:val="single" w:color="auto" w:sz="4" w:space="0"/>
            </w:tcBorders>
            <w:noWrap w:val="0"/>
            <w:vAlign w:val="center"/>
          </w:tcPr>
          <w:p w14:paraId="669AFC3A">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杜军羽</w:t>
            </w:r>
          </w:p>
        </w:tc>
        <w:tc>
          <w:tcPr>
            <w:tcW w:w="1021" w:type="pct"/>
            <w:tcBorders>
              <w:top w:val="single" w:color="auto" w:sz="8" w:space="0"/>
              <w:left w:val="nil"/>
              <w:bottom w:val="single" w:color="auto" w:sz="8" w:space="0"/>
              <w:right w:val="single" w:color="auto" w:sz="4" w:space="0"/>
            </w:tcBorders>
            <w:noWrap w:val="0"/>
            <w:vAlign w:val="center"/>
          </w:tcPr>
          <w:p w14:paraId="2D3171F6">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联系方式</w:t>
            </w:r>
          </w:p>
        </w:tc>
        <w:tc>
          <w:tcPr>
            <w:tcW w:w="2400" w:type="pct"/>
            <w:tcBorders>
              <w:top w:val="single" w:color="auto" w:sz="8" w:space="0"/>
              <w:left w:val="nil"/>
              <w:bottom w:val="single" w:color="auto" w:sz="8" w:space="0"/>
              <w:right w:val="single" w:color="auto" w:sz="8" w:space="0"/>
            </w:tcBorders>
            <w:noWrap w:val="0"/>
            <w:vAlign w:val="center"/>
          </w:tcPr>
          <w:p w14:paraId="6A79973E">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15636949678</w:t>
            </w:r>
          </w:p>
        </w:tc>
      </w:tr>
      <w:tr w14:paraId="052413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D12411D">
            <w:pPr>
              <w:adjustRightInd w:val="0"/>
              <w:snapToGrid w:val="0"/>
              <w:jc w:val="center"/>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建设地点</w:t>
            </w:r>
          </w:p>
        </w:tc>
        <w:tc>
          <w:tcPr>
            <w:tcW w:w="4461" w:type="pct"/>
            <w:gridSpan w:val="3"/>
            <w:tcBorders>
              <w:top w:val="single" w:color="auto" w:sz="4" w:space="0"/>
              <w:left w:val="nil"/>
              <w:bottom w:val="single" w:color="auto" w:sz="4" w:space="0"/>
              <w:right w:val="single" w:color="auto" w:sz="8" w:space="0"/>
            </w:tcBorders>
            <w:noWrap w:val="0"/>
            <w:vAlign w:val="center"/>
          </w:tcPr>
          <w:p w14:paraId="4A9E4644">
            <w:pPr>
              <w:adjustRightInd w:val="0"/>
              <w:snapToGrid w:val="0"/>
              <w:jc w:val="center"/>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黑龙江省绥化市庆安县</w:t>
            </w:r>
          </w:p>
        </w:tc>
      </w:tr>
      <w:tr w14:paraId="60E9D0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7E1183F4">
            <w:pPr>
              <w:adjustRightInd w:val="0"/>
              <w:snapToGrid w:val="0"/>
              <w:jc w:val="center"/>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地理坐标</w:t>
            </w:r>
          </w:p>
        </w:tc>
        <w:tc>
          <w:tcPr>
            <w:tcW w:w="4461" w:type="pct"/>
            <w:gridSpan w:val="3"/>
            <w:tcBorders>
              <w:top w:val="single" w:color="auto" w:sz="4" w:space="0"/>
              <w:left w:val="nil"/>
              <w:bottom w:val="single" w:color="auto" w:sz="4" w:space="0"/>
              <w:right w:val="single" w:color="auto" w:sz="8" w:space="0"/>
            </w:tcBorders>
            <w:noWrap w:val="0"/>
            <w:vAlign w:val="center"/>
          </w:tcPr>
          <w:p w14:paraId="75521278">
            <w:pPr>
              <w:numPr>
                <w:ilvl w:val="0"/>
                <w:numId w:val="0"/>
              </w:numPr>
              <w:adjustRightInd w:val="0"/>
              <w:snapToGrid w:val="0"/>
              <w:jc w:val="both"/>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治理河段1治理范围</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起点位于十六道岗水库下游，坐标为东经127</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55</w:t>
            </w:r>
            <w:r>
              <w:rPr>
                <w:rFonts w:hint="default" w:ascii="Times New Roman" w:hAnsi="Times New Roman" w:cs="Times New Roman"/>
                <w:color w:val="auto"/>
                <w:sz w:val="24"/>
                <w:highlight w:val="none"/>
                <w:u w:val="none"/>
                <w:lang w:eastAsia="zh-CN"/>
              </w:rPr>
              <w:t>ʹ</w:t>
            </w:r>
            <w:r>
              <w:rPr>
                <w:rFonts w:hint="default" w:ascii="Times New Roman" w:hAnsi="Times New Roman" w:eastAsia="宋体" w:cs="Times New Roman"/>
                <w:color w:val="auto"/>
                <w:sz w:val="24"/>
                <w:highlight w:val="none"/>
                <w:u w:val="none"/>
              </w:rPr>
              <w:t>09.21</w:t>
            </w:r>
            <w:r>
              <w:rPr>
                <w:rFonts w:hint="default" w:ascii="Times New Roman" w:hAnsi="Times New Roman" w:eastAsia="宋体" w:cs="Times New Roman"/>
                <w:color w:val="auto"/>
                <w:sz w:val="24"/>
                <w:highlight w:val="none"/>
                <w:u w:val="none"/>
                <w:lang w:val="en-US" w:eastAsia="zh-CN"/>
              </w:rPr>
              <w:t>0</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，北纬47</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14</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12.03</w:t>
            </w:r>
            <w:r>
              <w:rPr>
                <w:rFonts w:hint="default" w:ascii="Times New Roman" w:hAnsi="Times New Roman" w:eastAsia="宋体" w:cs="Times New Roman"/>
                <w:color w:val="auto"/>
                <w:sz w:val="24"/>
                <w:highlight w:val="none"/>
                <w:u w:val="none"/>
                <w:lang w:val="en-US" w:eastAsia="zh-CN"/>
              </w:rPr>
              <w:t>0</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，终点位于十四道岗处，坐标为东经127</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50</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41.07</w:t>
            </w:r>
            <w:r>
              <w:rPr>
                <w:rFonts w:hint="default" w:ascii="Times New Roman" w:hAnsi="Times New Roman" w:eastAsia="宋体" w:cs="Times New Roman"/>
                <w:color w:val="auto"/>
                <w:sz w:val="24"/>
                <w:highlight w:val="none"/>
                <w:u w:val="none"/>
                <w:lang w:val="en-US" w:eastAsia="zh-CN"/>
              </w:rPr>
              <w:t>0</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，北纬47</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13</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10.59</w:t>
            </w:r>
            <w:r>
              <w:rPr>
                <w:rFonts w:hint="default" w:ascii="Times New Roman" w:hAnsi="Times New Roman" w:eastAsia="宋体" w:cs="Times New Roman"/>
                <w:color w:val="auto"/>
                <w:sz w:val="24"/>
                <w:highlight w:val="none"/>
                <w:u w:val="none"/>
                <w:lang w:val="en-US" w:eastAsia="zh-CN"/>
              </w:rPr>
              <w:t>0</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w:t>
            </w:r>
          </w:p>
          <w:p w14:paraId="538A45DA">
            <w:pPr>
              <w:numPr>
                <w:ilvl w:val="0"/>
                <w:numId w:val="0"/>
              </w:numPr>
              <w:adjustRightInd w:val="0"/>
              <w:snapToGrid w:val="0"/>
              <w:jc w:val="both"/>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sz w:val="24"/>
                <w:highlight w:val="none"/>
                <w:u w:val="none"/>
              </w:rPr>
              <w:t>治理河段2治理范围</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起点位于十二道岗处，坐标为东经127</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45</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24.27</w:t>
            </w:r>
            <w:r>
              <w:rPr>
                <w:rFonts w:hint="default" w:ascii="Times New Roman" w:hAnsi="Times New Roman" w:eastAsia="宋体" w:cs="Times New Roman"/>
                <w:color w:val="auto"/>
                <w:sz w:val="24"/>
                <w:highlight w:val="none"/>
                <w:u w:val="none"/>
                <w:lang w:val="en-US" w:eastAsia="zh-CN"/>
              </w:rPr>
              <w:t>0</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，北纬47</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12</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22.64</w:t>
            </w:r>
            <w:r>
              <w:rPr>
                <w:rFonts w:hint="default" w:ascii="Times New Roman" w:hAnsi="Times New Roman" w:eastAsia="宋体" w:cs="Times New Roman"/>
                <w:color w:val="auto"/>
                <w:sz w:val="24"/>
                <w:highlight w:val="none"/>
                <w:u w:val="none"/>
                <w:lang w:val="en-US" w:eastAsia="zh-CN"/>
              </w:rPr>
              <w:t>0</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，终点位于北盖渠首，坐标为东经127</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33</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41.11</w:t>
            </w:r>
            <w:r>
              <w:rPr>
                <w:rFonts w:hint="default" w:ascii="Times New Roman" w:hAnsi="Times New Roman" w:eastAsia="宋体" w:cs="Times New Roman"/>
                <w:color w:val="auto"/>
                <w:sz w:val="24"/>
                <w:highlight w:val="none"/>
                <w:u w:val="none"/>
                <w:lang w:val="en-US" w:eastAsia="zh-CN"/>
              </w:rPr>
              <w:t>0</w:t>
            </w:r>
            <w:r>
              <w:rPr>
                <w:rFonts w:hint="default" w:ascii="Times New Roman" w:hAnsi="Times New Roman" w:eastAsia="宋体" w:cs="Times New Roman"/>
                <w:color w:val="auto"/>
                <w:sz w:val="24"/>
                <w:highlight w:val="none"/>
                <w:u w:val="none"/>
              </w:rPr>
              <w:t>″，北纬47</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06</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02.30</w:t>
            </w:r>
            <w:r>
              <w:rPr>
                <w:rFonts w:hint="default" w:ascii="Times New Roman" w:hAnsi="Times New Roman" w:eastAsia="宋体" w:cs="Times New Roman"/>
                <w:color w:val="auto"/>
                <w:sz w:val="24"/>
                <w:highlight w:val="none"/>
                <w:u w:val="none"/>
                <w:lang w:val="en-US" w:eastAsia="zh-CN"/>
              </w:rPr>
              <w:t>0</w:t>
            </w:r>
            <w:r>
              <w:rPr>
                <w:rFonts w:hint="default" w:ascii="Times New Roman" w:hAnsi="Times New Roman" w:eastAsia="宋体" w:cs="Times New Roman"/>
                <w:color w:val="auto"/>
                <w:sz w:val="24"/>
                <w:highlight w:val="none"/>
                <w:u w:val="none"/>
              </w:rPr>
              <w:t>″</w:t>
            </w:r>
            <w:r>
              <w:rPr>
                <w:rFonts w:hint="default" w:ascii="Times New Roman" w:hAnsi="Times New Roman" w:eastAsia="宋体" w:cs="Times New Roman"/>
                <w:color w:val="auto"/>
                <w:sz w:val="24"/>
                <w:highlight w:val="none"/>
                <w:u w:val="none"/>
                <w:lang w:eastAsia="zh-CN"/>
              </w:rPr>
              <w:t>。</w:t>
            </w:r>
          </w:p>
        </w:tc>
      </w:tr>
      <w:tr w14:paraId="19E4C8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689367A1">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建设项目行业类别</w:t>
            </w:r>
          </w:p>
        </w:tc>
        <w:tc>
          <w:tcPr>
            <w:tcW w:w="1038" w:type="pct"/>
            <w:tcBorders>
              <w:top w:val="single" w:color="auto" w:sz="4" w:space="0"/>
              <w:left w:val="nil"/>
              <w:bottom w:val="single" w:color="auto" w:sz="4" w:space="0"/>
              <w:right w:val="single" w:color="auto" w:sz="4" w:space="0"/>
            </w:tcBorders>
            <w:noWrap w:val="0"/>
            <w:vAlign w:val="center"/>
          </w:tcPr>
          <w:p w14:paraId="347412C8">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127、防洪除涝</w:t>
            </w:r>
          </w:p>
        </w:tc>
        <w:tc>
          <w:tcPr>
            <w:tcW w:w="1021" w:type="pct"/>
            <w:tcBorders>
              <w:top w:val="single" w:color="auto" w:sz="4" w:space="0"/>
              <w:left w:val="nil"/>
              <w:bottom w:val="single" w:color="auto" w:sz="4" w:space="0"/>
              <w:right w:val="single" w:color="auto" w:sz="4" w:space="0"/>
            </w:tcBorders>
            <w:noWrap w:val="0"/>
            <w:vAlign w:val="center"/>
          </w:tcPr>
          <w:p w14:paraId="7A47A90C">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用地（用海）面积（</w:t>
            </w:r>
            <w:r>
              <w:rPr>
                <w:rFonts w:hint="default" w:ascii="Times New Roman" w:hAnsi="Times New Roman" w:cs="Times New Roman"/>
                <w:color w:val="auto"/>
                <w:sz w:val="24"/>
                <w:highlight w:val="none"/>
                <w:lang w:eastAsia="zh-CN"/>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）/长度（k</w:t>
            </w:r>
            <w:r>
              <w:rPr>
                <w:rFonts w:hint="default" w:ascii="Times New Roman" w:hAnsi="Times New Roman" w:cs="Times New Roman"/>
                <w:color w:val="auto"/>
                <w:sz w:val="24"/>
                <w:highlight w:val="none"/>
                <w:lang w:eastAsia="zh-CN"/>
              </w:rPr>
              <w:t>m</w:t>
            </w:r>
            <w:r>
              <w:rPr>
                <w:rFonts w:hint="default" w:ascii="Times New Roman" w:hAnsi="Times New Roman" w:eastAsia="宋体" w:cs="Times New Roman"/>
                <w:color w:val="auto"/>
                <w:sz w:val="24"/>
                <w:highlight w:val="none"/>
              </w:rPr>
              <w:t>）</w:t>
            </w:r>
          </w:p>
        </w:tc>
        <w:tc>
          <w:tcPr>
            <w:tcW w:w="2400" w:type="pct"/>
            <w:tcBorders>
              <w:top w:val="single" w:color="auto" w:sz="4" w:space="0"/>
              <w:left w:val="nil"/>
              <w:bottom w:val="single" w:color="auto" w:sz="4" w:space="0"/>
              <w:right w:val="single" w:color="auto" w:sz="8" w:space="0"/>
            </w:tcBorders>
            <w:noWrap w:val="0"/>
            <w:vAlign w:val="center"/>
          </w:tcPr>
          <w:p w14:paraId="0BA04407">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583800</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39.57</w:t>
            </w:r>
          </w:p>
        </w:tc>
      </w:tr>
      <w:tr w14:paraId="7AB838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0C53965">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建设性质</w:t>
            </w:r>
          </w:p>
        </w:tc>
        <w:tc>
          <w:tcPr>
            <w:tcW w:w="1038" w:type="pct"/>
            <w:tcBorders>
              <w:top w:val="single" w:color="auto" w:sz="4" w:space="0"/>
              <w:left w:val="nil"/>
              <w:bottom w:val="single" w:color="auto" w:sz="4" w:space="0"/>
              <w:right w:val="single" w:color="auto" w:sz="4" w:space="0"/>
            </w:tcBorders>
            <w:noWrap w:val="0"/>
            <w:vAlign w:val="center"/>
          </w:tcPr>
          <w:p w14:paraId="79D132F7">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√新建（迁建）</w:t>
            </w:r>
          </w:p>
          <w:p w14:paraId="490C483A">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□改建</w:t>
            </w:r>
          </w:p>
          <w:p w14:paraId="4D09D2A7">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□扩建</w:t>
            </w:r>
          </w:p>
          <w:p w14:paraId="304E4753">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□技术改造</w:t>
            </w:r>
          </w:p>
        </w:tc>
        <w:tc>
          <w:tcPr>
            <w:tcW w:w="1021" w:type="pct"/>
            <w:tcBorders>
              <w:top w:val="single" w:color="auto" w:sz="4" w:space="0"/>
              <w:left w:val="nil"/>
              <w:bottom w:val="single" w:color="auto" w:sz="4" w:space="0"/>
              <w:right w:val="single" w:color="auto" w:sz="4" w:space="0"/>
            </w:tcBorders>
            <w:noWrap w:val="0"/>
            <w:vAlign w:val="center"/>
          </w:tcPr>
          <w:p w14:paraId="5A21CF36">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w:t>
            </w:r>
          </w:p>
          <w:p w14:paraId="047E4649">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申报情形</w:t>
            </w:r>
          </w:p>
        </w:tc>
        <w:tc>
          <w:tcPr>
            <w:tcW w:w="2400" w:type="pct"/>
            <w:tcBorders>
              <w:top w:val="single" w:color="auto" w:sz="4" w:space="0"/>
              <w:left w:val="nil"/>
              <w:bottom w:val="single" w:color="auto" w:sz="4" w:space="0"/>
              <w:right w:val="single" w:color="auto" w:sz="8" w:space="0"/>
            </w:tcBorders>
            <w:noWrap w:val="0"/>
            <w:vAlign w:val="center"/>
          </w:tcPr>
          <w:p w14:paraId="49B753F8">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√首次申报项目</w:t>
            </w:r>
          </w:p>
          <w:p w14:paraId="77BF32E6">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□不予批准后再次申报项目</w:t>
            </w:r>
          </w:p>
          <w:p w14:paraId="7FCAAB6F">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□超五年重新审核项目</w:t>
            </w:r>
          </w:p>
          <w:p w14:paraId="6737E360">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□重大变动重新报批项目</w:t>
            </w:r>
          </w:p>
        </w:tc>
      </w:tr>
      <w:tr w14:paraId="116A11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7A78F731">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项目审批（核准/备案）部门（选填）</w:t>
            </w:r>
          </w:p>
        </w:tc>
        <w:tc>
          <w:tcPr>
            <w:tcW w:w="1038" w:type="pct"/>
            <w:tcBorders>
              <w:top w:val="single" w:color="auto" w:sz="4" w:space="0"/>
              <w:left w:val="nil"/>
              <w:bottom w:val="single" w:color="auto" w:sz="4" w:space="0"/>
              <w:right w:val="single" w:color="auto" w:sz="4" w:space="0"/>
            </w:tcBorders>
            <w:noWrap w:val="0"/>
            <w:vAlign w:val="center"/>
          </w:tcPr>
          <w:p w14:paraId="27488E61">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w:t>
            </w:r>
          </w:p>
        </w:tc>
        <w:tc>
          <w:tcPr>
            <w:tcW w:w="1021" w:type="pct"/>
            <w:tcBorders>
              <w:top w:val="single" w:color="auto" w:sz="4" w:space="0"/>
              <w:left w:val="nil"/>
              <w:bottom w:val="single" w:color="auto" w:sz="4" w:space="0"/>
              <w:right w:val="single" w:color="auto" w:sz="4" w:space="0"/>
            </w:tcBorders>
            <w:noWrap w:val="0"/>
            <w:vAlign w:val="center"/>
          </w:tcPr>
          <w:p w14:paraId="4B864A20">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项目审批（核准/</w:t>
            </w:r>
          </w:p>
          <w:p w14:paraId="6C4CD48E">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备案）文号（选填）</w:t>
            </w:r>
          </w:p>
        </w:tc>
        <w:tc>
          <w:tcPr>
            <w:tcW w:w="2400" w:type="pct"/>
            <w:tcBorders>
              <w:top w:val="single" w:color="auto" w:sz="4" w:space="0"/>
              <w:left w:val="nil"/>
              <w:bottom w:val="single" w:color="auto" w:sz="4" w:space="0"/>
              <w:right w:val="single" w:color="auto" w:sz="8" w:space="0"/>
            </w:tcBorders>
            <w:noWrap w:val="0"/>
            <w:vAlign w:val="center"/>
          </w:tcPr>
          <w:p w14:paraId="2E419997">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w:t>
            </w:r>
          </w:p>
        </w:tc>
      </w:tr>
      <w:tr w14:paraId="660322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3F77AF4A">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总投资（万元）</w:t>
            </w:r>
          </w:p>
        </w:tc>
        <w:tc>
          <w:tcPr>
            <w:tcW w:w="1038" w:type="pct"/>
            <w:tcBorders>
              <w:top w:val="single" w:color="auto" w:sz="4" w:space="0"/>
              <w:left w:val="nil"/>
              <w:bottom w:val="single" w:color="auto" w:sz="4" w:space="0"/>
              <w:right w:val="single" w:color="auto" w:sz="4" w:space="0"/>
            </w:tcBorders>
            <w:noWrap w:val="0"/>
            <w:vAlign w:val="center"/>
          </w:tcPr>
          <w:p w14:paraId="6192F4D3">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18680.89</w:t>
            </w:r>
          </w:p>
        </w:tc>
        <w:tc>
          <w:tcPr>
            <w:tcW w:w="1021" w:type="pct"/>
            <w:tcBorders>
              <w:top w:val="single" w:color="auto" w:sz="4" w:space="0"/>
              <w:left w:val="nil"/>
              <w:bottom w:val="single" w:color="auto" w:sz="4" w:space="0"/>
              <w:right w:val="single" w:color="auto" w:sz="4" w:space="0"/>
            </w:tcBorders>
            <w:noWrap w:val="0"/>
            <w:tcMar>
              <w:top w:w="16" w:type="dxa"/>
              <w:left w:w="16" w:type="dxa"/>
              <w:bottom w:w="0" w:type="dxa"/>
              <w:right w:w="16" w:type="dxa"/>
            </w:tcMar>
            <w:vAlign w:val="center"/>
          </w:tcPr>
          <w:p w14:paraId="509E3C4B">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环保投资（万元）</w:t>
            </w:r>
          </w:p>
        </w:tc>
        <w:tc>
          <w:tcPr>
            <w:tcW w:w="2400" w:type="pct"/>
            <w:tcBorders>
              <w:top w:val="single" w:color="auto" w:sz="4" w:space="0"/>
              <w:left w:val="nil"/>
              <w:bottom w:val="single" w:color="auto" w:sz="4" w:space="0"/>
              <w:right w:val="single" w:color="auto" w:sz="8" w:space="0"/>
            </w:tcBorders>
            <w:noWrap w:val="0"/>
            <w:vAlign w:val="center"/>
          </w:tcPr>
          <w:p w14:paraId="0EC17EC2">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202.75</w:t>
            </w:r>
          </w:p>
        </w:tc>
      </w:tr>
      <w:tr w14:paraId="5469E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21CB8BBE">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环保投资占比（%）</w:t>
            </w:r>
          </w:p>
        </w:tc>
        <w:tc>
          <w:tcPr>
            <w:tcW w:w="1038" w:type="pct"/>
            <w:tcBorders>
              <w:top w:val="single" w:color="auto" w:sz="4" w:space="0"/>
              <w:left w:val="nil"/>
              <w:bottom w:val="single" w:color="auto" w:sz="4" w:space="0"/>
              <w:right w:val="single" w:color="auto" w:sz="4" w:space="0"/>
            </w:tcBorders>
            <w:noWrap w:val="0"/>
            <w:vAlign w:val="center"/>
          </w:tcPr>
          <w:p w14:paraId="1FE18778">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1.09</w:t>
            </w:r>
          </w:p>
        </w:tc>
        <w:tc>
          <w:tcPr>
            <w:tcW w:w="1021" w:type="pct"/>
            <w:tcBorders>
              <w:top w:val="single" w:color="auto" w:sz="4" w:space="0"/>
              <w:left w:val="nil"/>
              <w:bottom w:val="single" w:color="auto" w:sz="4" w:space="0"/>
              <w:right w:val="single" w:color="auto" w:sz="4" w:space="0"/>
            </w:tcBorders>
            <w:noWrap w:val="0"/>
            <w:tcMar>
              <w:top w:w="16" w:type="dxa"/>
              <w:left w:w="16" w:type="dxa"/>
              <w:bottom w:w="0" w:type="dxa"/>
              <w:right w:w="16" w:type="dxa"/>
            </w:tcMar>
            <w:vAlign w:val="center"/>
          </w:tcPr>
          <w:p w14:paraId="03C0A7CA">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施工工期</w:t>
            </w:r>
          </w:p>
        </w:tc>
        <w:tc>
          <w:tcPr>
            <w:tcW w:w="2400" w:type="pct"/>
            <w:tcBorders>
              <w:top w:val="single" w:color="auto" w:sz="4" w:space="0"/>
              <w:left w:val="nil"/>
              <w:bottom w:val="single" w:color="auto" w:sz="4" w:space="0"/>
              <w:right w:val="single" w:color="auto" w:sz="8" w:space="0"/>
            </w:tcBorders>
            <w:noWrap w:val="0"/>
            <w:vAlign w:val="center"/>
          </w:tcPr>
          <w:p w14:paraId="3B92749B">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rPr>
              <w:t>个月，202</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月至202</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月</w:t>
            </w:r>
          </w:p>
        </w:tc>
      </w:tr>
      <w:tr w14:paraId="3FD818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75F0CD9F">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是否开工建设</w:t>
            </w:r>
          </w:p>
        </w:tc>
        <w:tc>
          <w:tcPr>
            <w:tcW w:w="4461" w:type="pct"/>
            <w:gridSpan w:val="3"/>
            <w:tcBorders>
              <w:top w:val="single" w:color="auto" w:sz="4" w:space="0"/>
              <w:left w:val="nil"/>
              <w:bottom w:val="single" w:color="auto" w:sz="4" w:space="0"/>
              <w:right w:val="single" w:color="auto" w:sz="8" w:space="0"/>
            </w:tcBorders>
            <w:noWrap w:val="0"/>
            <w:vAlign w:val="center"/>
          </w:tcPr>
          <w:p w14:paraId="1754E9FF">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√否</w:t>
            </w:r>
          </w:p>
          <w:p w14:paraId="00107D64">
            <w:pPr>
              <w:adjustRightInd w:val="0"/>
              <w:snapToGrid w:val="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□是</w:t>
            </w:r>
            <w:r>
              <w:rPr>
                <w:rFonts w:hint="default" w:ascii="Times New Roman" w:hAnsi="Times New Roman" w:cs="Times New Roman"/>
                <w:color w:val="auto"/>
                <w:sz w:val="24"/>
                <w:highlight w:val="none"/>
                <w:lang w:eastAsia="zh-CN"/>
              </w:rPr>
              <w:t>:</w:t>
            </w:r>
          </w:p>
        </w:tc>
      </w:tr>
      <w:tr w14:paraId="2E7AF3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31614C8C">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专项评价设置情况</w:t>
            </w:r>
          </w:p>
        </w:tc>
        <w:tc>
          <w:tcPr>
            <w:tcW w:w="4461" w:type="pct"/>
            <w:gridSpan w:val="3"/>
            <w:tcBorders>
              <w:top w:val="single" w:color="auto" w:sz="4" w:space="0"/>
              <w:left w:val="nil"/>
              <w:bottom w:val="single" w:color="auto" w:sz="4" w:space="0"/>
              <w:right w:val="single" w:color="auto" w:sz="8" w:space="0"/>
            </w:tcBorders>
            <w:noWrap w:val="0"/>
            <w:tcMar>
              <w:top w:w="16" w:type="dxa"/>
              <w:left w:w="16" w:type="dxa"/>
              <w:bottom w:w="0" w:type="dxa"/>
              <w:right w:w="16" w:type="dxa"/>
            </w:tcMar>
            <w:vAlign w:val="center"/>
          </w:tcPr>
          <w:p w14:paraId="063FA85C">
            <w:pPr>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按照《建设项目环境影响报告表编制技术指南（生态影响类）（试行）》要求，本工程专项评价设置情况见表1</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1所示。</w:t>
            </w:r>
            <w:r>
              <w:rPr>
                <w:rFonts w:hint="default" w:ascii="Times New Roman" w:hAnsi="Times New Roman" w:eastAsia="宋体" w:cs="Times New Roman"/>
                <w:color w:val="auto"/>
                <w:kern w:val="0"/>
                <w:sz w:val="24"/>
                <w:highlight w:val="none"/>
                <w:lang w:val="en-US" w:eastAsia="zh-CN"/>
              </w:rPr>
              <w:t>本项目不设置专项评价。</w:t>
            </w:r>
          </w:p>
          <w:p w14:paraId="3BDC2BC2">
            <w:pPr>
              <w:autoSpaceDE w:val="0"/>
              <w:autoSpaceDN w:val="0"/>
              <w:adjustRightInd w:val="0"/>
              <w:snapToGrid w:val="0"/>
              <w:spacing w:line="360" w:lineRule="auto"/>
              <w:jc w:val="center"/>
              <w:rPr>
                <w:rFonts w:hint="default" w:ascii="Times New Roman" w:hAnsi="Times New Roman" w:eastAsia="宋体" w:cs="Times New Roman"/>
                <w:b/>
                <w:bCs/>
                <w:color w:val="auto"/>
                <w:kern w:val="0"/>
                <w:szCs w:val="21"/>
                <w:highlight w:val="none"/>
                <w:lang w:val="en-US" w:eastAsia="zh-CN"/>
              </w:rPr>
            </w:pPr>
          </w:p>
          <w:p w14:paraId="7D3E470F">
            <w:pPr>
              <w:autoSpaceDE w:val="0"/>
              <w:autoSpaceDN w:val="0"/>
              <w:adjustRightInd w:val="0"/>
              <w:snapToGrid w:val="0"/>
              <w:spacing w:line="360" w:lineRule="auto"/>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表1</w:t>
            </w:r>
            <w:r>
              <w:rPr>
                <w:rFonts w:hint="default" w:ascii="Times New Roman" w:hAnsi="Times New Roman" w:cs="Times New Roman"/>
                <w:b/>
                <w:bCs/>
                <w:color w:val="auto"/>
                <w:kern w:val="0"/>
                <w:szCs w:val="21"/>
                <w:highlight w:val="none"/>
                <w:lang w:val="en-US" w:eastAsia="zh-CN"/>
              </w:rPr>
              <w:t>—</w:t>
            </w:r>
            <w:r>
              <w:rPr>
                <w:rFonts w:hint="default" w:ascii="Times New Roman" w:hAnsi="Times New Roman" w:eastAsia="宋体" w:cs="Times New Roman"/>
                <w:b/>
                <w:bCs/>
                <w:color w:val="auto"/>
                <w:kern w:val="0"/>
                <w:szCs w:val="21"/>
                <w:highlight w:val="none"/>
                <w:lang w:val="en-US" w:eastAsia="zh-CN"/>
              </w:rPr>
              <w:t>1  专项评价设置情况一览表</w:t>
            </w:r>
          </w:p>
          <w:tbl>
            <w:tblPr>
              <w:tblStyle w:val="25"/>
              <w:tblW w:w="478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3715"/>
              <w:gridCol w:w="2367"/>
              <w:gridCol w:w="723"/>
            </w:tblGrid>
            <w:tr w14:paraId="58B6C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6" w:hRule="atLeast"/>
                <w:jc w:val="center"/>
              </w:trPr>
              <w:tc>
                <w:tcPr>
                  <w:tcW w:w="484" w:type="pct"/>
                  <w:noWrap w:val="0"/>
                  <w:vAlign w:val="center"/>
                </w:tcPr>
                <w:p w14:paraId="0802BA1E">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专项评价类别</w:t>
                  </w:r>
                </w:p>
              </w:tc>
              <w:tc>
                <w:tcPr>
                  <w:tcW w:w="2465" w:type="pct"/>
                  <w:noWrap w:val="0"/>
                  <w:vAlign w:val="center"/>
                </w:tcPr>
                <w:p w14:paraId="45697E9A">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设置原则</w:t>
                  </w:r>
                </w:p>
              </w:tc>
              <w:tc>
                <w:tcPr>
                  <w:tcW w:w="1570" w:type="pct"/>
                  <w:noWrap w:val="0"/>
                  <w:vAlign w:val="center"/>
                </w:tcPr>
                <w:p w14:paraId="453D3223">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本</w:t>
                  </w:r>
                  <w:r>
                    <w:rPr>
                      <w:rFonts w:hint="default" w:ascii="Times New Roman" w:hAnsi="Times New Roman" w:eastAsia="宋体" w:cs="Times New Roman"/>
                      <w:color w:val="auto"/>
                      <w:sz w:val="21"/>
                      <w:szCs w:val="21"/>
                      <w:highlight w:val="none"/>
                      <w:lang w:val="en-US" w:eastAsia="zh-CN"/>
                    </w:rPr>
                    <w:t>工程</w:t>
                  </w:r>
                  <w:r>
                    <w:rPr>
                      <w:rFonts w:hint="default" w:ascii="Times New Roman" w:hAnsi="Times New Roman" w:eastAsia="宋体" w:cs="Times New Roman"/>
                      <w:color w:val="auto"/>
                      <w:sz w:val="21"/>
                      <w:szCs w:val="21"/>
                      <w:highlight w:val="none"/>
                      <w:lang w:val="zh-CN"/>
                    </w:rPr>
                    <w:t>情况</w:t>
                  </w:r>
                </w:p>
              </w:tc>
              <w:tc>
                <w:tcPr>
                  <w:tcW w:w="479" w:type="pct"/>
                  <w:noWrap w:val="0"/>
                  <w:vAlign w:val="center"/>
                </w:tcPr>
                <w:p w14:paraId="3C500CC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是否设置专题</w:t>
                  </w:r>
                </w:p>
              </w:tc>
            </w:tr>
            <w:tr w14:paraId="6874B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07B2F87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w:t>
                  </w:r>
                </w:p>
              </w:tc>
              <w:tc>
                <w:tcPr>
                  <w:tcW w:w="2465" w:type="pct"/>
                  <w:noWrap w:val="0"/>
                  <w:vAlign w:val="center"/>
                </w:tcPr>
                <w:p w14:paraId="06A7546F">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水力发电</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引水式发电、涉及调峰发电的项目；</w:t>
                  </w:r>
                </w:p>
                <w:p w14:paraId="733A0E77">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人工湖、人工湿地</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00B70ECE">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引水工程</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全部（配套的管线工程等除外）；</w:t>
                  </w:r>
                </w:p>
                <w:p w14:paraId="49BC2169">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防洪除涝工程</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包含水库的项目；</w:t>
                  </w:r>
                </w:p>
                <w:p w14:paraId="7ADF84F7">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河湖整治</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涉及清淤且底泥存在重金属污染的项目</w:t>
                  </w:r>
                </w:p>
              </w:tc>
              <w:tc>
                <w:tcPr>
                  <w:tcW w:w="1570" w:type="pct"/>
                  <w:noWrap w:val="0"/>
                  <w:vAlign w:val="center"/>
                </w:tcPr>
                <w:p w14:paraId="4766855D">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本工程为防洪除涝工程，不涉及清淤且底泥存在重金属污染的项目。</w:t>
                  </w:r>
                </w:p>
              </w:tc>
              <w:tc>
                <w:tcPr>
                  <w:tcW w:w="479" w:type="pct"/>
                  <w:noWrap w:val="0"/>
                  <w:vAlign w:val="center"/>
                </w:tcPr>
                <w:p w14:paraId="7638A60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不设置</w:t>
                  </w:r>
                </w:p>
              </w:tc>
            </w:tr>
            <w:tr w14:paraId="6077C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4" w:type="pct"/>
                  <w:noWrap w:val="0"/>
                  <w:vAlign w:val="center"/>
                </w:tcPr>
                <w:p w14:paraId="3CB0D8E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w:t>
                  </w:r>
                </w:p>
              </w:tc>
              <w:tc>
                <w:tcPr>
                  <w:tcW w:w="2465" w:type="pct"/>
                  <w:noWrap w:val="0"/>
                  <w:vAlign w:val="center"/>
                </w:tcPr>
                <w:p w14:paraId="44893479">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陆地石油和天然气开采</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0F8EC80C">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地下水（含矿泉水）开采</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7536041C">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水利、水电、交通等</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含穿越可溶岩地层隧道的项目</w:t>
                  </w:r>
                </w:p>
              </w:tc>
              <w:tc>
                <w:tcPr>
                  <w:tcW w:w="1570" w:type="pct"/>
                  <w:noWrap w:val="0"/>
                  <w:vAlign w:val="center"/>
                </w:tcPr>
                <w:p w14:paraId="4E12A726">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本工程为防洪除涝工程，属于水利工程，本工程不含穿越可溶岩地层隧道。</w:t>
                  </w:r>
                </w:p>
              </w:tc>
              <w:tc>
                <w:tcPr>
                  <w:tcW w:w="479" w:type="pct"/>
                  <w:noWrap w:val="0"/>
                  <w:vAlign w:val="center"/>
                </w:tcPr>
                <w:p w14:paraId="6D8F9F0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不设置</w:t>
                  </w:r>
                </w:p>
              </w:tc>
            </w:tr>
            <w:tr w14:paraId="09E01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7052DD3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生态</w:t>
                  </w:r>
                </w:p>
              </w:tc>
              <w:tc>
                <w:tcPr>
                  <w:tcW w:w="2465" w:type="pct"/>
                  <w:noWrap w:val="0"/>
                  <w:vAlign w:val="center"/>
                </w:tcPr>
                <w:p w14:paraId="379A48A7">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涉及环境敏感区（不包括饮用水水源保护区，以居住、医疗卫生、文化教育、科研、行政办公为主要功能的区域，以及文物保护单位）的项目</w:t>
                  </w:r>
                </w:p>
              </w:tc>
              <w:tc>
                <w:tcPr>
                  <w:tcW w:w="1570" w:type="pct"/>
                  <w:noWrap w:val="0"/>
                  <w:vAlign w:val="center"/>
                </w:tcPr>
                <w:p w14:paraId="1CE2A2B8">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环境敏感区是指《建设项目环境影响评价分类管理名录》中针对该类项目所列的敏感区。本工程属于防洪除涝工程，不涉及环境敏感区。</w:t>
                  </w:r>
                </w:p>
              </w:tc>
              <w:tc>
                <w:tcPr>
                  <w:tcW w:w="479" w:type="pct"/>
                  <w:noWrap w:val="0"/>
                  <w:vAlign w:val="center"/>
                </w:tcPr>
                <w:p w14:paraId="6E0E327B">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en-US" w:eastAsia="zh-CN"/>
                    </w:rPr>
                    <w:t>不</w:t>
                  </w:r>
                  <w:r>
                    <w:rPr>
                      <w:rFonts w:hint="default" w:ascii="Times New Roman" w:hAnsi="Times New Roman" w:eastAsia="宋体" w:cs="Times New Roman"/>
                      <w:color w:val="auto"/>
                      <w:sz w:val="21"/>
                      <w:szCs w:val="21"/>
                      <w:highlight w:val="none"/>
                    </w:rPr>
                    <w:t>设置</w:t>
                  </w:r>
                </w:p>
              </w:tc>
            </w:tr>
            <w:tr w14:paraId="5645B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018437E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w:t>
                  </w:r>
                </w:p>
              </w:tc>
              <w:tc>
                <w:tcPr>
                  <w:tcW w:w="2465" w:type="pct"/>
                  <w:noWrap w:val="0"/>
                  <w:vAlign w:val="center"/>
                </w:tcPr>
                <w:p w14:paraId="082BA0A6">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油气、液体化工码头</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7A1E950A">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干散货（含煤炭、矿石）、件杂、多用途、通用码头</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涉及粉尘、挥发性有机物排放的项目</w:t>
                  </w:r>
                </w:p>
              </w:tc>
              <w:tc>
                <w:tcPr>
                  <w:tcW w:w="1570" w:type="pct"/>
                  <w:noWrap w:val="0"/>
                  <w:vAlign w:val="center"/>
                </w:tcPr>
                <w:p w14:paraId="3D1DCE09">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本工程不涉及油气、液体化工码头、干散货、件杂、多用途、通用码头。</w:t>
                  </w:r>
                </w:p>
              </w:tc>
              <w:tc>
                <w:tcPr>
                  <w:tcW w:w="479" w:type="pct"/>
                  <w:noWrap w:val="0"/>
                  <w:vAlign w:val="center"/>
                </w:tcPr>
                <w:p w14:paraId="3AD3F0EC">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不设置</w:t>
                  </w:r>
                </w:p>
              </w:tc>
            </w:tr>
            <w:tr w14:paraId="40527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3EB2E9A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2465" w:type="pct"/>
                  <w:noWrap w:val="0"/>
                  <w:vAlign w:val="center"/>
                </w:tcPr>
                <w:p w14:paraId="0668D78A">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公路、铁路、机场等交通运输业涉及环境敏感区（以居住、医疗卫生、文化教育、科研、行政办公为主要功能的区域）的项目；</w:t>
                  </w:r>
                </w:p>
                <w:p w14:paraId="3C26DC12">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城市道路（不含维护，不含支路、人行天桥、人行地道）</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tc>
              <w:tc>
                <w:tcPr>
                  <w:tcW w:w="1570" w:type="pct"/>
                  <w:noWrap w:val="0"/>
                  <w:vAlign w:val="center"/>
                </w:tcPr>
                <w:p w14:paraId="19BA2250">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本工程不属于交通运输业。</w:t>
                  </w:r>
                </w:p>
              </w:tc>
              <w:tc>
                <w:tcPr>
                  <w:tcW w:w="479" w:type="pct"/>
                  <w:noWrap w:val="0"/>
                  <w:vAlign w:val="center"/>
                </w:tcPr>
                <w:p w14:paraId="3CDD4332">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不设置</w:t>
                  </w:r>
                </w:p>
              </w:tc>
            </w:tr>
            <w:tr w14:paraId="04DCD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6FD9CF8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w:t>
                  </w:r>
                </w:p>
              </w:tc>
              <w:tc>
                <w:tcPr>
                  <w:tcW w:w="2465" w:type="pct"/>
                  <w:noWrap w:val="0"/>
                  <w:vAlign w:val="center"/>
                </w:tcPr>
                <w:p w14:paraId="238F41EC">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石油和天然气开采</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564148CD">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油气、液体化工码头</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5D64F194">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原油、成品油、天然气管线（不含城镇天然气管线、企业厂区内管线），危险化学品输送管线（不含企业厂区内管线）</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tc>
              <w:tc>
                <w:tcPr>
                  <w:tcW w:w="1570" w:type="pct"/>
                  <w:noWrap w:val="0"/>
                  <w:vAlign w:val="center"/>
                </w:tcPr>
                <w:p w14:paraId="17A69996">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本工程不涉及石油和天然气开采、油气、液体化工码头、原油、成品油、天然气管线、危险化学品输送管线。</w:t>
                  </w:r>
                </w:p>
              </w:tc>
              <w:tc>
                <w:tcPr>
                  <w:tcW w:w="479" w:type="pct"/>
                  <w:noWrap w:val="0"/>
                  <w:vAlign w:val="center"/>
                </w:tcPr>
                <w:p w14:paraId="42A79467">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不设置</w:t>
                  </w:r>
                </w:p>
              </w:tc>
            </w:tr>
          </w:tbl>
          <w:p w14:paraId="7EDD414C">
            <w:pPr>
              <w:autoSpaceDE w:val="0"/>
              <w:autoSpaceDN w:val="0"/>
              <w:adjustRightInd w:val="0"/>
              <w:snapToGrid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highlight w:val="none"/>
                <w:lang w:val="en-US" w:eastAsia="zh-CN"/>
              </w:rPr>
              <w:t xml:space="preserve">    </w:t>
            </w:r>
          </w:p>
        </w:tc>
      </w:tr>
      <w:tr w14:paraId="441F4F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78CE6D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规划情况</w:t>
            </w:r>
          </w:p>
        </w:tc>
        <w:tc>
          <w:tcPr>
            <w:tcW w:w="4461" w:type="pct"/>
            <w:gridSpan w:val="3"/>
            <w:tcBorders>
              <w:top w:val="single" w:color="auto" w:sz="4" w:space="0"/>
              <w:left w:val="nil"/>
              <w:bottom w:val="single" w:color="auto" w:sz="4" w:space="0"/>
              <w:right w:val="single" w:color="auto" w:sz="8" w:space="0"/>
            </w:tcBorders>
            <w:noWrap w:val="0"/>
            <w:tcMar>
              <w:top w:w="16" w:type="dxa"/>
              <w:left w:w="16" w:type="dxa"/>
              <w:bottom w:w="0" w:type="dxa"/>
              <w:right w:w="16" w:type="dxa"/>
            </w:tcMar>
            <w:vAlign w:val="center"/>
          </w:tcPr>
          <w:p w14:paraId="67E35799">
            <w:pPr>
              <w:pStyle w:val="84"/>
              <w:widowControl/>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无</w:t>
            </w:r>
          </w:p>
        </w:tc>
      </w:tr>
      <w:tr w14:paraId="5CCBBD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58F0941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规划环境影响评价情况</w:t>
            </w:r>
          </w:p>
        </w:tc>
        <w:tc>
          <w:tcPr>
            <w:tcW w:w="4461" w:type="pct"/>
            <w:gridSpan w:val="3"/>
            <w:tcBorders>
              <w:top w:val="single" w:color="auto" w:sz="4" w:space="0"/>
              <w:left w:val="nil"/>
              <w:bottom w:val="single" w:color="auto" w:sz="4" w:space="0"/>
              <w:right w:val="single" w:color="auto" w:sz="8" w:space="0"/>
            </w:tcBorders>
            <w:noWrap w:val="0"/>
            <w:tcMar>
              <w:top w:w="16" w:type="dxa"/>
              <w:left w:w="16" w:type="dxa"/>
              <w:bottom w:w="0" w:type="dxa"/>
              <w:right w:w="16" w:type="dxa"/>
            </w:tcMar>
            <w:vAlign w:val="center"/>
          </w:tcPr>
          <w:p w14:paraId="319BF4F3">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无</w:t>
            </w:r>
          </w:p>
        </w:tc>
      </w:tr>
      <w:tr w14:paraId="162749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E72D4F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规划及</w:t>
            </w:r>
            <w:r>
              <w:rPr>
                <w:rFonts w:hint="default" w:ascii="Times New Roman" w:hAnsi="Times New Roman" w:eastAsia="宋体" w:cs="Times New Roman"/>
                <w:color w:val="auto"/>
                <w:sz w:val="21"/>
                <w:szCs w:val="21"/>
                <w:highlight w:val="none"/>
              </w:rPr>
              <w:t>规划环境影响评价</w:t>
            </w:r>
            <w:r>
              <w:rPr>
                <w:rFonts w:hint="default" w:ascii="Times New Roman" w:hAnsi="Times New Roman" w:eastAsia="宋体" w:cs="Times New Roman"/>
                <w:color w:val="auto"/>
                <w:kern w:val="0"/>
                <w:sz w:val="21"/>
                <w:szCs w:val="21"/>
                <w:highlight w:val="none"/>
              </w:rPr>
              <w:t>符合性分析</w:t>
            </w:r>
          </w:p>
        </w:tc>
        <w:tc>
          <w:tcPr>
            <w:tcW w:w="4461" w:type="pct"/>
            <w:gridSpan w:val="3"/>
            <w:tcBorders>
              <w:top w:val="single" w:color="auto" w:sz="4" w:space="0"/>
              <w:left w:val="nil"/>
              <w:bottom w:val="single" w:color="auto" w:sz="4" w:space="0"/>
              <w:right w:val="single" w:color="auto" w:sz="8" w:space="0"/>
            </w:tcBorders>
            <w:noWrap w:val="0"/>
            <w:tcMar>
              <w:top w:w="16" w:type="dxa"/>
              <w:left w:w="16" w:type="dxa"/>
              <w:bottom w:w="0" w:type="dxa"/>
              <w:right w:w="16" w:type="dxa"/>
            </w:tcMar>
            <w:vAlign w:val="center"/>
          </w:tcPr>
          <w:p w14:paraId="35D16F60">
            <w:pPr>
              <w:pStyle w:val="84"/>
              <w:widowControl/>
              <w:ind w:firstLine="0" w:firstLine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无</w:t>
            </w:r>
          </w:p>
        </w:tc>
      </w:tr>
      <w:tr w14:paraId="70E29D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38" w:type="pct"/>
            <w:tcBorders>
              <w:top w:val="single" w:color="auto" w:sz="4" w:space="0"/>
              <w:left w:val="single" w:color="auto" w:sz="8" w:space="0"/>
              <w:bottom w:val="single" w:color="auto" w:sz="8" w:space="0"/>
              <w:right w:val="single" w:color="auto" w:sz="4" w:space="0"/>
            </w:tcBorders>
            <w:noWrap w:val="0"/>
            <w:tcMar>
              <w:top w:w="16" w:type="dxa"/>
              <w:left w:w="16" w:type="dxa"/>
              <w:bottom w:w="0" w:type="dxa"/>
              <w:right w:w="16" w:type="dxa"/>
            </w:tcMar>
            <w:vAlign w:val="center"/>
          </w:tcPr>
          <w:p w14:paraId="4BA48633">
            <w:pPr>
              <w:autoSpaceDE w:val="0"/>
              <w:autoSpaceDN w:val="0"/>
              <w:adjustRightInd w:val="0"/>
              <w:snapToGrid w:val="0"/>
              <w:jc w:val="center"/>
              <w:rPr>
                <w:rFonts w:hint="default" w:ascii="Times New Roman" w:hAnsi="Times New Roman" w:eastAsia="宋体" w:cs="Times New Roman"/>
                <w:color w:val="auto"/>
                <w:kern w:val="0"/>
                <w:sz w:val="24"/>
                <w:highlight w:val="none"/>
              </w:rPr>
            </w:pPr>
            <w:bookmarkStart w:id="7" w:name="_Hlk56690880"/>
            <w:r>
              <w:rPr>
                <w:rFonts w:hint="default" w:ascii="Times New Roman" w:hAnsi="Times New Roman" w:eastAsia="宋体" w:cs="Times New Roman"/>
                <w:color w:val="auto"/>
                <w:kern w:val="0"/>
                <w:sz w:val="24"/>
                <w:highlight w:val="none"/>
              </w:rPr>
              <w:t>其他符合性分析</w:t>
            </w:r>
            <w:bookmarkEnd w:id="7"/>
          </w:p>
        </w:tc>
        <w:tc>
          <w:tcPr>
            <w:tcW w:w="4461" w:type="pct"/>
            <w:gridSpan w:val="3"/>
            <w:tcBorders>
              <w:top w:val="single" w:color="auto" w:sz="4" w:space="0"/>
              <w:left w:val="nil"/>
              <w:bottom w:val="single" w:color="auto" w:sz="8" w:space="0"/>
              <w:right w:val="single" w:color="auto" w:sz="8" w:space="0"/>
            </w:tcBorders>
            <w:noWrap w:val="0"/>
            <w:tcMar>
              <w:top w:w="16" w:type="dxa"/>
              <w:left w:w="16" w:type="dxa"/>
              <w:bottom w:w="0" w:type="dxa"/>
              <w:right w:w="16" w:type="dxa"/>
            </w:tcMar>
            <w:vAlign w:val="center"/>
          </w:tcPr>
          <w:p w14:paraId="1A41AFB0">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1、生态环境分区管控要求符合性分析</w:t>
            </w:r>
          </w:p>
          <w:p w14:paraId="5AE93DE3">
            <w:pPr>
              <w:pStyle w:val="135"/>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 w:val="24"/>
                <w:szCs w:val="24"/>
                <w:highlight w:val="none"/>
                <w:lang w:val="en-US" w:eastAsia="zh-CN"/>
              </w:rPr>
            </w:pPr>
            <w:bookmarkStart w:id="8" w:name="_Toc45198927"/>
            <w:r>
              <w:rPr>
                <w:rFonts w:hint="default" w:ascii="Times New Roman" w:hAnsi="Times New Roman" w:eastAsia="宋体" w:cs="Times New Roman"/>
                <w:color w:val="auto"/>
                <w:kern w:val="2"/>
                <w:sz w:val="24"/>
                <w:szCs w:val="24"/>
                <w:highlight w:val="none"/>
              </w:rPr>
              <w:t>根据《黑龙江省人民政府关于实施</w:t>
            </w:r>
            <w:r>
              <w:rPr>
                <w:rFonts w:hint="default" w:ascii="Times New Roman" w:hAnsi="Times New Roman"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三线一单</w:t>
            </w:r>
            <w:r>
              <w:rPr>
                <w:rFonts w:hint="default" w:ascii="Times New Roman" w:hAnsi="Times New Roman"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生态环境分区管控意见》（黑政发〔2020〕14号）</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绥化</w:t>
            </w:r>
            <w:r>
              <w:rPr>
                <w:rFonts w:hint="default" w:ascii="Times New Roman" w:hAnsi="Times New Roman" w:eastAsia="宋体" w:cs="Times New Roman"/>
                <w:color w:val="auto"/>
                <w:sz w:val="24"/>
                <w:szCs w:val="24"/>
                <w:highlight w:val="none"/>
              </w:rPr>
              <w:t>市人民政府关于实施</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三线一单</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生态环境分区管控的意见》（绥政发〔2021〕10号）</w:t>
            </w:r>
            <w:r>
              <w:rPr>
                <w:rFonts w:hint="default" w:ascii="Times New Roman" w:hAnsi="Times New Roman" w:eastAsia="宋体" w:cs="Times New Roman"/>
                <w:color w:val="auto"/>
                <w:sz w:val="24"/>
                <w:szCs w:val="24"/>
                <w:highlight w:val="none"/>
                <w:lang w:eastAsia="zh-CN"/>
              </w:rPr>
              <w:t>、《关于公布黑龙江省生态环境分区管控动态更新成果（2023年版）的通知》</w:t>
            </w:r>
            <w:r>
              <w:rPr>
                <w:rFonts w:hint="default" w:ascii="Times New Roman" w:hAnsi="Times New Roman" w:eastAsia="宋体" w:cs="Times New Roman"/>
                <w:color w:val="auto"/>
                <w:sz w:val="24"/>
                <w:szCs w:val="24"/>
                <w:highlight w:val="none"/>
                <w:lang w:val="en-US" w:eastAsia="zh-CN"/>
              </w:rPr>
              <w:t>及《</w:t>
            </w:r>
            <w:r>
              <w:rPr>
                <w:rFonts w:hint="default" w:ascii="Times New Roman" w:hAnsi="Times New Roman" w:eastAsia="宋体" w:cs="Times New Roman"/>
                <w:color w:val="auto"/>
                <w:sz w:val="24"/>
                <w:szCs w:val="24"/>
                <w:highlight w:val="none"/>
              </w:rPr>
              <w:t>关于发布绥化市生态环境准入清单（2023年版）的函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2024年1月29日）</w:t>
            </w:r>
            <w:r>
              <w:rPr>
                <w:rFonts w:hint="default" w:ascii="Times New Roman" w:hAnsi="Times New Roman" w:eastAsia="宋体" w:cs="Times New Roman"/>
                <w:color w:val="auto"/>
                <w:sz w:val="24"/>
                <w:szCs w:val="24"/>
                <w:highlight w:val="none"/>
              </w:rPr>
              <w:t>中要求，</w:t>
            </w:r>
            <w:r>
              <w:rPr>
                <w:rFonts w:hint="default" w:ascii="Times New Roman" w:hAnsi="Times New Roman" w:eastAsia="宋体" w:cs="Times New Roman"/>
                <w:color w:val="auto"/>
                <w:kern w:val="2"/>
                <w:sz w:val="24"/>
                <w:szCs w:val="24"/>
                <w:highlight w:val="none"/>
                <w:lang w:val="en-US" w:eastAsia="zh-CN"/>
              </w:rPr>
              <w:t>以及黑龙江省生态环境分区管控数据应用平台出具的《黑龙江省庆安县欧根河治理工程生态环境分区管控分析报告》可知，</w:t>
            </w:r>
            <w:r>
              <w:rPr>
                <w:rFonts w:hint="default" w:ascii="Times New Roman" w:hAnsi="Times New Roman" w:eastAsia="宋体" w:cs="Times New Roman"/>
                <w:color w:val="auto"/>
                <w:sz w:val="24"/>
                <w:szCs w:val="24"/>
                <w:highlight w:val="none"/>
                <w:lang w:bidi="ar"/>
              </w:rPr>
              <w:t>本项目属于优先保护单元</w:t>
            </w:r>
            <w:r>
              <w:rPr>
                <w:rFonts w:hint="default" w:ascii="Times New Roman" w:hAnsi="Times New Roman" w:eastAsia="宋体" w:cs="Times New Roman"/>
                <w:color w:val="auto"/>
                <w:sz w:val="24"/>
                <w:szCs w:val="24"/>
                <w:highlight w:val="none"/>
                <w:lang w:eastAsia="zh-CN" w:bidi="ar"/>
              </w:rPr>
              <w:t>、一般管控单元</w:t>
            </w:r>
            <w:r>
              <w:rPr>
                <w:rFonts w:hint="default" w:ascii="Times New Roman" w:hAnsi="Times New Roman" w:eastAsia="宋体" w:cs="Times New Roman"/>
                <w:color w:val="auto"/>
                <w:sz w:val="24"/>
                <w:szCs w:val="24"/>
                <w:highlight w:val="none"/>
                <w:lang w:val="en-US" w:eastAsia="zh-CN" w:bidi="ar"/>
              </w:rPr>
              <w:t>，同时</w:t>
            </w:r>
            <w:r>
              <w:rPr>
                <w:rFonts w:hint="default" w:ascii="Times New Roman" w:hAnsi="Times New Roman" w:eastAsia="宋体" w:cs="Times New Roman"/>
                <w:color w:val="auto"/>
                <w:sz w:val="24"/>
                <w:szCs w:val="24"/>
                <w:highlight w:val="none"/>
              </w:rPr>
              <w:t>环境质量底线</w:t>
            </w:r>
            <w:r>
              <w:rPr>
                <w:rFonts w:hint="default" w:ascii="Times New Roman" w:hAnsi="Times New Roman" w:eastAsia="宋体" w:cs="Times New Roman"/>
                <w:color w:val="auto"/>
                <w:sz w:val="24"/>
                <w:szCs w:val="24"/>
                <w:highlight w:val="none"/>
                <w:lang w:val="en-US" w:eastAsia="zh-CN"/>
              </w:rPr>
              <w:t>为大气环境弱扩散重点管控区、大气环境一般管控区、其他区域，资源利用上线为土地资源重点管控区、自然资源一般管控区。本工程与生态环境分区管控符合性情况如下</w:t>
            </w:r>
            <w:r>
              <w:rPr>
                <w:rFonts w:hint="default" w:ascii="Times New Roman" w:hAnsi="Times New Roman" w:cs="Times New Roman"/>
                <w:color w:val="auto"/>
                <w:sz w:val="24"/>
                <w:szCs w:val="24"/>
                <w:highlight w:val="none"/>
                <w:lang w:val="en-US" w:eastAsia="zh-CN"/>
              </w:rPr>
              <w:t>:</w:t>
            </w:r>
          </w:p>
          <w:p w14:paraId="6378EE4A">
            <w:pPr>
              <w:pStyle w:val="135"/>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一图</w:t>
            </w:r>
            <w:r>
              <w:rPr>
                <w:rFonts w:hint="default" w:ascii="Times New Roman" w:hAnsi="Times New Roman" w:cs="Times New Roman"/>
                <w:color w:val="auto"/>
                <w:sz w:val="24"/>
                <w:szCs w:val="24"/>
                <w:highlight w:val="none"/>
                <w:lang w:eastAsia="zh-CN"/>
              </w:rPr>
              <w:t>"</w:t>
            </w:r>
          </w:p>
          <w:p w14:paraId="526EED66">
            <w:pPr>
              <w:keepNext w:val="0"/>
              <w:keepLines w:val="0"/>
              <w:pageBreakBefore w:val="0"/>
              <w:widowControl/>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kern w:val="24"/>
                <w:sz w:val="24"/>
                <w:szCs w:val="24"/>
                <w:highlight w:val="none"/>
              </w:rPr>
            </w:pPr>
            <w:r>
              <w:rPr>
                <w:rFonts w:hint="default" w:ascii="Times New Roman" w:hAnsi="Times New Roman" w:eastAsia="宋体" w:cs="Times New Roman"/>
                <w:color w:val="auto"/>
                <w:kern w:val="24"/>
                <w:sz w:val="24"/>
                <w:szCs w:val="24"/>
                <w:highlight w:val="none"/>
              </w:rPr>
              <w:t>根据图1</w:t>
            </w:r>
            <w:r>
              <w:rPr>
                <w:rFonts w:hint="default" w:ascii="Times New Roman" w:hAnsi="Times New Roman" w:cs="Times New Roman"/>
                <w:color w:val="auto"/>
                <w:kern w:val="24"/>
                <w:sz w:val="24"/>
                <w:szCs w:val="24"/>
                <w:highlight w:val="none"/>
                <w:lang w:eastAsia="zh-CN"/>
              </w:rPr>
              <w:t>—</w:t>
            </w:r>
            <w:r>
              <w:rPr>
                <w:rFonts w:hint="default" w:ascii="Times New Roman" w:hAnsi="Times New Roman" w:eastAsia="宋体" w:cs="Times New Roman"/>
                <w:color w:val="auto"/>
                <w:kern w:val="24"/>
                <w:sz w:val="24"/>
                <w:szCs w:val="24"/>
                <w:highlight w:val="none"/>
                <w:lang w:val="en-US" w:eastAsia="zh-CN"/>
              </w:rPr>
              <w:t>1</w:t>
            </w:r>
            <w:r>
              <w:rPr>
                <w:rFonts w:hint="default" w:ascii="Times New Roman" w:hAnsi="Times New Roman" w:eastAsia="宋体" w:cs="Times New Roman"/>
                <w:color w:val="auto"/>
                <w:kern w:val="24"/>
                <w:sz w:val="24"/>
                <w:szCs w:val="24"/>
                <w:highlight w:val="none"/>
              </w:rPr>
              <w:t>，本项目与环境管控单元叠加图显示，本项目属于一般管控单元。</w:t>
            </w:r>
          </w:p>
          <w:p w14:paraId="51BDDA9A">
            <w:pPr>
              <w:keepNext w:val="0"/>
              <w:keepLines w:val="0"/>
              <w:pageBreakBefore w:val="0"/>
              <w:widowControl/>
              <w:suppressLineNumbers w:val="0"/>
              <w:kinsoku/>
              <w:wordWrap/>
              <w:overflowPunct/>
              <w:topLinePunct w:val="0"/>
              <w:autoSpaceDE/>
              <w:autoSpaceDN/>
              <w:bidi w:val="0"/>
              <w:spacing w:line="500" w:lineRule="exact"/>
              <w:jc w:val="left"/>
              <w:textAlignment w:val="auto"/>
              <w:rPr>
                <w:rFonts w:hint="default" w:ascii="Times New Roman" w:hAnsi="Times New Roman" w:eastAsia="宋体" w:cs="Times New Roman"/>
                <w:b/>
                <w:bCs/>
                <w:color w:val="auto"/>
                <w:kern w:val="24"/>
                <w:sz w:val="24"/>
                <w:szCs w:val="24"/>
                <w:highlight w:val="none"/>
              </w:rPr>
            </w:pPr>
            <w:r>
              <w:rPr>
                <w:rFonts w:hint="default" w:ascii="Times New Roman" w:hAnsi="Times New Roman" w:eastAsia="宋体" w:cs="Times New Roman"/>
                <w:b/>
                <w:bCs/>
                <w:color w:val="auto"/>
                <w:kern w:val="0"/>
                <w:sz w:val="24"/>
                <w:szCs w:val="24"/>
                <w:highlight w:val="none"/>
                <w:lang w:val="en-US" w:eastAsia="zh-CN" w:bidi="ar"/>
              </w:rPr>
              <w:t>与环境管控单元叠加图</w:t>
            </w:r>
            <w:r>
              <w:rPr>
                <w:rFonts w:hint="default" w:ascii="Times New Roman" w:hAnsi="Times New Roman" w:cs="Times New Roman"/>
                <w:b/>
                <w:bCs/>
                <w:color w:val="auto"/>
                <w:kern w:val="0"/>
                <w:sz w:val="24"/>
                <w:szCs w:val="24"/>
                <w:highlight w:val="none"/>
                <w:lang w:val="en-US" w:eastAsia="zh-CN" w:bidi="ar"/>
              </w:rPr>
              <w:t>:</w:t>
            </w:r>
          </w:p>
          <w:p w14:paraId="3A6E4B34">
            <w:pPr>
              <w:pStyle w:val="136"/>
              <w:rPr>
                <w:rFonts w:hint="default" w:ascii="Times New Roman" w:hAnsi="Times New Roman" w:eastAsia="宋体" w:cs="Times New Roman"/>
                <w:color w:val="auto"/>
                <w:highlight w:val="none"/>
                <w:lang w:val="en-US" w:eastAsia="zh-CN"/>
              </w:rPr>
            </w:pPr>
          </w:p>
          <w:p w14:paraId="703F2825">
            <w:pPr>
              <w:pStyle w:val="135"/>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highlight w:val="none"/>
              </w:rPr>
              <w:drawing>
                <wp:inline distT="0" distB="0" distL="114300" distR="114300">
                  <wp:extent cx="4997450" cy="2553335"/>
                  <wp:effectExtent l="0" t="0" r="12700" b="18415"/>
                  <wp:docPr id="59"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88"/>
                          <pic:cNvPicPr>
                            <a:picLocks noChangeAspect="1"/>
                          </pic:cNvPicPr>
                        </pic:nvPicPr>
                        <pic:blipFill>
                          <a:blip r:embed="rId9"/>
                          <a:stretch>
                            <a:fillRect/>
                          </a:stretch>
                        </pic:blipFill>
                        <pic:spPr>
                          <a:xfrm>
                            <a:off x="0" y="0"/>
                            <a:ext cx="4997450" cy="2553335"/>
                          </a:xfrm>
                          <a:prstGeom prst="rect">
                            <a:avLst/>
                          </a:prstGeom>
                          <a:noFill/>
                          <a:ln>
                            <a:noFill/>
                          </a:ln>
                        </pic:spPr>
                      </pic:pic>
                    </a:graphicData>
                  </a:graphic>
                </wp:inline>
              </w:drawing>
            </w:r>
          </w:p>
          <w:p w14:paraId="289F55AB">
            <w:pPr>
              <w:keepNext w:val="0"/>
              <w:keepLines w:val="0"/>
              <w:widowControl/>
              <w:suppressLineNumbers w:val="0"/>
              <w:jc w:val="left"/>
              <w:rPr>
                <w:rFonts w:hint="default" w:ascii="Times New Roman" w:hAnsi="Times New Roman" w:eastAsia="宋体" w:cs="Times New Roman"/>
                <w:b/>
                <w:bCs/>
                <w:color w:val="auto"/>
                <w:kern w:val="0"/>
                <w:sz w:val="24"/>
                <w:szCs w:val="24"/>
                <w:highlight w:val="none"/>
                <w:lang w:val="en-US" w:eastAsia="zh-CN" w:bidi="ar"/>
              </w:rPr>
            </w:pPr>
          </w:p>
          <w:p w14:paraId="067861AA">
            <w:pPr>
              <w:keepNext w:val="0"/>
              <w:keepLines w:val="0"/>
              <w:widowControl/>
              <w:suppressLineNumbers w:val="0"/>
              <w:jc w:val="left"/>
              <w:rPr>
                <w:rFonts w:hint="default" w:ascii="Times New Roman" w:hAnsi="Times New Roman" w:eastAsia="宋体" w:cs="Times New Roman"/>
                <w:b/>
                <w:bCs/>
                <w:color w:val="auto"/>
                <w:kern w:val="0"/>
                <w:sz w:val="24"/>
                <w:szCs w:val="24"/>
                <w:highlight w:val="none"/>
                <w:lang w:val="en-US" w:eastAsia="zh-CN" w:bidi="ar"/>
              </w:rPr>
            </w:pPr>
          </w:p>
          <w:p w14:paraId="06033CF6">
            <w:pPr>
              <w:keepNext w:val="0"/>
              <w:keepLines w:val="0"/>
              <w:widowControl/>
              <w:suppressLineNumbers w:val="0"/>
              <w:jc w:val="left"/>
              <w:rPr>
                <w:rFonts w:hint="default" w:ascii="Times New Roman" w:hAnsi="Times New Roman" w:eastAsia="宋体" w:cs="Times New Roman"/>
                <w:b/>
                <w:bCs/>
                <w:color w:val="auto"/>
                <w:kern w:val="0"/>
                <w:sz w:val="24"/>
                <w:szCs w:val="24"/>
                <w:highlight w:val="none"/>
                <w:lang w:val="en-US" w:eastAsia="zh-CN" w:bidi="ar"/>
              </w:rPr>
            </w:pPr>
          </w:p>
          <w:p w14:paraId="532EF5F4">
            <w:pPr>
              <w:keepNext w:val="0"/>
              <w:keepLines w:val="0"/>
              <w:widowControl/>
              <w:suppressLineNumbers w:val="0"/>
              <w:jc w:val="left"/>
              <w:rPr>
                <w:rFonts w:hint="default" w:ascii="Times New Roman" w:hAnsi="Times New Roman" w:eastAsia="宋体" w:cs="Times New Roman"/>
                <w:b/>
                <w:bCs/>
                <w:color w:val="auto"/>
                <w:kern w:val="0"/>
                <w:sz w:val="24"/>
                <w:szCs w:val="24"/>
                <w:highlight w:val="none"/>
                <w:lang w:val="en-US" w:eastAsia="zh-CN" w:bidi="ar"/>
              </w:rPr>
            </w:pPr>
          </w:p>
          <w:p w14:paraId="5014A4B5">
            <w:pPr>
              <w:keepNext w:val="0"/>
              <w:keepLines w:val="0"/>
              <w:widowControl/>
              <w:suppressLineNumbers w:val="0"/>
              <w:jc w:val="left"/>
              <w:rPr>
                <w:rFonts w:hint="default" w:ascii="Times New Roman" w:hAnsi="Times New Roman" w:eastAsia="宋体" w:cs="Times New Roman"/>
                <w:b/>
                <w:bCs/>
                <w:color w:val="auto"/>
                <w:kern w:val="0"/>
                <w:sz w:val="24"/>
                <w:szCs w:val="24"/>
                <w:highlight w:val="none"/>
                <w:lang w:val="en-US" w:eastAsia="zh-CN" w:bidi="ar"/>
              </w:rPr>
            </w:pPr>
          </w:p>
          <w:p w14:paraId="0B46665E">
            <w:pPr>
              <w:keepNext w:val="0"/>
              <w:keepLines w:val="0"/>
              <w:widowControl/>
              <w:suppressLineNumbers w:val="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szCs w:val="24"/>
                <w:highlight w:val="none"/>
                <w:lang w:val="en-US" w:eastAsia="zh-CN" w:bidi="ar"/>
              </w:rPr>
              <w:t>与地下水环境管控区叠加图</w:t>
            </w:r>
            <w:r>
              <w:rPr>
                <w:rFonts w:hint="default" w:ascii="Times New Roman" w:hAnsi="Times New Roman" w:cs="Times New Roman"/>
                <w:b/>
                <w:bCs/>
                <w:color w:val="auto"/>
                <w:kern w:val="0"/>
                <w:sz w:val="24"/>
                <w:szCs w:val="24"/>
                <w:highlight w:val="none"/>
                <w:lang w:val="en-US" w:eastAsia="zh-CN" w:bidi="ar"/>
              </w:rPr>
              <w:t>:</w:t>
            </w:r>
          </w:p>
          <w:p w14:paraId="6A6C8663">
            <w:pPr>
              <w:keepNext w:val="0"/>
              <w:keepLines w:val="0"/>
              <w:widowControl/>
              <w:suppressLineNumbers w:val="0"/>
              <w:jc w:val="center"/>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highlight w:val="none"/>
              </w:rPr>
              <w:drawing>
                <wp:inline distT="0" distB="0" distL="114300" distR="114300">
                  <wp:extent cx="4995545" cy="2560955"/>
                  <wp:effectExtent l="0" t="0" r="14605" b="10795"/>
                  <wp:docPr id="60"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89"/>
                          <pic:cNvPicPr>
                            <a:picLocks noChangeAspect="1"/>
                          </pic:cNvPicPr>
                        </pic:nvPicPr>
                        <pic:blipFill>
                          <a:blip r:embed="rId10"/>
                          <a:stretch>
                            <a:fillRect/>
                          </a:stretch>
                        </pic:blipFill>
                        <pic:spPr>
                          <a:xfrm>
                            <a:off x="0" y="0"/>
                            <a:ext cx="4995545" cy="2560955"/>
                          </a:xfrm>
                          <a:prstGeom prst="rect">
                            <a:avLst/>
                          </a:prstGeom>
                          <a:noFill/>
                          <a:ln>
                            <a:noFill/>
                          </a:ln>
                        </pic:spPr>
                      </pic:pic>
                    </a:graphicData>
                  </a:graphic>
                </wp:inline>
              </w:drawing>
            </w:r>
          </w:p>
          <w:p w14:paraId="1CCD61F2">
            <w:pPr>
              <w:keepNext w:val="0"/>
              <w:keepLines w:val="0"/>
              <w:pageBreakBefore w:val="0"/>
              <w:widowControl w:val="0"/>
              <w:kinsoku/>
              <w:wordWrap/>
              <w:overflowPunct/>
              <w:topLinePunct w:val="0"/>
              <w:autoSpaceDE/>
              <w:autoSpaceDN/>
              <w:bidi w:val="0"/>
              <w:adjustRightInd/>
              <w:snapToGrid/>
              <w:spacing w:before="0" w:after="0" w:line="500" w:lineRule="exact"/>
              <w:ind w:right="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图1</w:t>
            </w:r>
            <w:r>
              <w:rPr>
                <w:rFonts w:hint="default" w:ascii="Times New Roman" w:hAnsi="Times New Roman" w:cs="Times New Roman"/>
                <w:b/>
                <w:bCs/>
                <w:color w:val="auto"/>
                <w:kern w:val="0"/>
                <w:sz w:val="21"/>
                <w:szCs w:val="21"/>
                <w:highlight w:val="none"/>
                <w:lang w:val="en-US" w:eastAsia="zh-CN" w:bidi="ar-SA"/>
              </w:rPr>
              <w:t>—</w:t>
            </w:r>
            <w:r>
              <w:rPr>
                <w:rFonts w:hint="default" w:ascii="Times New Roman" w:hAnsi="Times New Roman" w:eastAsia="宋体" w:cs="Times New Roman"/>
                <w:b/>
                <w:bCs/>
                <w:color w:val="auto"/>
                <w:kern w:val="0"/>
                <w:sz w:val="21"/>
                <w:szCs w:val="21"/>
                <w:highlight w:val="none"/>
                <w:lang w:val="en-US" w:eastAsia="zh-CN" w:bidi="ar-SA"/>
              </w:rPr>
              <w:t>1  本项目与环境管控单元对照分析示意图</w:t>
            </w:r>
          </w:p>
          <w:p w14:paraId="66807DD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w:t>
            </w:r>
            <w:r>
              <w:rPr>
                <w:rFonts w:hint="default" w:ascii="Times New Roman" w:hAnsi="Times New Roman" w:eastAsia="宋体" w:cs="Times New Roman"/>
                <w:color w:val="auto"/>
                <w:sz w:val="24"/>
                <w:szCs w:val="24"/>
                <w:highlight w:val="none"/>
                <w:lang w:val="en-US" w:eastAsia="zh-CN"/>
              </w:rPr>
              <w:t>表</w:t>
            </w:r>
            <w:r>
              <w:rPr>
                <w:rFonts w:hint="default" w:ascii="Times New Roman" w:hAnsi="Times New Roman" w:cs="Times New Roman"/>
                <w:color w:val="auto"/>
                <w:sz w:val="24"/>
                <w:szCs w:val="24"/>
                <w:highlight w:val="none"/>
                <w:lang w:eastAsia="zh-CN"/>
              </w:rPr>
              <w:t>"</w:t>
            </w:r>
          </w:p>
          <w:p w14:paraId="379A6D3C">
            <w:pPr>
              <w:pStyle w:val="1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1）生态红线分析</w:t>
            </w:r>
            <w:r>
              <w:rPr>
                <w:rFonts w:hint="default" w:ascii="Times New Roman" w:hAnsi="Times New Roman" w:cs="Times New Roman"/>
                <w:color w:val="auto"/>
                <w:kern w:val="2"/>
                <w:sz w:val="24"/>
                <w:szCs w:val="24"/>
                <w:highlight w:val="none"/>
                <w:lang w:val="en-US" w:eastAsia="zh-CN"/>
              </w:rPr>
              <w:t>:</w:t>
            </w:r>
          </w:p>
          <w:p w14:paraId="3EB5A5B2">
            <w:pPr>
              <w:pStyle w:val="1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color w:val="auto"/>
                <w:sz w:val="24"/>
                <w:szCs w:val="24"/>
                <w:highlight w:val="yellow"/>
                <w:lang w:val="en-US" w:eastAsia="zh-CN"/>
              </w:rPr>
            </w:pPr>
            <w:r>
              <w:rPr>
                <w:rFonts w:hint="default" w:ascii="Times New Roman" w:hAnsi="Times New Roman" w:eastAsia="宋体" w:cs="Times New Roman"/>
                <w:color w:val="auto"/>
                <w:kern w:val="2"/>
                <w:sz w:val="24"/>
                <w:szCs w:val="24"/>
                <w:highlight w:val="none"/>
                <w:lang w:val="en-US" w:eastAsia="zh-CN"/>
              </w:rPr>
              <w:t>根据黑龙江省生态环境分区管控数据应用平台出具的《黑龙江省庆安县欧根河治理工程生态环境分区管控分析报告》可知，</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与生态保护红线交集面积为0.02平方公里，本项目部分区域与庆安县小兴安岭生物多样性与水源涵养功能生态保护红线</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生物多样性维护生态功能重要区、庆安县小兴安岭生物多样性与水源涵养功能生态保护红线</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水源涵养生态功能重要区相交。</w:t>
            </w:r>
            <w:r>
              <w:rPr>
                <w:rFonts w:hint="default" w:ascii="Times New Roman" w:hAnsi="Times New Roman" w:eastAsia="宋体" w:cs="Times New Roman"/>
                <w:color w:val="auto"/>
                <w:sz w:val="24"/>
                <w:szCs w:val="24"/>
                <w:highlight w:val="yellow"/>
                <w:lang w:val="en-US" w:eastAsia="zh-CN"/>
              </w:rPr>
              <w:t>本项目属于《自然资源部生态环境部 国家林业和草原局关于加强生态保护红线管理的通知（试行）》（自然资发〔2022〕142号）</w:t>
            </w:r>
            <w:r>
              <w:rPr>
                <w:rFonts w:hint="default" w:ascii="Times New Roman" w:hAnsi="Times New Roman" w:cs="Times New Roman"/>
                <w:color w:val="auto"/>
                <w:sz w:val="24"/>
                <w:szCs w:val="24"/>
                <w:highlight w:val="yellow"/>
                <w:lang w:val="en-US" w:eastAsia="zh-CN"/>
              </w:rPr>
              <w:t>"</w:t>
            </w:r>
            <w:r>
              <w:rPr>
                <w:rFonts w:hint="default" w:ascii="Times New Roman" w:hAnsi="Times New Roman" w:eastAsia="宋体" w:cs="Times New Roman"/>
                <w:color w:val="auto"/>
                <w:sz w:val="24"/>
                <w:szCs w:val="24"/>
                <w:highlight w:val="yellow"/>
                <w:lang w:val="zh-CN" w:eastAsia="zh-CN"/>
              </w:rPr>
              <w:t>6.必须且无法避让、符合县级以上国土空间规划的线性基础设施、通讯和防洪、供水设施建设和船舶航行、航道疏浚清淤等活动；已有的合法水利、交通运输等设施运行维护改造</w:t>
            </w:r>
            <w:r>
              <w:rPr>
                <w:rFonts w:hint="default" w:ascii="Times New Roman" w:hAnsi="Times New Roman" w:cs="Times New Roman"/>
                <w:color w:val="auto"/>
                <w:sz w:val="24"/>
                <w:szCs w:val="24"/>
                <w:highlight w:val="yellow"/>
                <w:lang w:val="zh-CN" w:eastAsia="zh-CN"/>
              </w:rPr>
              <w:t>"</w:t>
            </w:r>
            <w:r>
              <w:rPr>
                <w:rFonts w:hint="default" w:ascii="Times New Roman" w:hAnsi="Times New Roman" w:eastAsia="宋体" w:cs="Times New Roman"/>
                <w:color w:val="auto"/>
                <w:sz w:val="24"/>
                <w:szCs w:val="24"/>
                <w:highlight w:val="yellow"/>
                <w:lang w:val="zh-CN" w:eastAsia="zh-CN"/>
              </w:rPr>
              <w:t>。中的防洪设施运行维护改造工程，符合</w:t>
            </w:r>
            <w:r>
              <w:rPr>
                <w:rFonts w:hint="default" w:ascii="Times New Roman" w:hAnsi="Times New Roman" w:eastAsia="宋体" w:cs="Times New Roman"/>
                <w:color w:val="auto"/>
                <w:sz w:val="24"/>
                <w:szCs w:val="24"/>
                <w:highlight w:val="yellow"/>
                <w:lang w:val="en-US" w:eastAsia="zh-CN"/>
              </w:rPr>
              <w:t>《自然资源部生态环境部 国家林业和草原局关于加强生态保护红线管理的通知（试行）》（自然资发〔2022〕142号），同时根据《关于落实</w:t>
            </w:r>
            <w:r>
              <w:rPr>
                <w:rFonts w:hint="default" w:ascii="Times New Roman" w:hAnsi="Times New Roman" w:cs="Times New Roman"/>
                <w:color w:val="auto"/>
                <w:sz w:val="24"/>
                <w:szCs w:val="24"/>
                <w:highlight w:val="yellow"/>
                <w:lang w:val="en-US" w:eastAsia="zh-CN"/>
              </w:rPr>
              <w:t>"</w:t>
            </w:r>
            <w:r>
              <w:rPr>
                <w:rFonts w:hint="default" w:ascii="Times New Roman" w:hAnsi="Times New Roman" w:eastAsia="宋体" w:cs="Times New Roman"/>
                <w:color w:val="auto"/>
                <w:sz w:val="24"/>
                <w:szCs w:val="24"/>
                <w:highlight w:val="yellow"/>
                <w:lang w:val="en-US" w:eastAsia="zh-CN"/>
              </w:rPr>
              <w:t>十四五</w:t>
            </w:r>
            <w:r>
              <w:rPr>
                <w:rFonts w:hint="default" w:ascii="Times New Roman" w:hAnsi="Times New Roman" w:cs="Times New Roman"/>
                <w:color w:val="auto"/>
                <w:sz w:val="24"/>
                <w:szCs w:val="24"/>
                <w:highlight w:val="yellow"/>
                <w:lang w:val="en-US" w:eastAsia="zh-CN"/>
              </w:rPr>
              <w:t>"</w:t>
            </w:r>
            <w:r>
              <w:rPr>
                <w:rFonts w:hint="default" w:ascii="Times New Roman" w:hAnsi="Times New Roman" w:eastAsia="宋体" w:cs="Times New Roman"/>
                <w:color w:val="auto"/>
                <w:sz w:val="24"/>
                <w:szCs w:val="24"/>
                <w:highlight w:val="yellow"/>
                <w:lang w:val="en-US" w:eastAsia="zh-CN"/>
              </w:rPr>
              <w:t>规划</w:t>
            </w:r>
            <w:r>
              <w:rPr>
                <w:rFonts w:hint="default" w:ascii="Times New Roman" w:hAnsi="Times New Roman" w:cs="Times New Roman"/>
                <w:color w:val="auto"/>
                <w:sz w:val="24"/>
                <w:szCs w:val="24"/>
                <w:highlight w:val="yellow"/>
                <w:lang w:val="en-US" w:eastAsia="zh-CN"/>
              </w:rPr>
              <w:t>&lt;</w:t>
            </w:r>
            <w:r>
              <w:rPr>
                <w:rFonts w:hint="default" w:ascii="Times New Roman" w:hAnsi="Times New Roman" w:eastAsia="宋体" w:cs="Times New Roman"/>
                <w:color w:val="auto"/>
                <w:sz w:val="24"/>
                <w:szCs w:val="24"/>
                <w:highlight w:val="yellow"/>
                <w:lang w:val="en-US" w:eastAsia="zh-CN"/>
              </w:rPr>
              <w:t>纲要</w:t>
            </w:r>
            <w:r>
              <w:rPr>
                <w:rFonts w:hint="default" w:ascii="Times New Roman" w:hAnsi="Times New Roman" w:cs="Times New Roman"/>
                <w:color w:val="auto"/>
                <w:sz w:val="24"/>
                <w:szCs w:val="24"/>
                <w:highlight w:val="yellow"/>
                <w:lang w:val="en-US" w:eastAsia="zh-CN"/>
              </w:rPr>
              <w:t>&gt;</w:t>
            </w:r>
            <w:r>
              <w:rPr>
                <w:rFonts w:hint="default" w:ascii="Times New Roman" w:hAnsi="Times New Roman" w:eastAsia="宋体" w:cs="Times New Roman"/>
                <w:color w:val="auto"/>
                <w:sz w:val="24"/>
                <w:szCs w:val="24"/>
                <w:highlight w:val="yellow"/>
                <w:lang w:val="en-US" w:eastAsia="zh-CN"/>
              </w:rPr>
              <w:t>102项重大工程项目入库和调度工作的通知》（黑水发〔2022〕58号），本项目属于102项重大工程涉水利项目。</w:t>
            </w:r>
          </w:p>
          <w:p w14:paraId="74C83827">
            <w:pPr>
              <w:pStyle w:val="13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highlight w:val="none"/>
              </w:rPr>
              <w:drawing>
                <wp:inline distT="0" distB="0" distL="114300" distR="114300">
                  <wp:extent cx="5000625" cy="2563495"/>
                  <wp:effectExtent l="0" t="0" r="9525" b="8255"/>
                  <wp:docPr id="61"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90"/>
                          <pic:cNvPicPr>
                            <a:picLocks noChangeAspect="1"/>
                          </pic:cNvPicPr>
                        </pic:nvPicPr>
                        <pic:blipFill>
                          <a:blip r:embed="rId11"/>
                          <a:stretch>
                            <a:fillRect/>
                          </a:stretch>
                        </pic:blipFill>
                        <pic:spPr>
                          <a:xfrm>
                            <a:off x="0" y="0"/>
                            <a:ext cx="5000625" cy="2563495"/>
                          </a:xfrm>
                          <a:prstGeom prst="rect">
                            <a:avLst/>
                          </a:prstGeom>
                          <a:noFill/>
                          <a:ln>
                            <a:noFill/>
                          </a:ln>
                        </pic:spPr>
                      </pic:pic>
                    </a:graphicData>
                  </a:graphic>
                </wp:inline>
              </w:drawing>
            </w:r>
          </w:p>
          <w:p w14:paraId="3F571638">
            <w:pPr>
              <w:keepNext w:val="0"/>
              <w:keepLines w:val="0"/>
              <w:pageBreakBefore w:val="0"/>
              <w:widowControl w:val="0"/>
              <w:kinsoku/>
              <w:wordWrap/>
              <w:overflowPunct/>
              <w:topLinePunct w:val="0"/>
              <w:autoSpaceDE/>
              <w:autoSpaceDN/>
              <w:bidi w:val="0"/>
              <w:adjustRightInd/>
              <w:snapToGrid/>
              <w:spacing w:before="0" w:after="0" w:line="500" w:lineRule="exact"/>
              <w:ind w:right="0" w:firstLine="0" w:firstLineChars="0"/>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kern w:val="0"/>
                <w:sz w:val="21"/>
                <w:szCs w:val="21"/>
                <w:highlight w:val="none"/>
                <w:lang w:val="en-US" w:eastAsia="zh-CN" w:bidi="ar-SA"/>
              </w:rPr>
              <w:t>图1</w:t>
            </w:r>
            <w:r>
              <w:rPr>
                <w:rFonts w:hint="default" w:ascii="Times New Roman" w:hAnsi="Times New Roman" w:cs="Times New Roman"/>
                <w:b/>
                <w:bCs/>
                <w:color w:val="auto"/>
                <w:kern w:val="0"/>
                <w:sz w:val="21"/>
                <w:szCs w:val="21"/>
                <w:highlight w:val="none"/>
                <w:lang w:val="en-US" w:eastAsia="zh-CN" w:bidi="ar-SA"/>
              </w:rPr>
              <w:t>—</w:t>
            </w:r>
            <w:r>
              <w:rPr>
                <w:rFonts w:hint="default" w:ascii="Times New Roman" w:hAnsi="Times New Roman" w:eastAsia="宋体" w:cs="Times New Roman"/>
                <w:b/>
                <w:bCs/>
                <w:color w:val="auto"/>
                <w:kern w:val="0"/>
                <w:sz w:val="21"/>
                <w:szCs w:val="21"/>
                <w:highlight w:val="none"/>
                <w:lang w:val="en-US" w:eastAsia="zh-CN" w:bidi="ar-SA"/>
              </w:rPr>
              <w:t>2  本项目与生态红线位置关系示意图</w:t>
            </w:r>
          </w:p>
          <w:p w14:paraId="4612E805">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eastAsia="zh-CN"/>
              </w:rPr>
              <w:t>"生态环境分区管控"</w:t>
            </w:r>
            <w:r>
              <w:rPr>
                <w:rFonts w:hint="default" w:ascii="Times New Roman" w:hAnsi="Times New Roman" w:eastAsia="宋体" w:cs="Times New Roman"/>
                <w:color w:val="auto"/>
                <w:sz w:val="24"/>
                <w:highlight w:val="none"/>
              </w:rPr>
              <w:t>符合性分析</w:t>
            </w:r>
          </w:p>
          <w:p w14:paraId="0541C8CF">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本项目与</w:t>
            </w:r>
            <w:r>
              <w:rPr>
                <w:rFonts w:hint="default" w:ascii="Times New Roman" w:hAnsi="Times New Roman" w:cs="Times New Roman"/>
                <w:color w:val="auto"/>
                <w:sz w:val="24"/>
                <w:highlight w:val="none"/>
                <w:lang w:eastAsia="zh-CN"/>
              </w:rPr>
              <w:t>"生态环境分区管控"</w:t>
            </w:r>
            <w:r>
              <w:rPr>
                <w:rFonts w:hint="default" w:ascii="Times New Roman" w:hAnsi="Times New Roman" w:eastAsia="宋体" w:cs="Times New Roman"/>
                <w:color w:val="auto"/>
                <w:sz w:val="24"/>
                <w:highlight w:val="none"/>
              </w:rPr>
              <w:t>符合性分析见表1</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14:paraId="54A1FB62">
            <w:pPr>
              <w:keepNext w:val="0"/>
              <w:keepLines w:val="0"/>
              <w:pageBreakBefore w:val="0"/>
              <w:widowControl w:val="0"/>
              <w:kinsoku/>
              <w:wordWrap/>
              <w:overflowPunct/>
              <w:topLinePunct w:val="0"/>
              <w:autoSpaceDE/>
              <w:autoSpaceDN/>
              <w:bidi w:val="0"/>
              <w:adjustRightInd/>
              <w:snapToGrid/>
              <w:spacing w:before="0" w:after="0" w:line="500" w:lineRule="exact"/>
              <w:ind w:right="0" w:firstLine="0" w:firstLineChars="0"/>
              <w:jc w:val="center"/>
              <w:textAlignment w:val="auto"/>
              <w:rPr>
                <w:rFonts w:hint="default" w:ascii="Times New Roman" w:hAnsi="Times New Roman" w:eastAsia="宋体" w:cs="Times New Roman"/>
                <w:b/>
                <w:bCs/>
                <w:color w:val="auto"/>
                <w:kern w:val="0"/>
                <w:sz w:val="21"/>
                <w:szCs w:val="22"/>
                <w:highlight w:val="none"/>
                <w:lang w:val="en-US" w:eastAsia="zh-CN" w:bidi="ar-SA"/>
              </w:rPr>
            </w:pPr>
            <w:r>
              <w:rPr>
                <w:rFonts w:hint="default" w:ascii="Times New Roman" w:hAnsi="Times New Roman" w:eastAsia="宋体" w:cs="Times New Roman"/>
                <w:b/>
                <w:bCs/>
                <w:color w:val="auto"/>
                <w:kern w:val="0"/>
                <w:sz w:val="21"/>
                <w:szCs w:val="22"/>
                <w:highlight w:val="none"/>
                <w:lang w:val="en-US" w:eastAsia="zh-CN" w:bidi="ar-SA"/>
              </w:rPr>
              <w:t>表1</w:t>
            </w:r>
            <w:r>
              <w:rPr>
                <w:rFonts w:hint="default" w:ascii="Times New Roman" w:hAnsi="Times New Roman" w:cs="Times New Roman"/>
                <w:b/>
                <w:bCs/>
                <w:color w:val="auto"/>
                <w:kern w:val="0"/>
                <w:sz w:val="21"/>
                <w:szCs w:val="22"/>
                <w:highlight w:val="none"/>
                <w:lang w:val="en-US" w:eastAsia="zh-CN" w:bidi="ar-SA"/>
              </w:rPr>
              <w:t>—</w:t>
            </w:r>
            <w:r>
              <w:rPr>
                <w:rFonts w:hint="default" w:ascii="Times New Roman" w:hAnsi="Times New Roman" w:eastAsia="宋体" w:cs="Times New Roman"/>
                <w:b/>
                <w:bCs/>
                <w:color w:val="auto"/>
                <w:kern w:val="0"/>
                <w:sz w:val="21"/>
                <w:szCs w:val="22"/>
                <w:highlight w:val="none"/>
                <w:lang w:val="en-US" w:eastAsia="zh-CN" w:bidi="ar-SA"/>
              </w:rPr>
              <w:t>2  本项目与</w:t>
            </w:r>
            <w:r>
              <w:rPr>
                <w:rFonts w:hint="default" w:ascii="Times New Roman" w:hAnsi="Times New Roman" w:cs="Times New Roman"/>
                <w:b/>
                <w:bCs/>
                <w:color w:val="auto"/>
                <w:kern w:val="0"/>
                <w:sz w:val="21"/>
                <w:szCs w:val="22"/>
                <w:highlight w:val="none"/>
                <w:lang w:val="en-US" w:eastAsia="zh-CN" w:bidi="ar-SA"/>
              </w:rPr>
              <w:t>"生态环境分区管控"</w:t>
            </w:r>
            <w:r>
              <w:rPr>
                <w:rFonts w:hint="default" w:ascii="Times New Roman" w:hAnsi="Times New Roman" w:eastAsia="宋体" w:cs="Times New Roman"/>
                <w:b/>
                <w:bCs/>
                <w:color w:val="auto"/>
                <w:kern w:val="0"/>
                <w:sz w:val="21"/>
                <w:szCs w:val="22"/>
                <w:highlight w:val="none"/>
                <w:lang w:val="en-US" w:eastAsia="zh-CN" w:bidi="ar-SA"/>
              </w:rPr>
              <w:t>要求符合性分析</w:t>
            </w:r>
          </w:p>
          <w:tbl>
            <w:tblPr>
              <w:tblStyle w:val="25"/>
              <w:tblW w:w="493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4146"/>
              <w:gridCol w:w="14"/>
              <w:gridCol w:w="2212"/>
            </w:tblGrid>
            <w:tr w14:paraId="1FDC39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000" w:type="pct"/>
                  <w:gridSpan w:val="4"/>
                  <w:noWrap w:val="0"/>
                  <w:vAlign w:val="center"/>
                </w:tcPr>
                <w:p w14:paraId="3B333E1C">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lang w:val="en-US" w:eastAsia="zh-CN"/>
                    </w:rPr>
                    <w:t>一</w:t>
                  </w:r>
                  <w:r>
                    <w:rPr>
                      <w:rFonts w:hint="default" w:ascii="Times New Roman" w:hAnsi="Times New Roman" w:eastAsia="宋体" w:cs="Times New Roman"/>
                      <w:b/>
                      <w:bCs/>
                      <w:color w:val="auto"/>
                      <w:sz w:val="18"/>
                      <w:szCs w:val="18"/>
                      <w:highlight w:val="none"/>
                    </w:rPr>
                    <w:t>、环境质量底线</w:t>
                  </w:r>
                </w:p>
              </w:tc>
            </w:tr>
            <w:tr w14:paraId="2AF41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5000" w:type="pct"/>
                  <w:gridSpan w:val="4"/>
                  <w:noWrap w:val="0"/>
                  <w:vAlign w:val="center"/>
                </w:tcPr>
                <w:p w14:paraId="3F23DF1B">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大气环境</w:t>
                  </w:r>
                </w:p>
              </w:tc>
            </w:tr>
            <w:tr w14:paraId="31E62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892" w:type="pct"/>
                  <w:noWrap w:val="0"/>
                  <w:vAlign w:val="center"/>
                </w:tcPr>
                <w:p w14:paraId="5276622E">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b/>
                      <w:bCs/>
                      <w:color w:val="auto"/>
                      <w:spacing w:val="-3"/>
                      <w:kern w:val="0"/>
                      <w:sz w:val="18"/>
                      <w:szCs w:val="18"/>
                      <w:highlight w:val="none"/>
                      <w:lang w:eastAsia="zh-CN"/>
                    </w:rPr>
                  </w:pPr>
                  <w:r>
                    <w:rPr>
                      <w:rFonts w:hint="default" w:ascii="Times New Roman" w:hAnsi="Times New Roman" w:eastAsia="宋体" w:cs="Times New Roman"/>
                      <w:b/>
                      <w:bCs/>
                      <w:color w:val="auto"/>
                      <w:sz w:val="18"/>
                      <w:szCs w:val="18"/>
                      <w:highlight w:val="none"/>
                    </w:rPr>
                    <w:t>管控单元类别</w:t>
                  </w:r>
                </w:p>
              </w:tc>
              <w:tc>
                <w:tcPr>
                  <w:tcW w:w="4107" w:type="pct"/>
                  <w:gridSpan w:val="3"/>
                  <w:noWrap w:val="0"/>
                  <w:vAlign w:val="center"/>
                </w:tcPr>
                <w:p w14:paraId="656A4864">
                  <w:pPr>
                    <w:keepNext w:val="0"/>
                    <w:keepLines w:val="0"/>
                    <w:pageBreakBefore w:val="0"/>
                    <w:kinsoku/>
                    <w:wordWrap/>
                    <w:overflowPunct/>
                    <w:topLinePunct w:val="0"/>
                    <w:bidi w:val="0"/>
                    <w:spacing w:line="240" w:lineRule="exact"/>
                    <w:ind w:right="0"/>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lang w:val="en-US" w:eastAsia="zh-CN"/>
                    </w:rPr>
                    <w:t>大气环境一般管控区</w:t>
                  </w:r>
                </w:p>
              </w:tc>
            </w:tr>
            <w:tr w14:paraId="5BC3E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892" w:type="pct"/>
                  <w:noWrap w:val="0"/>
                  <w:vAlign w:val="center"/>
                </w:tcPr>
                <w:p w14:paraId="6D4E92C9">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color w:val="auto"/>
                      <w:spacing w:val="-3"/>
                      <w:kern w:val="0"/>
                      <w:sz w:val="18"/>
                      <w:szCs w:val="18"/>
                      <w:highlight w:val="none"/>
                      <w:lang w:eastAsia="zh-CN"/>
                    </w:rPr>
                  </w:pPr>
                  <w:r>
                    <w:rPr>
                      <w:rFonts w:hint="default" w:ascii="Times New Roman" w:hAnsi="Times New Roman" w:eastAsia="宋体" w:cs="Times New Roman"/>
                      <w:color w:val="auto"/>
                      <w:sz w:val="18"/>
                      <w:szCs w:val="18"/>
                      <w:highlight w:val="none"/>
                    </w:rPr>
                    <w:t>空间布局约束</w:t>
                  </w:r>
                </w:p>
              </w:tc>
              <w:tc>
                <w:tcPr>
                  <w:tcW w:w="2672" w:type="pct"/>
                  <w:noWrap w:val="0"/>
                  <w:vAlign w:val="center"/>
                </w:tcPr>
                <w:p w14:paraId="389177BB">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1.引导工业项目向开发区集中，促进产业集聚、资源集约、绿色发展。</w:t>
                  </w:r>
                </w:p>
                <w:p w14:paraId="56CA0711">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435" w:type="pct"/>
                  <w:gridSpan w:val="2"/>
                  <w:vMerge w:val="restart"/>
                  <w:noWrap w:val="0"/>
                  <w:vAlign w:val="center"/>
                </w:tcPr>
                <w:p w14:paraId="1553839D">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本项目为防洪除涝工程，不属于</w:t>
                  </w:r>
                  <w:r>
                    <w:rPr>
                      <w:rFonts w:hint="default" w:ascii="Times New Roman" w:hAnsi="Times New Roman" w:cs="Times New Roman"/>
                      <w:color w:val="auto"/>
                      <w:sz w:val="18"/>
                      <w:szCs w:val="18"/>
                      <w:highlight w:val="none"/>
                      <w:lang w:val="en-US" w:eastAsia="zh-CN"/>
                    </w:rPr>
                    <w:t>电力</w:t>
                  </w:r>
                  <w:r>
                    <w:rPr>
                      <w:rFonts w:hint="default" w:ascii="Times New Roman" w:hAnsi="Times New Roman" w:eastAsia="宋体" w:cs="Times New Roman"/>
                      <w:color w:val="auto"/>
                      <w:sz w:val="18"/>
                      <w:szCs w:val="18"/>
                      <w:highlight w:val="none"/>
                      <w:lang w:val="en-US" w:eastAsia="zh-CN"/>
                    </w:rPr>
                    <w:t>、钢铁、建材、有色、化工、石油石化、船舶、煤炭、印染、造纸、制革、染料、焦化、电镀等行业中，环保、能耗、安全等不达标或生产、使用淘汰类产品的企业和产能的项目。</w:t>
                  </w:r>
                </w:p>
              </w:tc>
            </w:tr>
            <w:tr w14:paraId="7BB53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892" w:type="pct"/>
                  <w:noWrap w:val="0"/>
                  <w:vAlign w:val="center"/>
                </w:tcPr>
                <w:p w14:paraId="7E288E84">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color w:val="auto"/>
                      <w:spacing w:val="-3"/>
                      <w:kern w:val="0"/>
                      <w:sz w:val="18"/>
                      <w:szCs w:val="18"/>
                      <w:highlight w:val="none"/>
                      <w:lang w:eastAsia="zh-CN"/>
                    </w:rPr>
                  </w:pPr>
                  <w:r>
                    <w:rPr>
                      <w:rFonts w:hint="default" w:ascii="Times New Roman" w:hAnsi="Times New Roman" w:eastAsia="宋体" w:cs="Times New Roman"/>
                      <w:color w:val="auto"/>
                      <w:sz w:val="18"/>
                      <w:szCs w:val="18"/>
                      <w:highlight w:val="none"/>
                    </w:rPr>
                    <w:t>污染物排放管控</w:t>
                  </w:r>
                </w:p>
              </w:tc>
              <w:tc>
                <w:tcPr>
                  <w:tcW w:w="2672" w:type="pct"/>
                  <w:noWrap w:val="0"/>
                  <w:vAlign w:val="center"/>
                </w:tcPr>
                <w:p w14:paraId="0CB0D99A">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435" w:type="pct"/>
                  <w:gridSpan w:val="2"/>
                  <w:vMerge w:val="continue"/>
                  <w:noWrap w:val="0"/>
                  <w:vAlign w:val="center"/>
                </w:tcPr>
                <w:p w14:paraId="3E7780D6">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rPr>
                  </w:pPr>
                </w:p>
              </w:tc>
            </w:tr>
            <w:tr w14:paraId="6594B3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892" w:type="pct"/>
                  <w:noWrap w:val="0"/>
                  <w:vAlign w:val="center"/>
                </w:tcPr>
                <w:p w14:paraId="7C0A2523">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color w:val="auto"/>
                      <w:spacing w:val="-3"/>
                      <w:kern w:val="0"/>
                      <w:sz w:val="18"/>
                      <w:szCs w:val="18"/>
                      <w:highlight w:val="none"/>
                      <w:lang w:eastAsia="zh-CN"/>
                    </w:rPr>
                  </w:pPr>
                  <w:r>
                    <w:rPr>
                      <w:rFonts w:hint="default" w:ascii="Times New Roman" w:hAnsi="Times New Roman" w:eastAsia="宋体" w:cs="Times New Roman"/>
                      <w:color w:val="auto"/>
                      <w:sz w:val="18"/>
                      <w:szCs w:val="18"/>
                      <w:highlight w:val="none"/>
                    </w:rPr>
                    <w:t>环境风险防控</w:t>
                  </w:r>
                </w:p>
              </w:tc>
              <w:tc>
                <w:tcPr>
                  <w:tcW w:w="2672" w:type="pct"/>
                  <w:noWrap w:val="0"/>
                  <w:vAlign w:val="center"/>
                </w:tcPr>
                <w:p w14:paraId="502FB48F">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435" w:type="pct"/>
                  <w:gridSpan w:val="2"/>
                  <w:vMerge w:val="continue"/>
                  <w:noWrap w:val="0"/>
                  <w:vAlign w:val="center"/>
                </w:tcPr>
                <w:p w14:paraId="15FA201D">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rPr>
                  </w:pPr>
                </w:p>
              </w:tc>
            </w:tr>
            <w:tr w14:paraId="310618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892" w:type="pct"/>
                  <w:noWrap w:val="0"/>
                  <w:vAlign w:val="center"/>
                </w:tcPr>
                <w:p w14:paraId="18DAC5E9">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color w:val="auto"/>
                      <w:spacing w:val="-3"/>
                      <w:kern w:val="0"/>
                      <w:sz w:val="18"/>
                      <w:szCs w:val="18"/>
                      <w:highlight w:val="none"/>
                      <w:lang w:eastAsia="zh-CN"/>
                    </w:rPr>
                  </w:pPr>
                  <w:r>
                    <w:rPr>
                      <w:rFonts w:hint="default" w:ascii="Times New Roman" w:hAnsi="Times New Roman" w:eastAsia="宋体" w:cs="Times New Roman"/>
                      <w:color w:val="auto"/>
                      <w:spacing w:val="-3"/>
                      <w:kern w:val="0"/>
                      <w:sz w:val="18"/>
                      <w:szCs w:val="18"/>
                      <w:highlight w:val="none"/>
                      <w:lang w:eastAsia="zh-CN"/>
                    </w:rPr>
                    <w:t>资源开发效率要求</w:t>
                  </w:r>
                </w:p>
              </w:tc>
              <w:tc>
                <w:tcPr>
                  <w:tcW w:w="2672" w:type="pct"/>
                  <w:noWrap w:val="0"/>
                  <w:vAlign w:val="center"/>
                </w:tcPr>
                <w:p w14:paraId="5573ABD2">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lang w:val="zh-CN" w:eastAsia="zh-CN"/>
                    </w:rPr>
                    <w:t>重点保护类黑土地应保持和提高土壤肥力，通过土壤改良、地力培肥和治理修复，有效遏制黑土地退化，持续提升黑土耕地质量，改善黑土区生态环境。</w:t>
                  </w:r>
                </w:p>
                <w:p w14:paraId="409566D8">
                  <w:pPr>
                    <w:keepNext w:val="0"/>
                    <w:keepLines w:val="0"/>
                    <w:pageBreakBefore w:val="0"/>
                    <w:kinsoku/>
                    <w:wordWrap/>
                    <w:overflowPunct/>
                    <w:topLinePunct w:val="0"/>
                    <w:bidi w:val="0"/>
                    <w:spacing w:line="240" w:lineRule="exact"/>
                    <w:ind w:right="0"/>
                    <w:textAlignment w:val="auto"/>
                    <w:rPr>
                      <w:rFonts w:hint="default" w:ascii="Times New Roman" w:hAnsi="Times New Roman" w:eastAsia="仿宋_GB2312" w:cs="Times New Roman"/>
                      <w:color w:val="auto"/>
                      <w:spacing w:val="-3"/>
                      <w:kern w:val="0"/>
                      <w:sz w:val="21"/>
                      <w:szCs w:val="21"/>
                      <w:highlight w:val="none"/>
                      <w:lang w:val="zh-CN" w:eastAsia="zh-CN" w:bidi="ar-SA"/>
                    </w:rPr>
                  </w:pPr>
                  <w:r>
                    <w:rPr>
                      <w:rFonts w:hint="default" w:ascii="Times New Roman" w:hAnsi="Times New Roman" w:eastAsia="宋体"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lang w:val="zh-CN" w:eastAsia="zh-CN"/>
                    </w:rPr>
                    <w:t>质量严重退化或者污染严重的黑土地，应当实行轮耕、休耕或者退耕还林、还草、还湿以及采取土壤工程技术等污染防治措施推进连片治理。</w:t>
                  </w:r>
                </w:p>
              </w:tc>
              <w:tc>
                <w:tcPr>
                  <w:tcW w:w="1435" w:type="pct"/>
                  <w:gridSpan w:val="2"/>
                  <w:vMerge w:val="continue"/>
                  <w:noWrap w:val="0"/>
                  <w:vAlign w:val="center"/>
                </w:tcPr>
                <w:p w14:paraId="100FAE98">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rPr>
                  </w:pPr>
                </w:p>
              </w:tc>
            </w:tr>
            <w:tr w14:paraId="78F89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892" w:type="pct"/>
                  <w:noWrap w:val="0"/>
                  <w:vAlign w:val="center"/>
                </w:tcPr>
                <w:p w14:paraId="25521AEF">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b/>
                      <w:bCs/>
                      <w:color w:val="auto"/>
                      <w:spacing w:val="-3"/>
                      <w:kern w:val="0"/>
                      <w:sz w:val="18"/>
                      <w:szCs w:val="18"/>
                      <w:highlight w:val="none"/>
                      <w:lang w:eastAsia="zh-CN"/>
                    </w:rPr>
                  </w:pPr>
                  <w:r>
                    <w:rPr>
                      <w:rFonts w:hint="default" w:ascii="Times New Roman" w:hAnsi="Times New Roman" w:eastAsia="宋体" w:cs="Times New Roman"/>
                      <w:b/>
                      <w:bCs/>
                      <w:color w:val="auto"/>
                      <w:sz w:val="18"/>
                      <w:szCs w:val="18"/>
                      <w:highlight w:val="none"/>
                    </w:rPr>
                    <w:t>管控单元类别</w:t>
                  </w:r>
                </w:p>
              </w:tc>
              <w:tc>
                <w:tcPr>
                  <w:tcW w:w="4107" w:type="pct"/>
                  <w:gridSpan w:val="3"/>
                  <w:noWrap w:val="0"/>
                  <w:vAlign w:val="center"/>
                </w:tcPr>
                <w:p w14:paraId="4AA50A47">
                  <w:pPr>
                    <w:keepNext w:val="0"/>
                    <w:keepLines w:val="0"/>
                    <w:pageBreakBefore w:val="0"/>
                    <w:kinsoku/>
                    <w:wordWrap/>
                    <w:overflowPunct/>
                    <w:topLinePunct w:val="0"/>
                    <w:bidi w:val="0"/>
                    <w:spacing w:line="240" w:lineRule="exact"/>
                    <w:ind w:right="0"/>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lang w:val="en-US" w:eastAsia="zh-CN"/>
                    </w:rPr>
                    <w:t>大气环境弱扩散重点管控区</w:t>
                  </w:r>
                </w:p>
              </w:tc>
            </w:tr>
            <w:tr w14:paraId="60D07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892" w:type="pct"/>
                  <w:noWrap w:val="0"/>
                  <w:vAlign w:val="center"/>
                </w:tcPr>
                <w:p w14:paraId="307B8A6F">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color w:val="auto"/>
                      <w:spacing w:val="-3"/>
                      <w:kern w:val="0"/>
                      <w:sz w:val="18"/>
                      <w:szCs w:val="18"/>
                      <w:highlight w:val="none"/>
                      <w:lang w:eastAsia="zh-CN"/>
                    </w:rPr>
                  </w:pPr>
                  <w:r>
                    <w:rPr>
                      <w:rFonts w:hint="default" w:ascii="Times New Roman" w:hAnsi="Times New Roman" w:eastAsia="宋体" w:cs="Times New Roman"/>
                      <w:color w:val="auto"/>
                      <w:sz w:val="18"/>
                      <w:szCs w:val="18"/>
                      <w:highlight w:val="none"/>
                    </w:rPr>
                    <w:t>空间布局约束</w:t>
                  </w:r>
                </w:p>
              </w:tc>
              <w:tc>
                <w:tcPr>
                  <w:tcW w:w="2672" w:type="pct"/>
                  <w:noWrap w:val="0"/>
                  <w:vAlign w:val="center"/>
                </w:tcPr>
                <w:p w14:paraId="41F532AE">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严控</w:t>
                  </w:r>
                  <w:r>
                    <w:rPr>
                      <w:rFonts w:hint="default" w:ascii="Times New Roman" w:hAnsi="Times New Roman"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eastAsia="zh-CN"/>
                    </w:rPr>
                    <w:t>两高</w:t>
                  </w:r>
                  <w:r>
                    <w:rPr>
                      <w:rFonts w:hint="default" w:ascii="Times New Roman" w:hAnsi="Times New Roman"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eastAsia="zh-CN"/>
                    </w:rPr>
                    <w:t>行业产能。严格执行钢铁、水泥、平板玻璃等行业产能置换实施办法。利用水泥窑协同处置城市生活垃圾、危险废弃物、电石渣等固废伴生水泥项目，必须依托现有新型干法水泥熟料生产线进行不扩产能改造。</w:t>
                  </w:r>
                </w:p>
              </w:tc>
              <w:tc>
                <w:tcPr>
                  <w:tcW w:w="1435" w:type="pct"/>
                  <w:gridSpan w:val="2"/>
                  <w:vMerge w:val="restart"/>
                  <w:noWrap w:val="0"/>
                  <w:vAlign w:val="center"/>
                </w:tcPr>
                <w:p w14:paraId="0D654948">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本项目为防洪除涝工程，属于《产业结构调整指导目录（2024年本）》中的鼓励类项目；本项目运行期不产生工业大气污染物，不属于两高行业，不属于</w:t>
                  </w:r>
                  <w:r>
                    <w:rPr>
                      <w:rFonts w:hint="default" w:ascii="Times New Roman" w:hAnsi="Times New Roman" w:eastAsia="宋体" w:cs="Times New Roman"/>
                      <w:color w:val="auto"/>
                      <w:sz w:val="18"/>
                      <w:szCs w:val="18"/>
                      <w:highlight w:val="none"/>
                      <w:lang w:eastAsia="zh-CN"/>
                    </w:rPr>
                    <w:t>有色金属冶炼、焦化</w:t>
                  </w:r>
                  <w:r>
                    <w:rPr>
                      <w:rFonts w:hint="default" w:ascii="Times New Roman" w:hAnsi="Times New Roman" w:eastAsia="宋体" w:cs="Times New Roman"/>
                      <w:color w:val="auto"/>
                      <w:sz w:val="18"/>
                      <w:szCs w:val="18"/>
                      <w:highlight w:val="none"/>
                      <w:lang w:val="en-US" w:eastAsia="zh-CN"/>
                    </w:rPr>
                    <w:t>行业。</w:t>
                  </w:r>
                </w:p>
              </w:tc>
            </w:tr>
            <w:tr w14:paraId="6FBF67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892" w:type="pct"/>
                  <w:noWrap w:val="0"/>
                  <w:vAlign w:val="center"/>
                </w:tcPr>
                <w:p w14:paraId="17C2BA8E">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color w:val="auto"/>
                      <w:spacing w:val="-3"/>
                      <w:kern w:val="0"/>
                      <w:sz w:val="18"/>
                      <w:szCs w:val="18"/>
                      <w:highlight w:val="none"/>
                      <w:lang w:val="en-US" w:eastAsia="zh-CN" w:bidi="ar-SA"/>
                    </w:rPr>
                  </w:pPr>
                  <w:r>
                    <w:rPr>
                      <w:rFonts w:hint="default" w:ascii="Times New Roman" w:hAnsi="Times New Roman" w:eastAsia="宋体" w:cs="Times New Roman"/>
                      <w:color w:val="auto"/>
                      <w:sz w:val="18"/>
                      <w:szCs w:val="18"/>
                      <w:highlight w:val="none"/>
                    </w:rPr>
                    <w:t>污染物排放管控</w:t>
                  </w:r>
                </w:p>
              </w:tc>
              <w:tc>
                <w:tcPr>
                  <w:tcW w:w="2672" w:type="pct"/>
                  <w:noWrap w:val="0"/>
                  <w:vAlign w:val="center"/>
                </w:tcPr>
                <w:p w14:paraId="3D11113E">
                  <w:pPr>
                    <w:keepNext w:val="0"/>
                    <w:keepLines w:val="0"/>
                    <w:pageBreakBefore w:val="0"/>
                    <w:kinsoku/>
                    <w:wordWrap/>
                    <w:overflowPunct/>
                    <w:topLinePunct w:val="0"/>
                    <w:bidi w:val="0"/>
                    <w:spacing w:line="240" w:lineRule="exact"/>
                    <w:ind w:right="0" w:rightChars="0"/>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w:t>
                  </w:r>
                </w:p>
              </w:tc>
              <w:tc>
                <w:tcPr>
                  <w:tcW w:w="1435" w:type="pct"/>
                  <w:gridSpan w:val="2"/>
                  <w:vMerge w:val="continue"/>
                  <w:noWrap w:val="0"/>
                  <w:vAlign w:val="center"/>
                </w:tcPr>
                <w:p w14:paraId="6AC53617">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val="en-US" w:eastAsia="zh-CN"/>
                    </w:rPr>
                  </w:pPr>
                </w:p>
              </w:tc>
            </w:tr>
            <w:tr w14:paraId="6308A0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892" w:type="pct"/>
                  <w:noWrap w:val="0"/>
                  <w:vAlign w:val="center"/>
                </w:tcPr>
                <w:p w14:paraId="0675F4E0">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color w:val="auto"/>
                      <w:spacing w:val="-3"/>
                      <w:kern w:val="0"/>
                      <w:sz w:val="18"/>
                      <w:szCs w:val="18"/>
                      <w:highlight w:val="none"/>
                      <w:lang w:val="en-US" w:eastAsia="zh-CN" w:bidi="ar-SA"/>
                    </w:rPr>
                  </w:pPr>
                  <w:r>
                    <w:rPr>
                      <w:rFonts w:hint="default" w:ascii="Times New Roman" w:hAnsi="Times New Roman" w:eastAsia="宋体" w:cs="Times New Roman"/>
                      <w:color w:val="auto"/>
                      <w:sz w:val="18"/>
                      <w:szCs w:val="18"/>
                      <w:highlight w:val="none"/>
                    </w:rPr>
                    <w:t>环境风险防控</w:t>
                  </w:r>
                </w:p>
              </w:tc>
              <w:tc>
                <w:tcPr>
                  <w:tcW w:w="2672" w:type="pct"/>
                  <w:noWrap w:val="0"/>
                  <w:vAlign w:val="center"/>
                </w:tcPr>
                <w:p w14:paraId="62CF5694">
                  <w:pPr>
                    <w:keepNext w:val="0"/>
                    <w:keepLines w:val="0"/>
                    <w:pageBreakBefore w:val="0"/>
                    <w:kinsoku/>
                    <w:wordWrap/>
                    <w:overflowPunct/>
                    <w:topLinePunct w:val="0"/>
                    <w:bidi w:val="0"/>
                    <w:spacing w:line="240" w:lineRule="exact"/>
                    <w:ind w:right="0" w:rightChars="0"/>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w:t>
                  </w:r>
                </w:p>
              </w:tc>
              <w:tc>
                <w:tcPr>
                  <w:tcW w:w="1435" w:type="pct"/>
                  <w:gridSpan w:val="2"/>
                  <w:vMerge w:val="continue"/>
                  <w:noWrap w:val="0"/>
                  <w:vAlign w:val="center"/>
                </w:tcPr>
                <w:p w14:paraId="198546F7">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val="en-US" w:eastAsia="zh-CN"/>
                    </w:rPr>
                  </w:pPr>
                </w:p>
              </w:tc>
            </w:tr>
            <w:tr w14:paraId="3E330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892" w:type="pct"/>
                  <w:noWrap w:val="0"/>
                  <w:vAlign w:val="center"/>
                </w:tcPr>
                <w:p w14:paraId="783505D4">
                  <w:pPr>
                    <w:keepNext w:val="0"/>
                    <w:keepLines w:val="0"/>
                    <w:pageBreakBefore w:val="0"/>
                    <w:kinsoku/>
                    <w:wordWrap/>
                    <w:overflowPunct/>
                    <w:topLinePunct w:val="0"/>
                    <w:bidi w:val="0"/>
                    <w:spacing w:line="240" w:lineRule="exact"/>
                    <w:ind w:right="0" w:rightChars="0"/>
                    <w:jc w:val="center"/>
                    <w:textAlignment w:val="auto"/>
                    <w:rPr>
                      <w:rFonts w:hint="default" w:ascii="Times New Roman" w:hAnsi="Times New Roman" w:eastAsia="宋体" w:cs="Times New Roman"/>
                      <w:color w:val="auto"/>
                      <w:spacing w:val="-3"/>
                      <w:kern w:val="0"/>
                      <w:sz w:val="18"/>
                      <w:szCs w:val="18"/>
                      <w:highlight w:val="none"/>
                      <w:lang w:eastAsia="zh-CN"/>
                    </w:rPr>
                  </w:pPr>
                  <w:r>
                    <w:rPr>
                      <w:rFonts w:hint="default" w:ascii="Times New Roman" w:hAnsi="Times New Roman" w:eastAsia="宋体" w:cs="Times New Roman"/>
                      <w:color w:val="auto"/>
                      <w:sz w:val="18"/>
                      <w:szCs w:val="18"/>
                      <w:highlight w:val="none"/>
                    </w:rPr>
                    <w:t>环境风险防控</w:t>
                  </w:r>
                </w:p>
              </w:tc>
              <w:tc>
                <w:tcPr>
                  <w:tcW w:w="2672" w:type="pct"/>
                  <w:noWrap w:val="0"/>
                  <w:vAlign w:val="center"/>
                </w:tcPr>
                <w:p w14:paraId="109BCC5C">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禁止在居民区、学校、医疗和养老机构等周边新建有色金属冶炼、焦化等行业企业。</w:t>
                  </w:r>
                </w:p>
              </w:tc>
              <w:tc>
                <w:tcPr>
                  <w:tcW w:w="1435" w:type="pct"/>
                  <w:gridSpan w:val="2"/>
                  <w:vMerge w:val="continue"/>
                  <w:noWrap w:val="0"/>
                  <w:vAlign w:val="center"/>
                </w:tcPr>
                <w:p w14:paraId="47EA86F6">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rPr>
                  </w:pPr>
                </w:p>
              </w:tc>
            </w:tr>
            <w:tr w14:paraId="1F4293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5000" w:type="pct"/>
                  <w:gridSpan w:val="4"/>
                  <w:noWrap w:val="0"/>
                  <w:vAlign w:val="center"/>
                </w:tcPr>
                <w:p w14:paraId="6A3B097F">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lang w:val="en-US" w:eastAsia="zh-CN"/>
                    </w:rPr>
                    <w:t>二</w:t>
                  </w:r>
                  <w:r>
                    <w:rPr>
                      <w:rFonts w:hint="default" w:ascii="Times New Roman" w:hAnsi="Times New Roman" w:eastAsia="宋体" w:cs="Times New Roman"/>
                      <w:b/>
                      <w:bCs/>
                      <w:color w:val="auto"/>
                      <w:sz w:val="18"/>
                      <w:szCs w:val="18"/>
                      <w:highlight w:val="none"/>
                    </w:rPr>
                    <w:t>、资源利用上线</w:t>
                  </w:r>
                </w:p>
              </w:tc>
            </w:tr>
            <w:tr w14:paraId="442F67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892" w:type="pct"/>
                  <w:noWrap w:val="0"/>
                  <w:vAlign w:val="center"/>
                </w:tcPr>
                <w:p w14:paraId="013F5994">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符合性分析</w:t>
                  </w:r>
                </w:p>
              </w:tc>
              <w:tc>
                <w:tcPr>
                  <w:tcW w:w="4107" w:type="pct"/>
                  <w:gridSpan w:val="3"/>
                  <w:noWrap w:val="0"/>
                  <w:vAlign w:val="center"/>
                </w:tcPr>
                <w:p w14:paraId="0FD3FF10">
                  <w:pPr>
                    <w:keepNext w:val="0"/>
                    <w:keepLines w:val="0"/>
                    <w:pageBreakBefore w:val="0"/>
                    <w:kinsoku/>
                    <w:wordWrap/>
                    <w:overflowPunct/>
                    <w:topLinePunct w:val="0"/>
                    <w:bidi w:val="0"/>
                    <w:spacing w:line="240" w:lineRule="exact"/>
                    <w:ind w:right="0"/>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本工程为</w:t>
                  </w:r>
                  <w:r>
                    <w:rPr>
                      <w:rFonts w:hint="default" w:ascii="Times New Roman" w:hAnsi="Times New Roman" w:eastAsia="宋体" w:cs="Times New Roman"/>
                      <w:color w:val="auto"/>
                      <w:sz w:val="18"/>
                      <w:szCs w:val="18"/>
                      <w:highlight w:val="none"/>
                      <w:lang w:val="en-US" w:eastAsia="zh-CN"/>
                    </w:rPr>
                    <w:t>防洪除涝工程</w:t>
                  </w:r>
                  <w:r>
                    <w:rPr>
                      <w:rFonts w:hint="default" w:ascii="Times New Roman" w:hAnsi="Times New Roman" w:eastAsia="宋体" w:cs="Times New Roman"/>
                      <w:color w:val="auto"/>
                      <w:sz w:val="18"/>
                      <w:szCs w:val="18"/>
                      <w:highlight w:val="none"/>
                    </w:rPr>
                    <w:t>，工程实施前</w:t>
                  </w:r>
                  <w:r>
                    <w:rPr>
                      <w:rFonts w:hint="default" w:ascii="Times New Roman" w:hAnsi="Times New Roman" w:eastAsia="宋体" w:cs="Times New Roman"/>
                      <w:color w:val="auto"/>
                      <w:sz w:val="18"/>
                      <w:szCs w:val="18"/>
                      <w:highlight w:val="none"/>
                      <w:lang w:val="en-US" w:eastAsia="zh-CN"/>
                    </w:rPr>
                    <w:t>后不改变河道水量，</w:t>
                  </w:r>
                  <w:r>
                    <w:rPr>
                      <w:rFonts w:hint="default" w:ascii="Times New Roman" w:hAnsi="Times New Roman" w:eastAsia="宋体" w:cs="Times New Roman"/>
                      <w:color w:val="auto"/>
                      <w:sz w:val="18"/>
                      <w:szCs w:val="18"/>
                      <w:highlight w:val="none"/>
                    </w:rPr>
                    <w:t>未突破</w:t>
                  </w:r>
                  <w:r>
                    <w:rPr>
                      <w:rFonts w:hint="default" w:ascii="Times New Roman" w:hAnsi="Times New Roman" w:eastAsia="宋体" w:cs="Times New Roman"/>
                      <w:color w:val="auto"/>
                      <w:sz w:val="18"/>
                      <w:szCs w:val="18"/>
                      <w:highlight w:val="none"/>
                      <w:lang w:val="en-US" w:eastAsia="zh-CN"/>
                    </w:rPr>
                    <w:t>庆安县</w:t>
                  </w:r>
                  <w:r>
                    <w:rPr>
                      <w:rFonts w:hint="default" w:ascii="Times New Roman" w:hAnsi="Times New Roman" w:eastAsia="宋体" w:cs="Times New Roman"/>
                      <w:color w:val="auto"/>
                      <w:sz w:val="18"/>
                      <w:szCs w:val="18"/>
                      <w:highlight w:val="none"/>
                      <w:lang w:eastAsia="zh-CN"/>
                    </w:rPr>
                    <w:t>地表水</w:t>
                  </w:r>
                  <w:r>
                    <w:rPr>
                      <w:rFonts w:hint="default" w:ascii="Times New Roman" w:hAnsi="Times New Roman" w:eastAsia="宋体" w:cs="Times New Roman"/>
                      <w:color w:val="auto"/>
                      <w:sz w:val="18"/>
                      <w:szCs w:val="18"/>
                      <w:highlight w:val="none"/>
                      <w:lang w:val="en-US" w:eastAsia="zh-CN"/>
                    </w:rPr>
                    <w:t>及土地</w:t>
                  </w:r>
                  <w:r>
                    <w:rPr>
                      <w:rFonts w:hint="default" w:ascii="Times New Roman" w:hAnsi="Times New Roman" w:eastAsia="宋体" w:cs="Times New Roman"/>
                      <w:color w:val="auto"/>
                      <w:sz w:val="18"/>
                      <w:szCs w:val="18"/>
                      <w:highlight w:val="none"/>
                    </w:rPr>
                    <w:t>资源利用上线。综上，本工程符合资源利用相关规定要求。</w:t>
                  </w:r>
                </w:p>
              </w:tc>
            </w:tr>
            <w:tr w14:paraId="0356E6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exact"/>
                <w:jc w:val="center"/>
              </w:trPr>
              <w:tc>
                <w:tcPr>
                  <w:tcW w:w="5000" w:type="pct"/>
                  <w:gridSpan w:val="4"/>
                  <w:noWrap w:val="0"/>
                  <w:vAlign w:val="center"/>
                </w:tcPr>
                <w:p w14:paraId="7DBA90FE">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lang w:val="en-US" w:eastAsia="zh-CN"/>
                    </w:rPr>
                    <w:t>三</w:t>
                  </w:r>
                  <w:r>
                    <w:rPr>
                      <w:rFonts w:hint="default" w:ascii="Times New Roman" w:hAnsi="Times New Roman" w:eastAsia="宋体" w:cs="Times New Roman"/>
                      <w:b/>
                      <w:bCs/>
                      <w:color w:val="auto"/>
                      <w:sz w:val="18"/>
                      <w:szCs w:val="18"/>
                      <w:highlight w:val="none"/>
                    </w:rPr>
                    <w:t>、环境准入清单</w:t>
                  </w:r>
                </w:p>
              </w:tc>
            </w:tr>
            <w:tr w14:paraId="748C4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892" w:type="pct"/>
                  <w:noWrap w:val="0"/>
                  <w:vAlign w:val="center"/>
                </w:tcPr>
                <w:p w14:paraId="6ED2AE16">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环境管控单元名称</w:t>
                  </w:r>
                </w:p>
              </w:tc>
              <w:tc>
                <w:tcPr>
                  <w:tcW w:w="4107" w:type="pct"/>
                  <w:gridSpan w:val="3"/>
                  <w:noWrap w:val="0"/>
                  <w:vAlign w:val="center"/>
                </w:tcPr>
                <w:p w14:paraId="315DEAAB">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庆安县生态保护红线</w:t>
                  </w:r>
                </w:p>
              </w:tc>
            </w:tr>
            <w:tr w14:paraId="23C1E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892" w:type="pct"/>
                  <w:noWrap w:val="0"/>
                  <w:vAlign w:val="center"/>
                </w:tcPr>
                <w:p w14:paraId="3C4F33AF">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环境管控单元编码</w:t>
                  </w:r>
                </w:p>
              </w:tc>
              <w:tc>
                <w:tcPr>
                  <w:tcW w:w="4107" w:type="pct"/>
                  <w:gridSpan w:val="3"/>
                  <w:noWrap w:val="0"/>
                  <w:vAlign w:val="center"/>
                </w:tcPr>
                <w:p w14:paraId="0FA6AD76">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ZH23122410001</w:t>
                  </w:r>
                </w:p>
              </w:tc>
            </w:tr>
            <w:tr w14:paraId="7FF7F2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892" w:type="pct"/>
                  <w:noWrap w:val="0"/>
                  <w:vAlign w:val="center"/>
                </w:tcPr>
                <w:p w14:paraId="02243D6D">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管控单元类别</w:t>
                  </w:r>
                </w:p>
              </w:tc>
              <w:tc>
                <w:tcPr>
                  <w:tcW w:w="4107" w:type="pct"/>
                  <w:gridSpan w:val="3"/>
                  <w:noWrap w:val="0"/>
                  <w:vAlign w:val="center"/>
                </w:tcPr>
                <w:p w14:paraId="39DCCBFF">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优先保护单元</w:t>
                  </w:r>
                </w:p>
              </w:tc>
            </w:tr>
            <w:tr w14:paraId="7724B5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564" w:type="pct"/>
                  <w:gridSpan w:val="2"/>
                  <w:noWrap w:val="0"/>
                  <w:vAlign w:val="center"/>
                </w:tcPr>
                <w:p w14:paraId="25475420">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rPr>
                    <w:t>管控要求</w:t>
                  </w:r>
                </w:p>
              </w:tc>
              <w:tc>
                <w:tcPr>
                  <w:tcW w:w="1435" w:type="pct"/>
                  <w:gridSpan w:val="2"/>
                  <w:noWrap w:val="0"/>
                  <w:vAlign w:val="center"/>
                </w:tcPr>
                <w:p w14:paraId="6AAF241E">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rPr>
                    <w:t>项目符合性分析</w:t>
                  </w:r>
                </w:p>
              </w:tc>
            </w:tr>
            <w:tr w14:paraId="5F91E1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0DCE980B">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空间布局约束</w:t>
                  </w:r>
                </w:p>
              </w:tc>
              <w:tc>
                <w:tcPr>
                  <w:tcW w:w="2672" w:type="pct"/>
                  <w:noWrap w:val="0"/>
                  <w:vAlign w:val="center"/>
                </w:tcPr>
                <w:p w14:paraId="16489C58">
                  <w:pPr>
                    <w:keepNext w:val="0"/>
                    <w:keepLines w:val="0"/>
                    <w:pageBreakBefore w:val="0"/>
                    <w:kinsoku/>
                    <w:wordWrap/>
                    <w:overflowPunct/>
                    <w:topLinePunct w:val="0"/>
                    <w:bidi w:val="0"/>
                    <w:snapToGrid w:val="0"/>
                    <w:spacing w:line="240" w:lineRule="exact"/>
                    <w:ind w:right="0"/>
                    <w:jc w:val="left"/>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1.区域执行（1）原则上按禁止开发区域的要求进行管理，严禁不符合主体功能定位的各类开发活动，严禁任意改变用途。 （2）生态保护红线内，自然保护地核心保护区原则上禁止人为活动。生态保护红线内自然保护地核心保护区外，禁止开发性、生产性建设活动，在符合法律法规的前提下，仅允许以下对生态功能不造成破坏的有限人为活动</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管护巡护、保护执法、科学研究、调查监测、测绘导航、防灾减灾救灾、军事国防、疫情防控等活动及相关</w:t>
                  </w:r>
                </w:p>
                <w:p w14:paraId="1A7B246B">
                  <w:pPr>
                    <w:keepNext w:val="0"/>
                    <w:keepLines w:val="0"/>
                    <w:pageBreakBefore w:val="0"/>
                    <w:kinsoku/>
                    <w:wordWrap/>
                    <w:overflowPunct/>
                    <w:topLinePunct w:val="0"/>
                    <w:bidi w:val="0"/>
                    <w:snapToGrid w:val="0"/>
                    <w:spacing w:line="240" w:lineRule="exact"/>
                    <w:ind w:right="0"/>
                    <w:jc w:val="left"/>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的必要设施修筑；原住居民和其他合法权益主体，允许在不扩大现有建设用地、耕地、水产养殖规模和放牧强度（符合草畜平衡管理规定）的前提下，开展种植、放牧、捕捞、养殖等活动，修筑生产生活设施；经依法批准的考古调查发掘、古生物化石调查发掘、标本采集和文物保护活动；按规定对人工商品林进行抚育采伐，或以提升森林质量、优化栖息地、建设生物防火隔离带等为目的的树种更新；不破坏生态功能的适度参观旅游、科普宣教及符合相关规划的配套性服务设施和相关的必要公共设施建设及维护；必须且无法避让、符合县级以</w:t>
                  </w:r>
                </w:p>
                <w:p w14:paraId="7D82ADD6">
                  <w:pPr>
                    <w:keepNext w:val="0"/>
                    <w:keepLines w:val="0"/>
                    <w:pageBreakBefore w:val="0"/>
                    <w:kinsoku/>
                    <w:wordWrap/>
                    <w:overflowPunct/>
                    <w:topLinePunct w:val="0"/>
                    <w:bidi w:val="0"/>
                    <w:snapToGrid w:val="0"/>
                    <w:spacing w:line="240" w:lineRule="exact"/>
                    <w:ind w:right="0"/>
                    <w:jc w:val="left"/>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上国土空间规划的线性基础设施、通讯和防洪、供水设施建设和船舶航行、航道疏浚清淤等活动；已有的合法水利、交通运输等设施运行维护改造；地质调查与矿产资源勘查开采。包括</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范围依照国家相关规定调出生态保护红线；已依法设立的油气采矿权不扩大用地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的战略性矿产探矿权开展勘查活动，可办理探矿权登记，因国家战略需要开展开采活动的，可办理采矿权登记。上述勘查开采活动，应落实减缓生态环境影响措施，严格执行绿色勘查、开采及矿山环境生态修复相关要求；依据县级以上国土空间规划和生态保护修复专项规划开展的生态修复；根据我国相关法律法规和与邻国签署的国界管理制度协定（条约）开展的边界边境通视道清理以及界务工程的修建、维护和拆除工作；法律法规规定允许的其他人为活动。上述有限人为活动管理，涉及新增建设用地的，在报批农用地转用、土地征收时，附省级人民政府出具符合生态保护红线内允许有限人为活动的认定意见；不涉及新增建设用地的，按有关规定进行管理，</w:t>
                  </w:r>
                </w:p>
                <w:p w14:paraId="127F13FD">
                  <w:pPr>
                    <w:keepNext w:val="0"/>
                    <w:keepLines w:val="0"/>
                    <w:pageBreakBefore w:val="0"/>
                    <w:kinsoku/>
                    <w:wordWrap/>
                    <w:overflowPunct/>
                    <w:topLinePunct w:val="0"/>
                    <w:bidi w:val="0"/>
                    <w:snapToGrid w:val="0"/>
                    <w:spacing w:line="240" w:lineRule="exact"/>
                    <w:ind w:right="0"/>
                    <w:jc w:val="left"/>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无明确规定的由省级人民政府制定具体监管办法。上述活动涉及自然保护地的，应征求林业和草原主管部门或自然保护地管理机构意见。生态保护红线内自然保护区、风景名胜区、饮用水水源保护区等区域，依照法律法规执行。 （3）鼓励各地根据生态保护需要和规划，结合土地综合整治、工矿废弃地复垦利用、矿山环境恢复治理等各类工程实施，因地制宜促进生态空间内建设用地逐步有序退出；区内已有的农业用地，建立逐步退出机制，恢复生态用途。 2.水源涵养功能极重要区同时执行禁止开发建设活动要求</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 xml:space="preserve"> （1）对重要水源涵养区建立生态功能保护区，加强对水源涵养区的保护与管理，严格保护具有重要水源涵养功能的自然植被，限制或禁止各种损害生态系统水源涵养功能的经济社会活动和生产方式，如无序采矿、毁林开荒、湿地和草地开垦、过度放牧、道路建设等。 （2）禁止导致水体污染的产业发展，开展生态清洁小流域的建设。 （3）严格监管矿产、水资源开发，严肃查处毁林、毁草、破坏湿地等行为。准入要求。 3.生物多样性维护功能极重要区同时执行禁止开</w:t>
                  </w:r>
                </w:p>
                <w:p w14:paraId="055D5765">
                  <w:pPr>
                    <w:keepNext w:val="0"/>
                    <w:keepLines w:val="0"/>
                    <w:pageBreakBefore w:val="0"/>
                    <w:kinsoku/>
                    <w:wordWrap/>
                    <w:overflowPunct/>
                    <w:topLinePunct w:val="0"/>
                    <w:bidi w:val="0"/>
                    <w:snapToGrid w:val="0"/>
                    <w:spacing w:line="240" w:lineRule="exact"/>
                    <w:ind w:right="0"/>
                    <w:jc w:val="left"/>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发建设活动要求</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1）禁止对野生动植物进行滥捕滥采，保持并恢复野生动植物物种和种群的平衡，实现野生动植物资源的良性循环和永续利用。（2）保护自然生态系统与重要物种栖息地，限制或禁止各种损害栖息地的经济社会活动和生产方式，如无序采矿、毁林开荒、湿地和草地开垦、道路建设等，防止生态建设导致栖息环境的改变。 4.水土保持极重要区同时执行禁止开发建设活动要求</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1）全面实施保护天然林、退耕还林、退牧还草工程，严禁陡坡垦殖和过度放牧。（2）禁止毁林开荒、烧山开荒和陡坡地开垦，合理开发自然资源，保护和恢复自然生态系统，增强区域水土保持能力。（3）禁止在幼林地砍柴、毁苗、放牧。 5.黑龙江绥化双宝山自然保护区同时执行禁止开发建设活动要求</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1）禁止在自然保护区内进行砍伐、放牧、狩猎、捕捞、采药、开垦、烧荒、开矿、采石、挖沙等活动；但法律、行政法规等另有规定的除外。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2）禁止在自然保护区的缓冲区开展旅游和生产经营活动。严禁开设与自然保护区保护方向不一致的参观、旅游项目。（3）禁止在自然保护区的核心区和缓冲区内建设畜禽养殖场、养殖小区。（4）禁止在自然保护区及其外围保护地带建立污染、破坏或者危害自然保护区自然环境和自然资源的设施。（5）核心区和缓冲区内不得建设任何生产设施；实验区不得建设污染环境、破坏资源或者景观的生产设施。限制开发建设活动要求</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在自然保护区的实验区内，不得建设污染环境、破坏资源或者景观的生产设施；建设其他项目，其污染物排放不得超过国家和地方规定的污染物排放标准。 6.欧根河黑斑狗鱼国家级水产种质资源保护区同时执行（1）不得损害水产种质资源及其生存环境。（2）禁止在水产种质资源保护区内从事围湖造田工程。（3）禁止在水产种质资源保护区内新建排污口。（4）在水产种质资源保护区附近新建、改建、扩建排污口，应当保证保护区水体不受污染。（5）特别保护期内不得从事捕捞、爆破作业以及其他可能对保护区内生物资源和生态环境造成损害的活动。（6）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 7.黑龙江日月峡国家森林公园、黑龙江绥化庆安柳河森林公园、黑龙江绥化北盖森林公园同时执行</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禁止开发建设活动要求</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1）在国家级自然公园内开展相关活动和设施建设，不得擅自改变其自然状态和历史风貌。2）禁止擅自在国家级自然公园内从事采矿、房地产、开发区、高尔夫球场、风力光伏电场等不符合管控要求的开发活动。3）禁止违规侵占国家级自然公园，排放不符合水污染物排放标准的工业废水、生活污水及其他的废水、污水，倾倒、堆放、丢弃、遗撒固体废物等污染生态环境的行为。限制开发建设活动要求</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国家级自然公园范围内除国家重大项目外，仅允许对生态功能不造成破坏的有限人为活动</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自然公园内居民和其他合法权益主体依法依规开展的生产生活及设施建设；符合自然公园保护管理要求的文化、体育活动和必要的配套设施建设；符合生态保护红线管控要求的其他活动和设施建设；法律法规和国家政策允许在自然公园内开展的其他活动。 8.铁力市依吉密河饮用水水源同时执行（1）饮用水地表水源各级保护区及准保护区内均必须遵守下列规定</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lt;1&gt;禁止一切破坏水环境生态平衡的活动以及破坏水源林、护岸林、与水源保护相关植被的活动。&lt;2&gt;禁止向水域倾倒工业废渣、城市垃圾、粪便及其它废弃物。&lt;3&gt;运输有毒有害物质、油类、粪便的船舶和车辆一般不准进入保护区，必须进入者应事先申请并经有关部门批准、登记并设置防渗、防溢、防漏设施。&lt;4&gt;禁止使用剧毒和高残留农药，不得滥用化肥，不得使用炸药、毒品捕杀鱼类。&lt;5&gt;禁止建设畜禽养殖场、养殖小区。&lt;6&gt;禁止设置排污口。（2）饮用水地表水源各级保护区及准保护区内必须分别遵守下列规定</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&lt;1&gt;一级保护区内</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禁止新建、扩建与供水设施和保护水源无关的建设项目，已建成的与供水设施和保护水源无关的建设项目，由县级以上人民政府责令拆除或者关闭；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lt;2&gt;二级保护区内</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禁止新建、改建、扩建排放污染物的建设项目，已建成的排放污染物的建设项目，由县级以上人民政府责令拆除或者关闭；原有排污口依法拆除或者关闭；禁止设立装卸垃圾、粪便、油类和有毒物品的码头。&lt;3&gt;准保护区内</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禁止新建、扩建对水体污染严重的建设项目；改建建设项目，不得增加排污量。（3）国务院和省、自治区、直辖市人民政府根据水环境保护的需要，可以规定在饮用水水源保护区内，采取禁止或者限制使用含磷洗涤剂、化</w:t>
                  </w:r>
                </w:p>
                <w:p w14:paraId="372D7A8B">
                  <w:pPr>
                    <w:keepNext w:val="0"/>
                    <w:keepLines w:val="0"/>
                    <w:pageBreakBefore w:val="0"/>
                    <w:kinsoku/>
                    <w:wordWrap/>
                    <w:overflowPunct/>
                    <w:topLinePunct w:val="0"/>
                    <w:bidi w:val="0"/>
                    <w:snapToGrid w:val="0"/>
                    <w:spacing w:line="240" w:lineRule="exact"/>
                    <w:ind w:right="0"/>
                    <w:jc w:val="left"/>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肥、农药以及限制种植养殖等措施。（4）饮用水地下水源各级保护区及准保护区内均必须遵守下列规定</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禁止利用渗坑、渗井、裂隙、溶洞等排放污水和其它有害废弃物；禁止利用透水层孔隙、裂隙、溶洞及废弃矿坑储存石油、天然气、放射性物质、有毒有害化工原料、农药等；实行人工回灌地下水时不得污染当地地下水源。&lt;1&gt;一级保护区内</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禁止建设与取水设施无关的建筑物；禁止从事农牧业活动；禁止倾倒、堆放工业废渣及城市垃圾、粪便和其它有害废弃物；禁止输送污水的渠道、管道及输油管道通过本区；禁止建设油库；禁止建立墓地。&lt;2&gt;二级保护区内</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1）对于潜水含水层地下水水源地</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2）对于承压含水层地下水水源地</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禁止承压水和潜水的混合开采，作好潜水的止水措施。&lt;3&gt;准保护区内</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禁止建设城市垃圾、粪便和易溶、有毒有害废弃物的堆放场站，因特殊需要设立转运站的，必须经有关部门批准，并采取防渗漏措施；当补给源为地表水体时，该地表水体水质不应低于《地表水环境质量标准》Ⅲ类标准；不得使用不符合《农田灌溉水质标准》的污水进行灌溉，合理使用化肥；保护水源林，禁止毁林开荒，禁止非更新砍伐水源林。</w:t>
                  </w:r>
                </w:p>
              </w:tc>
              <w:tc>
                <w:tcPr>
                  <w:tcW w:w="1435" w:type="pct"/>
                  <w:gridSpan w:val="2"/>
                  <w:noWrap w:val="0"/>
                  <w:vAlign w:val="center"/>
                </w:tcPr>
                <w:p w14:paraId="5D46DB4A">
                  <w:pPr>
                    <w:keepNext w:val="0"/>
                    <w:keepLines w:val="0"/>
                    <w:pageBreakBefore w:val="0"/>
                    <w:widowControl w:val="0"/>
                    <w:kinsoku/>
                    <w:wordWrap/>
                    <w:overflowPunct/>
                    <w:topLinePunct w:val="0"/>
                    <w:autoSpaceDE/>
                    <w:autoSpaceDN/>
                    <w:bidi w:val="0"/>
                    <w:adjustRightInd/>
                    <w:snapToGrid w:val="0"/>
                    <w:spacing w:line="240" w:lineRule="exact"/>
                    <w:ind w:right="0" w:firstLine="360" w:firstLineChars="200"/>
                    <w:jc w:val="left"/>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本</w:t>
                  </w:r>
                  <w:r>
                    <w:rPr>
                      <w:rFonts w:hint="default" w:ascii="Times New Roman" w:hAnsi="Times New Roman" w:eastAsia="宋体" w:cs="Times New Roman"/>
                      <w:color w:val="auto"/>
                      <w:sz w:val="18"/>
                      <w:szCs w:val="18"/>
                      <w:highlight w:val="none"/>
                      <w:lang w:val="en-US" w:eastAsia="zh-CN"/>
                    </w:rPr>
                    <w:t>工程为</w:t>
                  </w:r>
                  <w:r>
                    <w:rPr>
                      <w:rFonts w:hint="default" w:ascii="Times New Roman" w:hAnsi="Times New Roman" w:eastAsia="宋体" w:cs="Times New Roman"/>
                      <w:color w:val="auto"/>
                      <w:sz w:val="18"/>
                      <w:szCs w:val="18"/>
                      <w:highlight w:val="none"/>
                      <w:lang w:eastAsia="zh-CN"/>
                    </w:rPr>
                    <w:t>防洪除涝工程，</w:t>
                  </w:r>
                  <w:r>
                    <w:rPr>
                      <w:rFonts w:hint="default" w:ascii="Times New Roman" w:hAnsi="Times New Roman" w:eastAsia="宋体" w:cs="Times New Roman"/>
                      <w:color w:val="auto"/>
                      <w:sz w:val="18"/>
                      <w:szCs w:val="18"/>
                      <w:highlight w:val="none"/>
                      <w:lang w:val="en-US" w:eastAsia="zh-CN"/>
                    </w:rPr>
                    <w:t>属于空间布局约束中的已有的合法防洪设施运行维护改造</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符合</w:t>
                  </w:r>
                  <w:r>
                    <w:rPr>
                      <w:rFonts w:hint="default" w:ascii="Times New Roman" w:hAnsi="Times New Roman" w:eastAsia="宋体" w:cs="Times New Roman"/>
                      <w:color w:val="auto"/>
                      <w:sz w:val="18"/>
                      <w:szCs w:val="18"/>
                      <w:highlight w:val="none"/>
                      <w:lang w:eastAsia="zh-CN"/>
                    </w:rPr>
                    <w:t>国家产业政策。</w:t>
                  </w:r>
                </w:p>
                <w:p w14:paraId="4976D1EC">
                  <w:pPr>
                    <w:keepNext w:val="0"/>
                    <w:keepLines w:val="0"/>
                    <w:pageBreakBefore w:val="0"/>
                    <w:widowControl w:val="0"/>
                    <w:kinsoku/>
                    <w:wordWrap/>
                    <w:overflowPunct/>
                    <w:topLinePunct w:val="0"/>
                    <w:autoSpaceDE/>
                    <w:autoSpaceDN/>
                    <w:bidi w:val="0"/>
                    <w:adjustRightInd/>
                    <w:snapToGrid w:val="0"/>
                    <w:spacing w:line="240" w:lineRule="exact"/>
                    <w:ind w:right="0" w:firstLine="360" w:firstLineChars="200"/>
                    <w:jc w:val="left"/>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sz w:val="18"/>
                      <w:szCs w:val="18"/>
                      <w:highlight w:val="none"/>
                      <w:lang w:eastAsia="zh-CN"/>
                    </w:rPr>
                    <w:t>本工程不属于</w:t>
                  </w:r>
                  <w:r>
                    <w:rPr>
                      <w:rFonts w:hint="default" w:ascii="Times New Roman" w:hAnsi="Times New Roman" w:eastAsia="宋体" w:cs="Times New Roman"/>
                      <w:color w:val="auto"/>
                      <w:kern w:val="0"/>
                      <w:sz w:val="18"/>
                      <w:szCs w:val="18"/>
                      <w:highlight w:val="none"/>
                      <w:lang w:val="en-US" w:eastAsia="zh-CN" w:bidi="ar"/>
                    </w:rPr>
                    <w:t>开山、采石、开矿、开荒、修坟立碑等破坏景观、植被和地形地貌的活动，不属于畜禽养殖场、养殖小区。</w:t>
                  </w:r>
                </w:p>
                <w:p w14:paraId="397D6DE0">
                  <w:pPr>
                    <w:keepNext w:val="0"/>
                    <w:keepLines w:val="0"/>
                    <w:pageBreakBefore w:val="0"/>
                    <w:widowControl w:val="0"/>
                    <w:kinsoku/>
                    <w:wordWrap/>
                    <w:overflowPunct/>
                    <w:topLinePunct w:val="0"/>
                    <w:autoSpaceDE/>
                    <w:autoSpaceDN/>
                    <w:bidi w:val="0"/>
                    <w:adjustRightInd/>
                    <w:snapToGrid w:val="0"/>
                    <w:spacing w:line="240" w:lineRule="exact"/>
                    <w:ind w:right="0" w:firstLine="360" w:firstLineChars="200"/>
                    <w:jc w:val="left"/>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本工程仅为护岸新建改造，不扰动水体生态，本工程不属于</w:t>
                  </w:r>
                  <w:r>
                    <w:rPr>
                      <w:rFonts w:hint="default" w:ascii="Times New Roman" w:hAnsi="Times New Roman" w:eastAsia="宋体" w:cs="Times New Roman"/>
                      <w:color w:val="auto"/>
                      <w:sz w:val="18"/>
                      <w:szCs w:val="18"/>
                      <w:highlight w:val="none"/>
                      <w:lang w:val="en-US" w:eastAsia="zh-CN"/>
                    </w:rPr>
                    <w:t>围湖造田工程，</w:t>
                  </w:r>
                  <w:r>
                    <w:rPr>
                      <w:rFonts w:hint="default" w:ascii="Times New Roman" w:hAnsi="Times New Roman" w:eastAsia="宋体" w:cs="Times New Roman"/>
                      <w:color w:val="auto"/>
                      <w:sz w:val="18"/>
                      <w:szCs w:val="18"/>
                      <w:highlight w:val="none"/>
                      <w:lang w:eastAsia="zh-CN"/>
                    </w:rPr>
                    <w:t>施工期废水全部回用不外排，</w:t>
                  </w:r>
                  <w:r>
                    <w:rPr>
                      <w:rFonts w:hint="default" w:ascii="Times New Roman" w:hAnsi="Times New Roman" w:eastAsia="宋体" w:cs="Times New Roman"/>
                      <w:color w:val="auto"/>
                      <w:sz w:val="18"/>
                      <w:szCs w:val="18"/>
                      <w:highlight w:val="none"/>
                    </w:rPr>
                    <w:t>对周围环境影响较小</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不设置排污口</w:t>
                  </w:r>
                  <w:r>
                    <w:rPr>
                      <w:rFonts w:hint="default" w:ascii="Times New Roman" w:hAnsi="Times New Roman" w:eastAsia="宋体" w:cs="Times New Roman"/>
                      <w:color w:val="auto"/>
                      <w:sz w:val="18"/>
                      <w:szCs w:val="18"/>
                      <w:highlight w:val="none"/>
                    </w:rPr>
                    <w:t>。</w:t>
                  </w:r>
                </w:p>
                <w:p w14:paraId="5F2A6C38">
                  <w:pPr>
                    <w:keepNext w:val="0"/>
                    <w:keepLines w:val="0"/>
                    <w:pageBreakBefore w:val="0"/>
                    <w:widowControl w:val="0"/>
                    <w:kinsoku/>
                    <w:wordWrap/>
                    <w:overflowPunct/>
                    <w:topLinePunct w:val="0"/>
                    <w:autoSpaceDE/>
                    <w:autoSpaceDN/>
                    <w:bidi w:val="0"/>
                    <w:snapToGrid w:val="0"/>
                    <w:spacing w:line="240" w:lineRule="exact"/>
                    <w:ind w:right="0" w:firstLine="360" w:firstLineChars="200"/>
                    <w:jc w:val="lef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本项目属于防洪除涝工程，属于无法避让庆安县生态红线且符合庆安县国土空间规划的防洪设施建设。</w:t>
                  </w:r>
                  <w:r>
                    <w:rPr>
                      <w:rFonts w:hint="default" w:ascii="Times New Roman" w:hAnsi="Times New Roman" w:eastAsia="宋体" w:cs="Times New Roman"/>
                      <w:color w:val="auto"/>
                      <w:sz w:val="18"/>
                      <w:szCs w:val="18"/>
                      <w:highlight w:val="none"/>
                      <w:lang w:val="en-US" w:eastAsia="zh-CN"/>
                    </w:rPr>
                    <w:t>必须且无法避让、符合县级以上国土空间规划的线性基础设施、通讯和防洪、供水设施建设和船舶航行、航道疏浚清淤等活动</w:t>
                  </w:r>
                </w:p>
                <w:p w14:paraId="4057E1A6">
                  <w:pPr>
                    <w:keepNext w:val="0"/>
                    <w:keepLines w:val="0"/>
                    <w:pageBreakBefore w:val="0"/>
                    <w:widowControl w:val="0"/>
                    <w:kinsoku/>
                    <w:wordWrap/>
                    <w:overflowPunct/>
                    <w:topLinePunct w:val="0"/>
                    <w:autoSpaceDE/>
                    <w:autoSpaceDN/>
                    <w:bidi w:val="0"/>
                    <w:snapToGrid w:val="0"/>
                    <w:spacing w:line="240" w:lineRule="exact"/>
                    <w:ind w:right="0" w:firstLine="360" w:firstLineChars="200"/>
                    <w:jc w:val="lef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本项目</w:t>
                  </w:r>
                  <w:r>
                    <w:rPr>
                      <w:rFonts w:hint="default" w:ascii="Times New Roman" w:hAnsi="Times New Roman" w:eastAsia="宋体" w:cs="Times New Roman"/>
                      <w:color w:val="auto"/>
                      <w:sz w:val="18"/>
                      <w:szCs w:val="18"/>
                      <w:highlight w:val="none"/>
                      <w:lang w:val="en-US" w:eastAsia="zh-CN"/>
                    </w:rPr>
                    <w:t>符合《自然资源部生态环境部 国家林业和草原局关于加强生态保护红线管理的通知（试行）》（自然资发〔2022〕142号），同时根据《关于落实</w:t>
                  </w:r>
                  <w:r>
                    <w:rPr>
                      <w:rFonts w:hint="default"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十四五</w:t>
                  </w:r>
                  <w:r>
                    <w:rPr>
                      <w:rFonts w:hint="default"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规划</w:t>
                  </w:r>
                  <w:r>
                    <w:rPr>
                      <w:rFonts w:hint="default" w:ascii="Times New Roman" w:hAnsi="Times New Roman" w:cs="Times New Roman"/>
                      <w:color w:val="auto"/>
                      <w:sz w:val="18"/>
                      <w:szCs w:val="18"/>
                      <w:highlight w:val="none"/>
                      <w:lang w:val="en-US" w:eastAsia="zh-CN"/>
                    </w:rPr>
                    <w:t>&lt;</w:t>
                  </w:r>
                  <w:r>
                    <w:rPr>
                      <w:rFonts w:hint="default" w:ascii="Times New Roman" w:hAnsi="Times New Roman" w:eastAsia="宋体" w:cs="Times New Roman"/>
                      <w:color w:val="auto"/>
                      <w:sz w:val="18"/>
                      <w:szCs w:val="18"/>
                      <w:highlight w:val="none"/>
                      <w:lang w:val="en-US" w:eastAsia="zh-CN"/>
                    </w:rPr>
                    <w:t>纲要</w:t>
                  </w:r>
                  <w:r>
                    <w:rPr>
                      <w:rFonts w:hint="default" w:ascii="Times New Roman" w:hAnsi="Times New Roman" w:cs="Times New Roman"/>
                      <w:color w:val="auto"/>
                      <w:sz w:val="18"/>
                      <w:szCs w:val="18"/>
                      <w:highlight w:val="none"/>
                      <w:lang w:val="en-US" w:eastAsia="zh-CN"/>
                    </w:rPr>
                    <w:t>&gt;</w:t>
                  </w:r>
                  <w:r>
                    <w:rPr>
                      <w:rFonts w:hint="default" w:ascii="Times New Roman" w:hAnsi="Times New Roman" w:eastAsia="宋体" w:cs="Times New Roman"/>
                      <w:color w:val="auto"/>
                      <w:sz w:val="18"/>
                      <w:szCs w:val="18"/>
                      <w:highlight w:val="none"/>
                      <w:lang w:val="en-US" w:eastAsia="zh-CN"/>
                    </w:rPr>
                    <w:t>102项重大工程项目入库和调度工作的通知》（黑水发〔2022〕58号），本项目属于102项重大工程涉水利项目。</w:t>
                  </w:r>
                </w:p>
                <w:p w14:paraId="5F6EA64F">
                  <w:pPr>
                    <w:keepNext w:val="0"/>
                    <w:keepLines w:val="0"/>
                    <w:pageBreakBefore w:val="0"/>
                    <w:widowControl w:val="0"/>
                    <w:kinsoku/>
                    <w:wordWrap/>
                    <w:overflowPunct/>
                    <w:topLinePunct w:val="0"/>
                    <w:autoSpaceDE/>
                    <w:autoSpaceDN/>
                    <w:bidi w:val="0"/>
                    <w:snapToGrid w:val="0"/>
                    <w:spacing w:line="240" w:lineRule="exact"/>
                    <w:ind w:right="0" w:firstLine="360" w:firstLineChars="200"/>
                    <w:jc w:val="lef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本项目严格控制用地范围，不进行</w:t>
                  </w:r>
                  <w:r>
                    <w:rPr>
                      <w:rFonts w:hint="default" w:ascii="Times New Roman" w:hAnsi="Times New Roman" w:eastAsia="宋体" w:cs="Times New Roman"/>
                      <w:snapToGrid w:val="0"/>
                      <w:color w:val="auto"/>
                      <w:sz w:val="18"/>
                      <w:szCs w:val="18"/>
                      <w:highlight w:val="none"/>
                    </w:rPr>
                    <w:t>无序采矿、毁林开荒、湿地和草地开垦、过度放牧、道路建设等</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cs="Times New Roman"/>
                      <w:snapToGrid w:val="0"/>
                      <w:color w:val="auto"/>
                      <w:sz w:val="18"/>
                      <w:szCs w:val="18"/>
                      <w:highlight w:val="none"/>
                      <w:lang w:val="en-US" w:eastAsia="zh-CN"/>
                    </w:rPr>
                    <w:t>不属于导致水体污染的活动</w:t>
                  </w:r>
                  <w:r>
                    <w:rPr>
                      <w:rFonts w:hint="default" w:ascii="Times New Roman" w:hAnsi="Times New Roman" w:cs="Times New Roman"/>
                      <w:snapToGrid w:val="0"/>
                      <w:color w:val="auto"/>
                      <w:sz w:val="18"/>
                      <w:szCs w:val="18"/>
                      <w:highlight w:val="none"/>
                      <w:lang w:eastAsia="zh-CN"/>
                    </w:rPr>
                    <w:t>。</w:t>
                  </w:r>
                  <w:r>
                    <w:rPr>
                      <w:rFonts w:hint="default" w:ascii="Times New Roman" w:hAnsi="Times New Roman" w:cs="Times New Roman"/>
                      <w:snapToGrid w:val="0"/>
                      <w:color w:val="auto"/>
                      <w:sz w:val="18"/>
                      <w:szCs w:val="18"/>
                      <w:highlight w:val="none"/>
                      <w:lang w:val="en-US" w:eastAsia="zh-CN"/>
                    </w:rPr>
                    <w:t>不属于水源涵养功能极重要区、</w:t>
                  </w:r>
                  <w:r>
                    <w:rPr>
                      <w:rFonts w:hint="default" w:ascii="Times New Roman" w:hAnsi="Times New Roman" w:eastAsia="宋体" w:cs="Times New Roman"/>
                      <w:color w:val="auto"/>
                      <w:sz w:val="18"/>
                      <w:szCs w:val="18"/>
                      <w:highlight w:val="none"/>
                      <w:lang w:val="en-US" w:eastAsia="zh-CN"/>
                    </w:rPr>
                    <w:t>水源涵养功能极重要区</w:t>
                  </w:r>
                  <w:r>
                    <w:rPr>
                      <w:rFonts w:hint="default" w:ascii="Times New Roman" w:hAnsi="Times New Roman" w:cs="Times New Roman"/>
                      <w:snapToGrid w:val="0"/>
                      <w:color w:val="auto"/>
                      <w:sz w:val="18"/>
                      <w:szCs w:val="18"/>
                      <w:highlight w:val="none"/>
                      <w:lang w:val="en-US" w:eastAsia="zh-CN"/>
                    </w:rPr>
                    <w:t>禁止开发建设的活动。</w:t>
                  </w:r>
                </w:p>
                <w:p w14:paraId="5EF75F78">
                  <w:pPr>
                    <w:keepNext w:val="0"/>
                    <w:keepLines w:val="0"/>
                    <w:pageBreakBefore w:val="0"/>
                    <w:widowControl w:val="0"/>
                    <w:kinsoku/>
                    <w:wordWrap/>
                    <w:overflowPunct/>
                    <w:topLinePunct w:val="0"/>
                    <w:autoSpaceDE/>
                    <w:autoSpaceDN/>
                    <w:bidi w:val="0"/>
                    <w:snapToGrid w:val="0"/>
                    <w:spacing w:line="240" w:lineRule="exact"/>
                    <w:ind w:right="0" w:firstLine="360" w:firstLineChars="200"/>
                    <w:jc w:val="lef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yellow"/>
                      <w:lang w:val="en-US" w:eastAsia="zh-CN"/>
                    </w:rPr>
                    <w:t>本项目</w:t>
                  </w:r>
                  <w:r>
                    <w:rPr>
                      <w:rFonts w:hint="eastAsia" w:cs="Times New Roman"/>
                      <w:snapToGrid w:val="0"/>
                      <w:color w:val="auto"/>
                      <w:sz w:val="18"/>
                      <w:szCs w:val="18"/>
                      <w:highlight w:val="yellow"/>
                      <w:lang w:val="en-US" w:eastAsia="zh-CN"/>
                    </w:rPr>
                    <w:t>永久占地河临时占地均</w:t>
                  </w:r>
                  <w:r>
                    <w:rPr>
                      <w:rFonts w:hint="default" w:ascii="Times New Roman" w:hAnsi="Times New Roman" w:eastAsia="宋体" w:cs="Times New Roman"/>
                      <w:snapToGrid w:val="0"/>
                      <w:color w:val="auto"/>
                      <w:sz w:val="18"/>
                      <w:szCs w:val="18"/>
                      <w:highlight w:val="yellow"/>
                      <w:lang w:val="en-US" w:eastAsia="zh-CN"/>
                    </w:rPr>
                    <w:t>无涉水工程，</w:t>
                  </w:r>
                  <w:r>
                    <w:rPr>
                      <w:rFonts w:hint="default" w:ascii="Times New Roman" w:hAnsi="Times New Roman" w:eastAsia="宋体" w:cs="Times New Roman"/>
                      <w:snapToGrid w:val="0"/>
                      <w:color w:val="auto"/>
                      <w:sz w:val="18"/>
                      <w:szCs w:val="18"/>
                      <w:highlight w:val="none"/>
                      <w:lang w:val="en-US" w:eastAsia="zh-CN"/>
                    </w:rPr>
                    <w:t>不会影响</w:t>
                  </w:r>
                  <w:r>
                    <w:rPr>
                      <w:rFonts w:hint="default" w:ascii="Times New Roman" w:hAnsi="Times New Roman" w:eastAsia="宋体" w:cs="Times New Roman"/>
                      <w:snapToGrid w:val="0"/>
                      <w:color w:val="auto"/>
                      <w:sz w:val="18"/>
                      <w:szCs w:val="18"/>
                      <w:highlight w:val="none"/>
                    </w:rPr>
                    <w:t>欧根河黑斑狗鱼国家级水产种质资源保护区</w:t>
                  </w:r>
                  <w:r>
                    <w:rPr>
                      <w:rFonts w:hint="default" w:ascii="Times New Roman" w:hAnsi="Times New Roman" w:eastAsia="宋体" w:cs="Times New Roman"/>
                      <w:snapToGrid w:val="0"/>
                      <w:color w:val="auto"/>
                      <w:sz w:val="18"/>
                      <w:szCs w:val="18"/>
                      <w:highlight w:val="none"/>
                      <w:lang w:val="en-US" w:eastAsia="zh-CN"/>
                    </w:rPr>
                    <w:t>环境。</w:t>
                  </w:r>
                </w:p>
                <w:p w14:paraId="247AFF2A">
                  <w:pPr>
                    <w:keepNext w:val="0"/>
                    <w:keepLines w:val="0"/>
                    <w:pageBreakBefore w:val="0"/>
                    <w:widowControl w:val="0"/>
                    <w:kinsoku/>
                    <w:wordWrap/>
                    <w:overflowPunct/>
                    <w:topLinePunct w:val="0"/>
                    <w:autoSpaceDE/>
                    <w:autoSpaceDN/>
                    <w:bidi w:val="0"/>
                    <w:snapToGrid w:val="0"/>
                    <w:spacing w:line="240" w:lineRule="exact"/>
                    <w:ind w:right="0" w:firstLine="360" w:firstLineChars="200"/>
                    <w:jc w:val="left"/>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综上，本项目</w:t>
                  </w:r>
                  <w:r>
                    <w:rPr>
                      <w:rFonts w:hint="default" w:ascii="Times New Roman" w:hAnsi="Times New Roman" w:eastAsia="宋体" w:cs="Times New Roman"/>
                      <w:color w:val="auto"/>
                      <w:sz w:val="18"/>
                      <w:szCs w:val="18"/>
                      <w:highlight w:val="none"/>
                    </w:rPr>
                    <w:t>符合</w:t>
                  </w:r>
                  <w:r>
                    <w:rPr>
                      <w:rFonts w:hint="default" w:ascii="Times New Roman" w:hAnsi="Times New Roman" w:eastAsia="宋体" w:cs="Times New Roman"/>
                      <w:color w:val="auto"/>
                      <w:sz w:val="18"/>
                      <w:szCs w:val="18"/>
                      <w:highlight w:val="none"/>
                      <w:lang w:val="en-US" w:eastAsia="zh-CN"/>
                    </w:rPr>
                    <w:t>庆安</w:t>
                  </w:r>
                  <w:r>
                    <w:rPr>
                      <w:rFonts w:hint="default" w:ascii="Times New Roman" w:hAnsi="Times New Roman" w:eastAsia="宋体" w:cs="Times New Roman"/>
                      <w:color w:val="auto"/>
                      <w:sz w:val="18"/>
                      <w:szCs w:val="18"/>
                      <w:highlight w:val="none"/>
                      <w:lang w:eastAsia="zh-CN"/>
                    </w:rPr>
                    <w:t>县优先保护单元</w:t>
                  </w:r>
                  <w:r>
                    <w:rPr>
                      <w:rFonts w:hint="default" w:ascii="Times New Roman" w:hAnsi="Times New Roman" w:eastAsia="宋体" w:cs="Times New Roman"/>
                      <w:color w:val="auto"/>
                      <w:sz w:val="18"/>
                      <w:szCs w:val="18"/>
                      <w:highlight w:val="none"/>
                    </w:rPr>
                    <w:t>管控要求。</w:t>
                  </w:r>
                </w:p>
              </w:tc>
            </w:tr>
            <w:tr w14:paraId="623F5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315AF726">
                  <w:pPr>
                    <w:keepNext w:val="0"/>
                    <w:keepLines w:val="0"/>
                    <w:pageBreakBefore w:val="0"/>
                    <w:kinsoku/>
                    <w:wordWrap/>
                    <w:overflowPunct/>
                    <w:topLinePunct w:val="0"/>
                    <w:bidi w:val="0"/>
                    <w:snapToGrid w:val="0"/>
                    <w:spacing w:line="240" w:lineRule="exact"/>
                    <w:ind w:right="0"/>
                    <w:jc w:val="both"/>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污染物排放管控</w:t>
                  </w:r>
                </w:p>
              </w:tc>
              <w:tc>
                <w:tcPr>
                  <w:tcW w:w="2672" w:type="pct"/>
                  <w:noWrap w:val="0"/>
                  <w:vAlign w:val="center"/>
                </w:tcPr>
                <w:p w14:paraId="60ED980F">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c>
                <w:tcPr>
                  <w:tcW w:w="1435" w:type="pct"/>
                  <w:gridSpan w:val="2"/>
                  <w:noWrap w:val="0"/>
                  <w:vAlign w:val="center"/>
                </w:tcPr>
                <w:p w14:paraId="1C3B989F">
                  <w:pPr>
                    <w:keepNext w:val="0"/>
                    <w:keepLines w:val="0"/>
                    <w:pageBreakBefore w:val="0"/>
                    <w:widowControl w:val="0"/>
                    <w:kinsoku/>
                    <w:wordWrap/>
                    <w:overflowPunct/>
                    <w:topLinePunct w:val="0"/>
                    <w:autoSpaceDE/>
                    <w:autoSpaceDN/>
                    <w:bidi w:val="0"/>
                    <w:snapToGrid w:val="0"/>
                    <w:spacing w:line="240" w:lineRule="exact"/>
                    <w:ind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14:paraId="29079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772B4CF3">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环境风险防控</w:t>
                  </w:r>
                </w:p>
              </w:tc>
              <w:tc>
                <w:tcPr>
                  <w:tcW w:w="2672" w:type="pct"/>
                  <w:noWrap w:val="0"/>
                  <w:vAlign w:val="center"/>
                </w:tcPr>
                <w:p w14:paraId="50230F6E">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c>
                <w:tcPr>
                  <w:tcW w:w="1435" w:type="pct"/>
                  <w:gridSpan w:val="2"/>
                  <w:noWrap w:val="0"/>
                  <w:vAlign w:val="center"/>
                </w:tcPr>
                <w:p w14:paraId="229B9CD2">
                  <w:pPr>
                    <w:keepNext w:val="0"/>
                    <w:keepLines w:val="0"/>
                    <w:pageBreakBefore w:val="0"/>
                    <w:widowControl w:val="0"/>
                    <w:kinsoku/>
                    <w:wordWrap/>
                    <w:overflowPunct/>
                    <w:topLinePunct w:val="0"/>
                    <w:autoSpaceDE/>
                    <w:autoSpaceDN/>
                    <w:bidi w:val="0"/>
                    <w:snapToGrid w:val="0"/>
                    <w:spacing w:line="240" w:lineRule="exact"/>
                    <w:ind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14:paraId="6B98A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4D1ED246">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资源开发效率</w:t>
                  </w:r>
                </w:p>
              </w:tc>
              <w:tc>
                <w:tcPr>
                  <w:tcW w:w="2672" w:type="pct"/>
                  <w:noWrap w:val="0"/>
                  <w:vAlign w:val="center"/>
                </w:tcPr>
                <w:p w14:paraId="2A9ED9DC">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cs="Times New Roman"/>
                      <w:snapToGrid w:val="0"/>
                      <w:color w:val="auto"/>
                      <w:sz w:val="18"/>
                      <w:szCs w:val="18"/>
                      <w:highlight w:val="none"/>
                      <w:lang w:val="en-US" w:eastAsia="zh-CN"/>
                    </w:rPr>
                    <w:t>/</w:t>
                  </w:r>
                </w:p>
              </w:tc>
              <w:tc>
                <w:tcPr>
                  <w:tcW w:w="1435" w:type="pct"/>
                  <w:gridSpan w:val="2"/>
                  <w:noWrap w:val="0"/>
                  <w:vAlign w:val="center"/>
                </w:tcPr>
                <w:p w14:paraId="11C89137">
                  <w:pPr>
                    <w:keepNext w:val="0"/>
                    <w:keepLines w:val="0"/>
                    <w:pageBreakBefore w:val="0"/>
                    <w:widowControl w:val="0"/>
                    <w:kinsoku/>
                    <w:wordWrap/>
                    <w:overflowPunct/>
                    <w:topLinePunct w:val="0"/>
                    <w:autoSpaceDE/>
                    <w:autoSpaceDN/>
                    <w:bidi w:val="0"/>
                    <w:snapToGrid w:val="0"/>
                    <w:spacing w:line="240" w:lineRule="exact"/>
                    <w:ind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14:paraId="44F9E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92" w:type="pct"/>
                  <w:noWrap w:val="0"/>
                  <w:vAlign w:val="center"/>
                </w:tcPr>
                <w:p w14:paraId="13300D89">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环境管控单元名称</w:t>
                  </w:r>
                </w:p>
              </w:tc>
              <w:tc>
                <w:tcPr>
                  <w:tcW w:w="4107" w:type="pct"/>
                  <w:gridSpan w:val="3"/>
                  <w:noWrap w:val="0"/>
                  <w:vAlign w:val="center"/>
                </w:tcPr>
                <w:p w14:paraId="22932353">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庆安县一般生态空间</w:t>
                  </w:r>
                </w:p>
              </w:tc>
            </w:tr>
            <w:tr w14:paraId="75983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68E41148">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环境管控单元编码</w:t>
                  </w:r>
                </w:p>
              </w:tc>
              <w:tc>
                <w:tcPr>
                  <w:tcW w:w="4107" w:type="pct"/>
                  <w:gridSpan w:val="3"/>
                  <w:noWrap w:val="0"/>
                  <w:vAlign w:val="center"/>
                </w:tcPr>
                <w:p w14:paraId="1AEF544A">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ZH23122410002</w:t>
                  </w:r>
                </w:p>
              </w:tc>
            </w:tr>
            <w:tr w14:paraId="2D4543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892" w:type="pct"/>
                  <w:noWrap w:val="0"/>
                  <w:vAlign w:val="center"/>
                </w:tcPr>
                <w:p w14:paraId="2FEF8A6E">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bCs/>
                      <w:color w:val="auto"/>
                      <w:sz w:val="18"/>
                      <w:szCs w:val="18"/>
                      <w:highlight w:val="none"/>
                    </w:rPr>
                    <w:t>管控单元类别</w:t>
                  </w:r>
                </w:p>
              </w:tc>
              <w:tc>
                <w:tcPr>
                  <w:tcW w:w="4107" w:type="pct"/>
                  <w:gridSpan w:val="3"/>
                  <w:noWrap w:val="0"/>
                  <w:vAlign w:val="center"/>
                </w:tcPr>
                <w:p w14:paraId="2740D768">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优先管控单元</w:t>
                  </w:r>
                </w:p>
              </w:tc>
            </w:tr>
            <w:tr w14:paraId="26816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6" w:hRule="atLeast"/>
                <w:jc w:val="center"/>
              </w:trPr>
              <w:tc>
                <w:tcPr>
                  <w:tcW w:w="892" w:type="pct"/>
                  <w:noWrap w:val="0"/>
                  <w:vAlign w:val="center"/>
                </w:tcPr>
                <w:p w14:paraId="6537C7A8">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rPr>
                    <w:t>空间布局约束</w:t>
                  </w:r>
                </w:p>
              </w:tc>
              <w:tc>
                <w:tcPr>
                  <w:tcW w:w="2672" w:type="pct"/>
                  <w:noWrap w:val="0"/>
                  <w:vAlign w:val="center"/>
                </w:tcPr>
                <w:p w14:paraId="083C2D31">
                  <w:pPr>
                    <w:keepNext w:val="0"/>
                    <w:keepLines w:val="0"/>
                    <w:pageBreakBefore w:val="0"/>
                    <w:kinsoku/>
                    <w:wordWrap/>
                    <w:overflowPunct/>
                    <w:topLinePunct w:val="0"/>
                    <w:bidi w:val="0"/>
                    <w:snapToGrid w:val="0"/>
                    <w:spacing w:line="240" w:lineRule="exact"/>
                    <w:ind w:right="0"/>
                    <w:jc w:val="left"/>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1.区域执行（1）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2）对依法保护的生态空间实行承载力控制，防止过度垦殖、放牧、采伐、取水、渔猎、旅游等对生态功能造成损害，确保自然生态系统的稳定。（3）避免开发建设活动损害其生态服务功能和生态产品质量。（4）已经侵占生态空间的，应建立退出机制、制定治理方案及时间表。 2.庆安县柳河风景名胜区同时执行禁止开发建设活动要求</w:t>
                  </w:r>
                  <w:r>
                    <w:rPr>
                      <w:rFonts w:hint="default" w:ascii="Times New Roman" w:hAnsi="Times New Roman" w:cs="Times New Roman"/>
                      <w:snapToGrid w:val="0"/>
                      <w:color w:val="auto"/>
                      <w:sz w:val="18"/>
                      <w:szCs w:val="18"/>
                      <w:highlight w:val="none"/>
                      <w:lang w:val="en-US" w:eastAsia="zh-CN"/>
                    </w:rPr>
                    <w:t>:</w:t>
                  </w:r>
                  <w:r>
                    <w:rPr>
                      <w:rFonts w:hint="default" w:ascii="Times New Roman" w:hAnsi="Times New Roman" w:eastAsia="宋体" w:cs="Times New Roman"/>
                      <w:snapToGrid w:val="0"/>
                      <w:color w:val="auto"/>
                      <w:sz w:val="18"/>
                      <w:szCs w:val="18"/>
                      <w:highlight w:val="none"/>
                      <w:lang w:val="en-US" w:eastAsia="zh-CN"/>
                    </w:rPr>
                    <w:t>（1）在风景名胜区内禁止进行下列活动</w:t>
                  </w:r>
                  <w:r>
                    <w:rPr>
                      <w:rFonts w:hint="default" w:ascii="Times New Roman" w:hAnsi="Times New Roman" w:cs="Times New Roman"/>
                      <w:snapToGrid w:val="0"/>
                      <w:color w:val="auto"/>
                      <w:sz w:val="18"/>
                      <w:szCs w:val="18"/>
                      <w:highlight w:val="none"/>
                      <w:lang w:val="en-US" w:eastAsia="zh-CN"/>
                    </w:rPr>
                    <w:t>:</w:t>
                  </w:r>
                  <w:r>
                    <w:rPr>
                      <w:rFonts w:hint="default" w:ascii="Times New Roman" w:hAnsi="Times New Roman" w:eastAsia="宋体" w:cs="Times New Roman"/>
                      <w:snapToGrid w:val="0"/>
                      <w:color w:val="auto"/>
                      <w:sz w:val="18"/>
                      <w:szCs w:val="18"/>
                      <w:highlight w:val="none"/>
                      <w:lang w:val="en-US" w:eastAsia="zh-CN"/>
                    </w:rPr>
                    <w:t>开山、采石、开矿、开荒、修坟立碑等破坏景观、植被和地形地貌的活动；修建储存爆炸性、易燃性、放射性、毒害性、腐蚀性物品的设施；在景物或者设施上刻划、涂污；乱扔垃圾。（2）禁止违反风景名胜区规划，在风景名胜区内设立各类开发区和在核心景区内建设宾馆、招待所、培训中心、疗养院以及与风景名胜资源保护无关的其他建筑物；已经建设的，应当按照风景名胜区规划，逐步迁出。（3）禁止在风景名胜区内建设畜禽养殖场、养殖小区。 限制开发建设活动要求</w:t>
                  </w:r>
                  <w:r>
                    <w:rPr>
                      <w:rFonts w:hint="default" w:ascii="Times New Roman" w:hAnsi="Times New Roman" w:cs="Times New Roman"/>
                      <w:snapToGrid w:val="0"/>
                      <w:color w:val="auto"/>
                      <w:sz w:val="18"/>
                      <w:szCs w:val="18"/>
                      <w:highlight w:val="none"/>
                      <w:lang w:val="en-US" w:eastAsia="zh-CN"/>
                    </w:rPr>
                    <w:t>:</w:t>
                  </w:r>
                  <w:r>
                    <w:rPr>
                      <w:rFonts w:hint="default" w:ascii="Times New Roman" w:hAnsi="Times New Roman" w:eastAsia="宋体" w:cs="Times New Roman"/>
                      <w:snapToGrid w:val="0"/>
                      <w:color w:val="auto"/>
                      <w:sz w:val="18"/>
                      <w:szCs w:val="18"/>
                      <w:highlight w:val="none"/>
                      <w:lang w:val="en-US" w:eastAsia="zh-CN"/>
                    </w:rPr>
                    <w:t>（1）在国家级风景名胜区内修建缆车、索道等重大建设工程，项目的选址方案应当报省、自治区人民政府建设主管部门和直辖市人民政府风景名胜区主管部门核准。（2）在风景名胜区内进行下列活动，应当经风景名胜区管理机构审核后，依照有关法律、法规的规定报有关主管部门批准</w:t>
                  </w:r>
                  <w:r>
                    <w:rPr>
                      <w:rFonts w:hint="default" w:ascii="Times New Roman" w:hAnsi="Times New Roman" w:cs="Times New Roman"/>
                      <w:snapToGrid w:val="0"/>
                      <w:color w:val="auto"/>
                      <w:sz w:val="18"/>
                      <w:szCs w:val="18"/>
                      <w:highlight w:val="none"/>
                      <w:lang w:val="en-US" w:eastAsia="zh-CN"/>
                    </w:rPr>
                    <w:t>:</w:t>
                  </w:r>
                  <w:r>
                    <w:rPr>
                      <w:rFonts w:hint="default" w:ascii="Times New Roman" w:hAnsi="Times New Roman" w:eastAsia="宋体" w:cs="Times New Roman"/>
                      <w:snapToGrid w:val="0"/>
                      <w:color w:val="auto"/>
                      <w:sz w:val="18"/>
                      <w:szCs w:val="18"/>
                      <w:highlight w:val="none"/>
                      <w:lang w:val="en-US" w:eastAsia="zh-CN"/>
                    </w:rPr>
                    <w:t>&lt;1&gt;设置、张贴商业广告；&lt;2&gt;举办大型游乐等活动；&lt;3&gt;改变水资源、水环境自然状态的活动；&lt;4&gt;其他影响生态和景观的活动。（3）风景名胜区内的建设项目应当符合风景名胜区规划，并与景观相协调，不得破坏景观、污染环境、妨碍游览。（4）在风景名胜区内进行建设活动的，建设单位、施工单位应当制定污染防治和水土保持方案，并采取有效措施，保护好周围景物、水体、林草植被、野生动物资源和地形地貌。 3.欧根河黑斑狗鱼国家级水产种质资源保护区同时执行（1）不得损害水产种质资源及其生存环境。（2）禁止在水产种质资源保护区内从事围湖造田工程。（3）禁止在水产种质资源保护区内新建排污口。（4）在水产种质资源保护区附近新建、改建、扩建排污口，应当保证保护区水体不受污染。（5）特别保护期内不得从事捕捞、爆破作业以及其他可能对保护区内生物资源和生态环境造成损害的活动。（6）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tc>
              <w:tc>
                <w:tcPr>
                  <w:tcW w:w="1435" w:type="pct"/>
                  <w:gridSpan w:val="2"/>
                  <w:noWrap w:val="0"/>
                  <w:vAlign w:val="center"/>
                </w:tcPr>
                <w:p w14:paraId="4C3BA23B">
                  <w:pPr>
                    <w:keepNext w:val="0"/>
                    <w:keepLines w:val="0"/>
                    <w:pageBreakBefore w:val="0"/>
                    <w:widowControl w:val="0"/>
                    <w:kinsoku/>
                    <w:wordWrap/>
                    <w:overflowPunct/>
                    <w:topLinePunct w:val="0"/>
                    <w:autoSpaceDE/>
                    <w:autoSpaceDN/>
                    <w:bidi w:val="0"/>
                    <w:adjustRightInd w:val="0"/>
                    <w:snapToGrid w:val="0"/>
                    <w:spacing w:line="240" w:lineRule="exact"/>
                    <w:ind w:right="0" w:rightChars="0" w:firstLine="360" w:firstLineChars="200"/>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本</w:t>
                  </w:r>
                  <w:r>
                    <w:rPr>
                      <w:rFonts w:hint="default" w:ascii="Times New Roman" w:hAnsi="Times New Roman" w:eastAsia="宋体" w:cs="Times New Roman"/>
                      <w:color w:val="auto"/>
                      <w:sz w:val="18"/>
                      <w:szCs w:val="18"/>
                      <w:highlight w:val="none"/>
                      <w:lang w:val="en-US" w:eastAsia="zh-CN"/>
                    </w:rPr>
                    <w:t>工程</w:t>
                  </w:r>
                  <w:r>
                    <w:rPr>
                      <w:rFonts w:hint="default" w:ascii="Times New Roman" w:hAnsi="Times New Roman" w:eastAsia="宋体" w:cs="Times New Roman"/>
                      <w:color w:val="auto"/>
                      <w:sz w:val="18"/>
                      <w:szCs w:val="18"/>
                      <w:highlight w:val="none"/>
                      <w:lang w:eastAsia="zh-CN"/>
                    </w:rPr>
                    <w:t>属防洪除涝工程，</w:t>
                  </w:r>
                  <w:r>
                    <w:rPr>
                      <w:rFonts w:hint="default" w:ascii="Times New Roman" w:hAnsi="Times New Roman" w:eastAsia="宋体" w:cs="Times New Roman"/>
                      <w:color w:val="auto"/>
                      <w:sz w:val="18"/>
                      <w:szCs w:val="18"/>
                      <w:highlight w:val="none"/>
                      <w:lang w:val="en-US" w:eastAsia="zh-CN"/>
                    </w:rPr>
                    <w:t>本项目占用林地和草原</w:t>
                  </w:r>
                  <w:r>
                    <w:rPr>
                      <w:rFonts w:hint="default" w:ascii="Times New Roman" w:hAnsi="Times New Roman" w:cs="Times New Roman"/>
                      <w:color w:val="auto"/>
                      <w:sz w:val="18"/>
                      <w:szCs w:val="18"/>
                      <w:highlight w:val="none"/>
                      <w:lang w:val="en-US" w:eastAsia="zh-CN"/>
                    </w:rPr>
                    <w:t>、耕地。</w:t>
                  </w:r>
                </w:p>
                <w:p w14:paraId="515BC165">
                  <w:pPr>
                    <w:keepNext w:val="0"/>
                    <w:keepLines w:val="0"/>
                    <w:pageBreakBefore w:val="0"/>
                    <w:widowControl w:val="0"/>
                    <w:kinsoku/>
                    <w:wordWrap/>
                    <w:overflowPunct/>
                    <w:topLinePunct w:val="0"/>
                    <w:autoSpaceDE/>
                    <w:autoSpaceDN/>
                    <w:bidi w:val="0"/>
                    <w:adjustRightInd w:val="0"/>
                    <w:snapToGrid w:val="0"/>
                    <w:spacing w:line="240" w:lineRule="exact"/>
                    <w:ind w:right="0" w:rightChars="0" w:firstLine="360" w:firstLineChars="200"/>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本项目永久占用耕地290.85亩；临时占用耕地263.55亩，在施工前进行表土剥离，在施工结束后进行表土回填并进行土地复垦，恢复耕地</w:t>
                  </w:r>
                  <w:r>
                    <w:rPr>
                      <w:rFonts w:hint="default" w:ascii="Times New Roman" w:hAnsi="Times New Roman" w:cs="Times New Roman"/>
                      <w:color w:val="auto"/>
                      <w:sz w:val="18"/>
                      <w:szCs w:val="18"/>
                      <w:highlight w:val="none"/>
                      <w:lang w:val="en-US" w:eastAsia="zh-CN"/>
                    </w:rPr>
                    <w:t>。</w:t>
                  </w:r>
                </w:p>
                <w:p w14:paraId="2CEB5E59">
                  <w:pPr>
                    <w:keepNext w:val="0"/>
                    <w:keepLines w:val="0"/>
                    <w:pageBreakBefore w:val="0"/>
                    <w:widowControl w:val="0"/>
                    <w:kinsoku/>
                    <w:wordWrap/>
                    <w:overflowPunct/>
                    <w:topLinePunct w:val="0"/>
                    <w:autoSpaceDE/>
                    <w:autoSpaceDN/>
                    <w:bidi w:val="0"/>
                    <w:adjustRightInd w:val="0"/>
                    <w:snapToGrid w:val="0"/>
                    <w:spacing w:line="240" w:lineRule="exact"/>
                    <w:ind w:right="0" w:rightChars="0" w:firstLine="360" w:firstLineChars="200"/>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永久占用林地和草地，在</w:t>
                  </w:r>
                  <w:r>
                    <w:rPr>
                      <w:rFonts w:hint="default" w:ascii="Times New Roman" w:hAnsi="Times New Roman" w:eastAsia="宋体" w:cs="Times New Roman"/>
                      <w:color w:val="auto"/>
                      <w:sz w:val="18"/>
                      <w:szCs w:val="18"/>
                      <w:highlight w:val="none"/>
                      <w:lang w:val="en-US" w:eastAsia="zh-CN"/>
                    </w:rPr>
                    <w:t>施工结束后进行生态修复，占补平衡。</w:t>
                  </w:r>
                </w:p>
                <w:p w14:paraId="125EC406">
                  <w:pPr>
                    <w:keepNext w:val="0"/>
                    <w:keepLines w:val="0"/>
                    <w:pageBreakBefore w:val="0"/>
                    <w:widowControl w:val="0"/>
                    <w:kinsoku/>
                    <w:wordWrap/>
                    <w:overflowPunct/>
                    <w:topLinePunct w:val="0"/>
                    <w:autoSpaceDE/>
                    <w:autoSpaceDN/>
                    <w:bidi w:val="0"/>
                    <w:snapToGrid w:val="0"/>
                    <w:spacing w:line="240" w:lineRule="exact"/>
                    <w:ind w:right="0" w:firstLine="360" w:firstLineChars="200"/>
                    <w:jc w:val="lef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本项目无涉水工程，不会影响</w:t>
                  </w:r>
                  <w:r>
                    <w:rPr>
                      <w:rFonts w:hint="default" w:ascii="Times New Roman" w:hAnsi="Times New Roman" w:eastAsia="宋体" w:cs="Times New Roman"/>
                      <w:snapToGrid w:val="0"/>
                      <w:color w:val="auto"/>
                      <w:sz w:val="18"/>
                      <w:szCs w:val="18"/>
                      <w:highlight w:val="none"/>
                    </w:rPr>
                    <w:t>欧根河黑斑狗鱼国家级水产种质资源保护区</w:t>
                  </w:r>
                  <w:r>
                    <w:rPr>
                      <w:rFonts w:hint="default" w:ascii="Times New Roman" w:hAnsi="Times New Roman" w:eastAsia="宋体" w:cs="Times New Roman"/>
                      <w:snapToGrid w:val="0"/>
                      <w:color w:val="auto"/>
                      <w:sz w:val="18"/>
                      <w:szCs w:val="18"/>
                      <w:highlight w:val="none"/>
                      <w:lang w:val="en-US" w:eastAsia="zh-CN"/>
                    </w:rPr>
                    <w:t>环境。</w:t>
                  </w:r>
                </w:p>
              </w:tc>
            </w:tr>
            <w:tr w14:paraId="1C68F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92" w:type="pct"/>
                  <w:shd w:val="clear" w:color="auto" w:fill="auto"/>
                  <w:noWrap w:val="0"/>
                  <w:vAlign w:val="center"/>
                </w:tcPr>
                <w:p w14:paraId="19F79125">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污染物排放管控</w:t>
                  </w:r>
                </w:p>
              </w:tc>
              <w:tc>
                <w:tcPr>
                  <w:tcW w:w="2672" w:type="pct"/>
                  <w:shd w:val="clear" w:color="auto" w:fill="auto"/>
                  <w:noWrap w:val="0"/>
                  <w:vAlign w:val="center"/>
                </w:tcPr>
                <w:p w14:paraId="01010FC8">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1435" w:type="pct"/>
                  <w:gridSpan w:val="2"/>
                  <w:shd w:val="clear" w:color="auto" w:fill="auto"/>
                  <w:noWrap w:val="0"/>
                  <w:vAlign w:val="center"/>
                </w:tcPr>
                <w:p w14:paraId="4A36F561">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4B7F3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92" w:type="pct"/>
                  <w:shd w:val="clear" w:color="auto" w:fill="auto"/>
                  <w:noWrap w:val="0"/>
                  <w:vAlign w:val="center"/>
                </w:tcPr>
                <w:p w14:paraId="70E7A569">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环境风险防控</w:t>
                  </w:r>
                </w:p>
              </w:tc>
              <w:tc>
                <w:tcPr>
                  <w:tcW w:w="2672" w:type="pct"/>
                  <w:shd w:val="clear" w:color="auto" w:fill="auto"/>
                  <w:noWrap w:val="0"/>
                  <w:vAlign w:val="center"/>
                </w:tcPr>
                <w:p w14:paraId="14C59FA8">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1435" w:type="pct"/>
                  <w:gridSpan w:val="2"/>
                  <w:shd w:val="clear" w:color="auto" w:fill="auto"/>
                  <w:noWrap w:val="0"/>
                  <w:vAlign w:val="center"/>
                </w:tcPr>
                <w:p w14:paraId="22334D97">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5FAD1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0" w:hRule="atLeast"/>
                <w:jc w:val="center"/>
              </w:trPr>
              <w:tc>
                <w:tcPr>
                  <w:tcW w:w="892" w:type="pct"/>
                  <w:shd w:val="clear" w:color="auto" w:fill="auto"/>
                  <w:noWrap w:val="0"/>
                  <w:vAlign w:val="center"/>
                </w:tcPr>
                <w:p w14:paraId="4DE03D41">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资源开发效率</w:t>
                  </w:r>
                </w:p>
              </w:tc>
              <w:tc>
                <w:tcPr>
                  <w:tcW w:w="2672" w:type="pct"/>
                  <w:shd w:val="clear" w:color="auto" w:fill="auto"/>
                  <w:noWrap w:val="0"/>
                  <w:vAlign w:val="center"/>
                </w:tcPr>
                <w:p w14:paraId="36D24E00">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1435" w:type="pct"/>
                  <w:gridSpan w:val="2"/>
                  <w:shd w:val="clear" w:color="auto" w:fill="auto"/>
                  <w:noWrap w:val="0"/>
                  <w:vAlign w:val="center"/>
                </w:tcPr>
                <w:p w14:paraId="33F1E32C">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239C28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2" w:type="pct"/>
                  <w:noWrap w:val="0"/>
                  <w:vAlign w:val="center"/>
                </w:tcPr>
                <w:p w14:paraId="689A2CF3">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sz w:val="18"/>
                      <w:szCs w:val="18"/>
                      <w:highlight w:val="none"/>
                    </w:rPr>
                    <w:t>环境管控单元名称</w:t>
                  </w:r>
                </w:p>
              </w:tc>
              <w:tc>
                <w:tcPr>
                  <w:tcW w:w="4107" w:type="pct"/>
                  <w:gridSpan w:val="3"/>
                  <w:noWrap w:val="0"/>
                  <w:vAlign w:val="center"/>
                </w:tcPr>
                <w:p w14:paraId="50100370">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庆安县永久基本农田</w:t>
                  </w:r>
                </w:p>
              </w:tc>
            </w:tr>
            <w:tr w14:paraId="46A64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2" w:type="pct"/>
                  <w:noWrap w:val="0"/>
                  <w:vAlign w:val="center"/>
                </w:tcPr>
                <w:p w14:paraId="7FC78A50">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sz w:val="18"/>
                      <w:szCs w:val="18"/>
                      <w:highlight w:val="none"/>
                    </w:rPr>
                    <w:t>环境管控单元编码</w:t>
                  </w:r>
                </w:p>
              </w:tc>
              <w:tc>
                <w:tcPr>
                  <w:tcW w:w="4107" w:type="pct"/>
                  <w:gridSpan w:val="3"/>
                  <w:noWrap w:val="0"/>
                  <w:vAlign w:val="center"/>
                </w:tcPr>
                <w:p w14:paraId="46992D2C">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ZH23122430001</w:t>
                  </w:r>
                </w:p>
              </w:tc>
            </w:tr>
            <w:tr w14:paraId="3506E8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2" w:type="pct"/>
                  <w:noWrap w:val="0"/>
                  <w:vAlign w:val="center"/>
                </w:tcPr>
                <w:p w14:paraId="3BFEF6F4">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color w:val="auto"/>
                      <w:kern w:val="2"/>
                      <w:sz w:val="18"/>
                      <w:szCs w:val="18"/>
                      <w:highlight w:val="none"/>
                      <w:lang w:val="en-US" w:eastAsia="zh-CN" w:bidi="ar-SA"/>
                    </w:rPr>
                  </w:pPr>
                  <w:r>
                    <w:rPr>
                      <w:rFonts w:hint="default" w:ascii="Times New Roman" w:hAnsi="Times New Roman" w:eastAsia="宋体" w:cs="Times New Roman"/>
                      <w:b/>
                      <w:bCs/>
                      <w:color w:val="auto"/>
                      <w:sz w:val="18"/>
                      <w:szCs w:val="18"/>
                      <w:highlight w:val="none"/>
                    </w:rPr>
                    <w:t>管控单元类别</w:t>
                  </w:r>
                </w:p>
              </w:tc>
              <w:tc>
                <w:tcPr>
                  <w:tcW w:w="4107" w:type="pct"/>
                  <w:gridSpan w:val="3"/>
                  <w:noWrap w:val="0"/>
                  <w:vAlign w:val="center"/>
                </w:tcPr>
                <w:p w14:paraId="2E8436A6">
                  <w:pPr>
                    <w:keepNext w:val="0"/>
                    <w:keepLines w:val="0"/>
                    <w:pageBreakBefore w:val="0"/>
                    <w:widowControl w:val="0"/>
                    <w:kinsoku/>
                    <w:wordWrap/>
                    <w:overflowPunct/>
                    <w:topLinePunct w:val="0"/>
                    <w:autoSpaceDE/>
                    <w:autoSpaceDN/>
                    <w:bidi w:val="0"/>
                    <w:adjustRightInd w:val="0"/>
                    <w:snapToGrid w:val="0"/>
                    <w:spacing w:line="240" w:lineRule="exact"/>
                    <w:ind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一般管控单元</w:t>
                  </w:r>
                </w:p>
              </w:tc>
            </w:tr>
            <w:tr w14:paraId="51094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2" w:type="pct"/>
                  <w:noWrap w:val="0"/>
                  <w:vAlign w:val="center"/>
                </w:tcPr>
                <w:p w14:paraId="151650FB">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rPr>
                    <w:t>空间布局约束</w:t>
                  </w:r>
                </w:p>
              </w:tc>
              <w:tc>
                <w:tcPr>
                  <w:tcW w:w="2672" w:type="pct"/>
                  <w:shd w:val="clear" w:color="auto" w:fill="auto"/>
                  <w:noWrap w:val="0"/>
                  <w:vAlign w:val="center"/>
                </w:tcPr>
                <w:p w14:paraId="0B097E99">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1435" w:type="pct"/>
                  <w:gridSpan w:val="2"/>
                  <w:shd w:val="clear" w:color="auto" w:fill="auto"/>
                  <w:noWrap w:val="0"/>
                  <w:vAlign w:val="center"/>
                </w:tcPr>
                <w:p w14:paraId="789A8DCE">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7E9F86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2" w:type="pct"/>
                  <w:shd w:val="clear" w:color="auto" w:fill="auto"/>
                  <w:noWrap w:val="0"/>
                  <w:vAlign w:val="center"/>
                </w:tcPr>
                <w:p w14:paraId="2F8F3997">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污染物排放管控</w:t>
                  </w:r>
                </w:p>
              </w:tc>
              <w:tc>
                <w:tcPr>
                  <w:tcW w:w="2672" w:type="pct"/>
                  <w:shd w:val="clear" w:color="auto" w:fill="auto"/>
                  <w:noWrap w:val="0"/>
                  <w:vAlign w:val="center"/>
                </w:tcPr>
                <w:p w14:paraId="656F771C">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1435" w:type="pct"/>
                  <w:gridSpan w:val="2"/>
                  <w:shd w:val="clear" w:color="auto" w:fill="auto"/>
                  <w:noWrap w:val="0"/>
                  <w:vAlign w:val="center"/>
                </w:tcPr>
                <w:p w14:paraId="6FACE115">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1B909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2" w:type="pct"/>
                  <w:shd w:val="clear" w:color="auto" w:fill="auto"/>
                  <w:noWrap w:val="0"/>
                  <w:vAlign w:val="center"/>
                </w:tcPr>
                <w:p w14:paraId="4229B245">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环境风险防控</w:t>
                  </w:r>
                </w:p>
              </w:tc>
              <w:tc>
                <w:tcPr>
                  <w:tcW w:w="2672" w:type="pct"/>
                  <w:shd w:val="clear" w:color="auto" w:fill="auto"/>
                  <w:noWrap w:val="0"/>
                  <w:vAlign w:val="center"/>
                </w:tcPr>
                <w:p w14:paraId="24A56C40">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1435" w:type="pct"/>
                  <w:gridSpan w:val="2"/>
                  <w:shd w:val="clear" w:color="auto" w:fill="auto"/>
                  <w:noWrap w:val="0"/>
                  <w:vAlign w:val="center"/>
                </w:tcPr>
                <w:p w14:paraId="0350B25A">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6CAAA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6" w:hRule="atLeast"/>
                <w:jc w:val="center"/>
              </w:trPr>
              <w:tc>
                <w:tcPr>
                  <w:tcW w:w="892" w:type="pct"/>
                  <w:shd w:val="clear" w:color="auto" w:fill="auto"/>
                  <w:noWrap w:val="0"/>
                  <w:vAlign w:val="center"/>
                </w:tcPr>
                <w:p w14:paraId="1438E905">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lang w:val="en-US" w:eastAsia="zh-CN"/>
                    </w:rPr>
                    <w:t>资源开发效率要求</w:t>
                  </w:r>
                </w:p>
              </w:tc>
              <w:tc>
                <w:tcPr>
                  <w:tcW w:w="2672" w:type="pct"/>
                  <w:shd w:val="clear" w:color="auto" w:fill="auto"/>
                  <w:noWrap w:val="0"/>
                  <w:vAlign w:val="center"/>
                </w:tcPr>
                <w:p w14:paraId="6F490252">
                  <w:pPr>
                    <w:keepNext w:val="0"/>
                    <w:keepLines w:val="0"/>
                    <w:pageBreakBefore w:val="0"/>
                    <w:kinsoku/>
                    <w:wordWrap/>
                    <w:overflowPunct/>
                    <w:topLinePunct w:val="0"/>
                    <w:bidi w:val="0"/>
                    <w:snapToGrid w:val="0"/>
                    <w:spacing w:line="240" w:lineRule="exact"/>
                    <w:ind w:right="0" w:rightChars="0"/>
                    <w:jc w:val="left"/>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lang w:val="en-US" w:eastAsia="zh-CN"/>
                    </w:rPr>
                    <w:t>执行 1.严格永久基本农田占用和补划，永久基本农田经依法划定后，任何单位和个人不得擅自占用或者改变其用途。 2.在永久基本农田集中区域，不得新建可能造成土壤污染的建设项目；已经建成的，应当限期关闭拆除。 3.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 4.禁止任何单位和个人破坏永久基本农田耕作层。 5.禁止以设施农用地为名违规占用永久基本农田建设休闲旅游、仓储厂房等设施。 6.禁止向农用地排放重金属或者其他有毒有害物质含量超标的污水、污泥，以及可能造成土壤污染的清淤底泥、尾矿、矿渣等。 7.国家能源、交通、水利、军事设施等重点项目确实难以避让永久基本农田的，涉及农用地转用或者土地征收的，必须经过国务院批准。8.一般建设项目不得占用永久基本农田；重大建设项目选址确实难以避让永久基本农田的，要按照</w:t>
                  </w:r>
                  <w:r>
                    <w:rPr>
                      <w:rFonts w:hint="default" w:ascii="Times New Roman" w:hAnsi="Times New Roman" w:cs="Times New Roman"/>
                      <w:snapToGrid w:val="0"/>
                      <w:color w:val="auto"/>
                      <w:sz w:val="18"/>
                      <w:szCs w:val="18"/>
                      <w:highlight w:val="none"/>
                      <w:lang w:val="en-US" w:eastAsia="zh-CN"/>
                    </w:rPr>
                    <w:t>"</w:t>
                  </w:r>
                  <w:r>
                    <w:rPr>
                      <w:rFonts w:hint="default" w:ascii="Times New Roman" w:hAnsi="Times New Roman" w:eastAsia="宋体" w:cs="Times New Roman"/>
                      <w:snapToGrid w:val="0"/>
                      <w:color w:val="auto"/>
                      <w:sz w:val="18"/>
                      <w:szCs w:val="18"/>
                      <w:highlight w:val="none"/>
                      <w:lang w:val="en-US" w:eastAsia="zh-CN"/>
                    </w:rPr>
                    <w:t>数量不减、质量不降、布局稳定</w:t>
                  </w:r>
                  <w:r>
                    <w:rPr>
                      <w:rFonts w:hint="default" w:ascii="Times New Roman" w:hAnsi="Times New Roman" w:cs="Times New Roman"/>
                      <w:snapToGrid w:val="0"/>
                      <w:color w:val="auto"/>
                      <w:sz w:val="18"/>
                      <w:szCs w:val="18"/>
                      <w:highlight w:val="none"/>
                      <w:lang w:val="en-US" w:eastAsia="zh-CN"/>
                    </w:rPr>
                    <w:t>"</w:t>
                  </w:r>
                  <w:r>
                    <w:rPr>
                      <w:rFonts w:hint="default" w:ascii="Times New Roman" w:hAnsi="Times New Roman" w:eastAsia="宋体" w:cs="Times New Roman"/>
                      <w:snapToGrid w:val="0"/>
                      <w:color w:val="auto"/>
                      <w:sz w:val="18"/>
                      <w:szCs w:val="18"/>
                      <w:highlight w:val="none"/>
                      <w:lang w:val="en-US" w:eastAsia="zh-CN"/>
                    </w:rPr>
                    <w:t>的要求，在储备区内选择数量相等、质量相当的地块进行补划。 9.非农业建设依法占用永久基本农田的，建设单位应当将所占用耕地耕作层的土壤用于新开垦的耕地、劣质地或其他耕地的土壤改良。 位于优先保护单元和重点管控单元内永久基本农田也同时执行此要求。</w:t>
                  </w:r>
                </w:p>
              </w:tc>
              <w:tc>
                <w:tcPr>
                  <w:tcW w:w="1435" w:type="pct"/>
                  <w:gridSpan w:val="2"/>
                  <w:shd w:val="clear" w:color="auto" w:fill="auto"/>
                  <w:noWrap w:val="0"/>
                  <w:vAlign w:val="center"/>
                </w:tcPr>
                <w:p w14:paraId="2E76D21B">
                  <w:pPr>
                    <w:keepNext w:val="0"/>
                    <w:keepLines w:val="0"/>
                    <w:pageBreakBefore w:val="0"/>
                    <w:widowControl w:val="0"/>
                    <w:kinsoku/>
                    <w:wordWrap/>
                    <w:overflowPunct/>
                    <w:topLinePunct w:val="0"/>
                    <w:autoSpaceDE/>
                    <w:autoSpaceDN/>
                    <w:bidi w:val="0"/>
                    <w:adjustRightInd w:val="0"/>
                    <w:snapToGrid w:val="0"/>
                    <w:spacing w:line="240" w:lineRule="exact"/>
                    <w:ind w:right="0" w:rightChars="0" w:firstLine="360" w:firstLineChars="200"/>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本</w:t>
                  </w:r>
                  <w:r>
                    <w:rPr>
                      <w:rFonts w:hint="default" w:ascii="Times New Roman" w:hAnsi="Times New Roman" w:eastAsia="宋体" w:cs="Times New Roman"/>
                      <w:color w:val="auto"/>
                      <w:sz w:val="18"/>
                      <w:szCs w:val="18"/>
                      <w:highlight w:val="none"/>
                      <w:lang w:val="en-US" w:eastAsia="zh-CN"/>
                    </w:rPr>
                    <w:t>工程</w:t>
                  </w:r>
                  <w:r>
                    <w:rPr>
                      <w:rFonts w:hint="default" w:ascii="Times New Roman" w:hAnsi="Times New Roman" w:eastAsia="宋体" w:cs="Times New Roman"/>
                      <w:color w:val="auto"/>
                      <w:sz w:val="18"/>
                      <w:szCs w:val="18"/>
                      <w:highlight w:val="none"/>
                      <w:lang w:eastAsia="zh-CN"/>
                    </w:rPr>
                    <w:t>属防洪除涝工程，</w:t>
                  </w:r>
                  <w:r>
                    <w:rPr>
                      <w:rFonts w:hint="default" w:ascii="Times New Roman" w:hAnsi="Times New Roman" w:eastAsia="宋体" w:cs="Times New Roman"/>
                      <w:color w:val="auto"/>
                      <w:sz w:val="18"/>
                      <w:szCs w:val="18"/>
                      <w:highlight w:val="none"/>
                      <w:lang w:val="en-US" w:eastAsia="zh-CN"/>
                    </w:rPr>
                    <w:t>永久占用</w:t>
                  </w:r>
                  <w:r>
                    <w:rPr>
                      <w:rFonts w:hint="default" w:ascii="Times New Roman" w:hAnsi="Times New Roman" w:eastAsia="宋体" w:cs="Times New Roman"/>
                      <w:color w:val="auto"/>
                      <w:sz w:val="18"/>
                      <w:szCs w:val="18"/>
                      <w:highlight w:val="none"/>
                      <w:lang w:eastAsia="zh-CN"/>
                    </w:rPr>
                    <w:t>耕地290.85亩，</w:t>
                  </w:r>
                  <w:r>
                    <w:rPr>
                      <w:rFonts w:hint="default" w:ascii="Times New Roman" w:hAnsi="Times New Roman" w:eastAsia="宋体" w:cs="Times New Roman"/>
                      <w:color w:val="auto"/>
                      <w:sz w:val="18"/>
                      <w:szCs w:val="18"/>
                      <w:highlight w:val="none"/>
                      <w:lang w:val="en-US" w:eastAsia="zh-CN"/>
                    </w:rPr>
                    <w:t>临时占用耕地983.55亩</w:t>
                  </w:r>
                  <w:r>
                    <w:rPr>
                      <w:rFonts w:hint="eastAsia" w:ascii="Times New Roman" w:hAnsi="Times New Roman" w:cs="Times New Roman"/>
                      <w:color w:val="auto"/>
                      <w:sz w:val="18"/>
                      <w:szCs w:val="18"/>
                      <w:highlight w:val="none"/>
                      <w:lang w:val="en-US" w:eastAsia="zh-CN"/>
                    </w:rPr>
                    <w:t>，均</w:t>
                  </w:r>
                  <w:r>
                    <w:rPr>
                      <w:rFonts w:hint="default" w:ascii="Times New Roman" w:hAnsi="Times New Roman" w:eastAsia="宋体" w:cs="Times New Roman"/>
                      <w:color w:val="auto"/>
                      <w:sz w:val="18"/>
                      <w:szCs w:val="18"/>
                      <w:highlight w:val="none"/>
                      <w:lang w:val="en-US" w:eastAsia="zh-CN"/>
                    </w:rPr>
                    <w:t>不占用基本农田</w:t>
                  </w:r>
                  <w:r>
                    <w:rPr>
                      <w:rFonts w:hint="eastAsia" w:ascii="Times New Roman" w:hAnsi="Times New Roman" w:cs="Times New Roman"/>
                      <w:color w:val="auto"/>
                      <w:sz w:val="18"/>
                      <w:szCs w:val="18"/>
                      <w:highlight w:val="none"/>
                      <w:lang w:val="en-US" w:eastAsia="zh-CN"/>
                    </w:rPr>
                    <w:t>。根据庆安县自然资源局出具《关于核实&lt;黑龙江省庆安县欧根河治理工程&gt;用地范围占用基本农田的情况说明》，经套合庆安县基本农田数据库，本项目不涉及永久基本农田。</w:t>
                  </w:r>
                </w:p>
              </w:tc>
            </w:tr>
            <w:tr w14:paraId="1B77F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92" w:type="pct"/>
                  <w:noWrap w:val="0"/>
                  <w:vAlign w:val="center"/>
                </w:tcPr>
                <w:p w14:paraId="32660C9C">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pacing w:val="-3"/>
                      <w:kern w:val="0"/>
                      <w:sz w:val="18"/>
                      <w:szCs w:val="18"/>
                      <w:highlight w:val="none"/>
                      <w:lang w:eastAsia="zh-CN"/>
                    </w:rPr>
                  </w:pPr>
                  <w:r>
                    <w:rPr>
                      <w:rFonts w:hint="default" w:ascii="Times New Roman" w:hAnsi="Times New Roman" w:eastAsia="宋体" w:cs="Times New Roman"/>
                      <w:b/>
                      <w:bCs/>
                      <w:color w:val="auto"/>
                      <w:sz w:val="18"/>
                      <w:szCs w:val="18"/>
                      <w:highlight w:val="none"/>
                    </w:rPr>
                    <w:t>环境管控单元名称</w:t>
                  </w:r>
                </w:p>
              </w:tc>
              <w:tc>
                <w:tcPr>
                  <w:tcW w:w="4107" w:type="pct"/>
                  <w:gridSpan w:val="3"/>
                  <w:noWrap w:val="0"/>
                  <w:vAlign w:val="center"/>
                </w:tcPr>
                <w:p w14:paraId="1C37C1EF">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庆安县其他区域</w:t>
                  </w:r>
                </w:p>
              </w:tc>
            </w:tr>
            <w:tr w14:paraId="66C6D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36333695">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pacing w:val="-3"/>
                      <w:kern w:val="0"/>
                      <w:sz w:val="18"/>
                      <w:szCs w:val="18"/>
                      <w:highlight w:val="none"/>
                      <w:lang w:eastAsia="zh-CN"/>
                    </w:rPr>
                  </w:pPr>
                  <w:r>
                    <w:rPr>
                      <w:rFonts w:hint="default" w:ascii="Times New Roman" w:hAnsi="Times New Roman" w:eastAsia="宋体" w:cs="Times New Roman"/>
                      <w:b/>
                      <w:bCs/>
                      <w:color w:val="auto"/>
                      <w:sz w:val="18"/>
                      <w:szCs w:val="18"/>
                      <w:highlight w:val="none"/>
                    </w:rPr>
                    <w:t>环境管控单元编码</w:t>
                  </w:r>
                </w:p>
              </w:tc>
              <w:tc>
                <w:tcPr>
                  <w:tcW w:w="4107" w:type="pct"/>
                  <w:gridSpan w:val="3"/>
                  <w:noWrap w:val="0"/>
                  <w:vAlign w:val="center"/>
                </w:tcPr>
                <w:p w14:paraId="127A06A9">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ZH23122430002</w:t>
                  </w:r>
                </w:p>
              </w:tc>
            </w:tr>
            <w:tr w14:paraId="16EE64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1A10DF77">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pacing w:val="-3"/>
                      <w:kern w:val="0"/>
                      <w:sz w:val="18"/>
                      <w:szCs w:val="18"/>
                      <w:highlight w:val="none"/>
                      <w:lang w:eastAsia="zh-CN"/>
                    </w:rPr>
                  </w:pPr>
                  <w:r>
                    <w:rPr>
                      <w:rFonts w:hint="default" w:ascii="Times New Roman" w:hAnsi="Times New Roman" w:eastAsia="宋体" w:cs="Times New Roman"/>
                      <w:b/>
                      <w:bCs/>
                      <w:color w:val="auto"/>
                      <w:sz w:val="18"/>
                      <w:szCs w:val="18"/>
                      <w:highlight w:val="none"/>
                    </w:rPr>
                    <w:t>管控单元类别</w:t>
                  </w:r>
                </w:p>
              </w:tc>
              <w:tc>
                <w:tcPr>
                  <w:tcW w:w="4107" w:type="pct"/>
                  <w:gridSpan w:val="3"/>
                  <w:noWrap w:val="0"/>
                  <w:vAlign w:val="center"/>
                </w:tcPr>
                <w:p w14:paraId="08E588EB">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一般管控单元</w:t>
                  </w:r>
                </w:p>
              </w:tc>
            </w:tr>
            <w:tr w14:paraId="47B885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1" w:hRule="atLeast"/>
                <w:jc w:val="center"/>
              </w:trPr>
              <w:tc>
                <w:tcPr>
                  <w:tcW w:w="892" w:type="pct"/>
                  <w:shd w:val="clear" w:color="auto" w:fill="auto"/>
                  <w:noWrap w:val="0"/>
                  <w:vAlign w:val="center"/>
                </w:tcPr>
                <w:p w14:paraId="46438EDF">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空间布局约束</w:t>
                  </w:r>
                </w:p>
              </w:tc>
              <w:tc>
                <w:tcPr>
                  <w:tcW w:w="2681" w:type="pct"/>
                  <w:gridSpan w:val="2"/>
                  <w:noWrap w:val="0"/>
                  <w:vAlign w:val="center"/>
                </w:tcPr>
                <w:p w14:paraId="49534B6B">
                  <w:pPr>
                    <w:keepNext w:val="0"/>
                    <w:keepLines w:val="0"/>
                    <w:pageBreakBefore w:val="0"/>
                    <w:kinsoku/>
                    <w:wordWrap/>
                    <w:overflowPunct/>
                    <w:topLinePunct w:val="0"/>
                    <w:bidi w:val="0"/>
                    <w:snapToGrid w:val="0"/>
                    <w:spacing w:line="240" w:lineRule="exact"/>
                    <w:ind w:right="0"/>
                    <w:jc w:val="both"/>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执行 1.引导工业项目向开发区集中，促进产业集聚、资源集约、绿色发展。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425" w:type="pct"/>
                  <w:noWrap w:val="0"/>
                  <w:vAlign w:val="center"/>
                </w:tcPr>
                <w:p w14:paraId="6549494C">
                  <w:pPr>
                    <w:keepNext w:val="0"/>
                    <w:keepLines w:val="0"/>
                    <w:pageBreakBefore w:val="0"/>
                    <w:widowControl w:val="0"/>
                    <w:kinsoku/>
                    <w:wordWrap/>
                    <w:overflowPunct/>
                    <w:topLinePunct w:val="0"/>
                    <w:autoSpaceDE/>
                    <w:autoSpaceDN/>
                    <w:bidi w:val="0"/>
                    <w:adjustRightInd/>
                    <w:snapToGrid w:val="0"/>
                    <w:spacing w:line="240" w:lineRule="exact"/>
                    <w:ind w:right="0" w:firstLine="360" w:firstLineChars="200"/>
                    <w:jc w:val="left"/>
                    <w:textAlignment w:val="auto"/>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color w:val="auto"/>
                      <w:sz w:val="18"/>
                      <w:szCs w:val="18"/>
                      <w:highlight w:val="none"/>
                    </w:rPr>
                    <w:t>本</w:t>
                  </w:r>
                  <w:r>
                    <w:rPr>
                      <w:rFonts w:hint="default" w:ascii="Times New Roman" w:hAnsi="Times New Roman" w:eastAsia="宋体" w:cs="Times New Roman"/>
                      <w:color w:val="auto"/>
                      <w:sz w:val="18"/>
                      <w:szCs w:val="18"/>
                      <w:highlight w:val="none"/>
                      <w:lang w:val="en-US" w:eastAsia="zh-CN"/>
                    </w:rPr>
                    <w:t>工程</w:t>
                  </w:r>
                  <w:r>
                    <w:rPr>
                      <w:rFonts w:hint="default" w:ascii="Times New Roman" w:hAnsi="Times New Roman" w:eastAsia="宋体" w:cs="Times New Roman"/>
                      <w:color w:val="auto"/>
                      <w:sz w:val="18"/>
                      <w:szCs w:val="18"/>
                      <w:highlight w:val="none"/>
                    </w:rPr>
                    <w:t>为防洪除涝</w:t>
                  </w:r>
                  <w:r>
                    <w:rPr>
                      <w:rFonts w:hint="default" w:ascii="Times New Roman" w:hAnsi="Times New Roman" w:eastAsia="宋体" w:cs="Times New Roman"/>
                      <w:color w:val="auto"/>
                      <w:sz w:val="18"/>
                      <w:szCs w:val="18"/>
                      <w:highlight w:val="none"/>
                      <w:lang w:val="en-US" w:eastAsia="zh-CN"/>
                    </w:rPr>
                    <w:t>工程</w:t>
                  </w:r>
                  <w:r>
                    <w:rPr>
                      <w:rFonts w:hint="default" w:ascii="Times New Roman" w:hAnsi="Times New Roman" w:eastAsia="宋体" w:cs="Times New Roman"/>
                      <w:color w:val="auto"/>
                      <w:sz w:val="18"/>
                      <w:szCs w:val="18"/>
                      <w:highlight w:val="none"/>
                    </w:rPr>
                    <w:t>运营期不排放大气污染物、水污染物，非产能过剩行业及高耗能行业，符合要求。</w:t>
                  </w:r>
                </w:p>
              </w:tc>
            </w:tr>
            <w:tr w14:paraId="7D8E6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2" w:type="pct"/>
                  <w:shd w:val="clear" w:color="auto" w:fill="auto"/>
                  <w:noWrap w:val="0"/>
                  <w:vAlign w:val="center"/>
                </w:tcPr>
                <w:p w14:paraId="4E44346A">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污染物排放管控</w:t>
                  </w:r>
                </w:p>
              </w:tc>
              <w:tc>
                <w:tcPr>
                  <w:tcW w:w="2681" w:type="pct"/>
                  <w:gridSpan w:val="2"/>
                  <w:shd w:val="clear" w:color="auto" w:fill="auto"/>
                  <w:noWrap w:val="0"/>
                  <w:vAlign w:val="center"/>
                </w:tcPr>
                <w:p w14:paraId="70D0D9E4">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1425" w:type="pct"/>
                  <w:shd w:val="clear" w:color="auto" w:fill="auto"/>
                  <w:noWrap w:val="0"/>
                  <w:vAlign w:val="center"/>
                </w:tcPr>
                <w:p w14:paraId="2F3A1878">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713264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7E6033CD">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环境风险防控</w:t>
                  </w:r>
                </w:p>
              </w:tc>
              <w:tc>
                <w:tcPr>
                  <w:tcW w:w="0" w:type="auto"/>
                  <w:gridSpan w:val="2"/>
                  <w:shd w:val="clear" w:color="auto" w:fill="auto"/>
                  <w:vAlign w:val="center"/>
                </w:tcPr>
                <w:p w14:paraId="179CE216">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0" w:type="auto"/>
                  <w:shd w:val="clear" w:color="auto" w:fill="auto"/>
                  <w:vAlign w:val="center"/>
                </w:tcPr>
                <w:p w14:paraId="24E677EF">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4DC49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493E8829">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资源开发效率</w:t>
                  </w:r>
                </w:p>
              </w:tc>
              <w:tc>
                <w:tcPr>
                  <w:tcW w:w="0" w:type="auto"/>
                  <w:gridSpan w:val="2"/>
                  <w:shd w:val="clear" w:color="auto" w:fill="auto"/>
                  <w:vAlign w:val="center"/>
                </w:tcPr>
                <w:p w14:paraId="6D9306B4">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0" w:type="auto"/>
                  <w:shd w:val="clear" w:color="auto" w:fill="auto"/>
                  <w:vAlign w:val="center"/>
                </w:tcPr>
                <w:p w14:paraId="6A64237B">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bl>
          <w:p w14:paraId="4310D3F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一说</w:t>
            </w:r>
            <w:r>
              <w:rPr>
                <w:rFonts w:hint="default" w:ascii="Times New Roman" w:hAnsi="Times New Roman" w:eastAsia="宋体" w:cs="Times New Roman"/>
                <w:color w:val="auto"/>
                <w:kern w:val="2"/>
                <w:sz w:val="24"/>
                <w:szCs w:val="24"/>
                <w:highlight w:val="none"/>
                <w:lang w:val="en-US" w:eastAsia="zh-CN" w:bidi="ar-SA"/>
              </w:rPr>
              <w:t>明</w:t>
            </w:r>
            <w:r>
              <w:rPr>
                <w:rFonts w:hint="default" w:ascii="Times New Roman" w:hAnsi="Times New Roman" w:cs="Times New Roman"/>
                <w:color w:val="auto"/>
                <w:kern w:val="2"/>
                <w:sz w:val="24"/>
                <w:szCs w:val="24"/>
                <w:highlight w:val="none"/>
                <w:lang w:val="en-US" w:eastAsia="zh-CN" w:bidi="ar-SA"/>
              </w:rPr>
              <w:t>"</w:t>
            </w:r>
          </w:p>
          <w:p w14:paraId="4963239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根据黑龙江省生态分区管控数据应用平台出具的《黑龙江省庆安县欧根河治理工程生态环境分区管控分析报告》可知，黑龙江省庆安县欧根河治理工程项目位置涉及绥化市庆安县；项目占地总面积0.15平方公里。与生态保护红线交集面积为0.02平方公里，占项目占地面积的15.62%。与自然保护地整合优化方案数据交集面积为0.00平方公里，占项目占地面积的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境管控单元优先保护单元交集面积为0.10平方公里，占项目占地面积的71.60%；与重点管控单元交集面积为0.00平方公里，占项目占地面积的0.00%；一般管控单元交集面积为0.04平方公里，占项目占地面积的28.40%。与地下水环境优先保护区交集面积为0.00平方公里，占项目占地面积的0.00%；与地下水环境重点管控区交集面积为0.00平方公里，占项目占地面积的0.00%，与地下水环境一般管控区交集面积为0.15平方公里，占项目占地面积的 100.00%。</w:t>
            </w:r>
          </w:p>
          <w:p w14:paraId="3AD10B2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经分析，黑龙江省庆安县欧根河治理工程与黑龙江省生态环境分区管控成果相交情况所示，本项目的建设符合《黑龙江省人民政府关于实施</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三线一单</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生态环境分区管控的意见》（黑政发〔2020〕14号）、《关于发布2023年生态环境分区管控动态更新成果的通知》（黑环发〔2024〕1号）、《绥化市生态环境准入清单》（2023年版）、《黑龙江省庆安县欧根河治理工程生态环境分区管控分析报告》中的要求。</w:t>
            </w:r>
          </w:p>
          <w:p w14:paraId="5E5558C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yellow"/>
                <w:lang w:val="en-US" w:eastAsia="zh-CN" w:bidi="ar-SA"/>
              </w:rPr>
              <w:t>本项目永久占地河临时占地均无涉水工程，对生态保护红线无影响。</w:t>
            </w:r>
          </w:p>
          <w:bookmarkEnd w:id="8"/>
          <w:p w14:paraId="219C47D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2、与《水利建设项目（河湖整治与防洪除涝工程）环境影响评价文件审批原则》（环办环评</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2018</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2号）符合性分析</w:t>
            </w:r>
          </w:p>
          <w:p w14:paraId="2DCA7B13">
            <w:pPr>
              <w:pStyle w:val="84"/>
              <w:widowControl/>
              <w:ind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3</w:t>
            </w:r>
            <w:r>
              <w:rPr>
                <w:rFonts w:hint="default" w:ascii="Times New Roman" w:hAnsi="Times New Roman" w:eastAsia="宋体" w:cs="Times New Roman"/>
                <w:b/>
                <w:bCs/>
                <w:color w:val="auto"/>
                <w:highlight w:val="none"/>
              </w:rPr>
              <w:t>与《水利建设项目（河湖整治与防洪除涝工程）环境影响评价文件审</w:t>
            </w:r>
            <w:r>
              <w:rPr>
                <w:rFonts w:hint="default" w:ascii="Times New Roman" w:hAnsi="Times New Roman" w:eastAsia="宋体" w:cs="Times New Roman"/>
                <w:b/>
                <w:bCs/>
                <w:color w:val="auto"/>
                <w:sz w:val="21"/>
                <w:szCs w:val="21"/>
                <w:highlight w:val="none"/>
              </w:rPr>
              <w:t>批原则》（环办环评</w:t>
            </w:r>
            <w:r>
              <w:rPr>
                <w:rFonts w:hint="default" w:ascii="Times New Roman" w:hAnsi="Times New Roman"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2018</w:t>
            </w:r>
            <w:r>
              <w:rPr>
                <w:rFonts w:hint="default" w:ascii="Times New Roman" w:hAnsi="Times New Roman"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2号）符合性分析</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06"/>
              <w:gridCol w:w="2963"/>
              <w:gridCol w:w="1197"/>
            </w:tblGrid>
            <w:tr w14:paraId="70D817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791" w:type="dxa"/>
                  <w:tcBorders>
                    <w:top w:val="single" w:color="auto" w:sz="12" w:space="0"/>
                    <w:left w:val="nil"/>
                    <w:bottom w:val="single" w:color="auto" w:sz="4" w:space="0"/>
                    <w:right w:val="single" w:color="auto" w:sz="4" w:space="0"/>
                  </w:tcBorders>
                  <w:noWrap w:val="0"/>
                  <w:vAlign w:val="center"/>
                </w:tcPr>
                <w:p w14:paraId="70F14E8D">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相关规定</w:t>
                  </w:r>
                </w:p>
              </w:tc>
              <w:tc>
                <w:tcPr>
                  <w:tcW w:w="3030" w:type="dxa"/>
                  <w:tcBorders>
                    <w:top w:val="single" w:color="auto" w:sz="12" w:space="0"/>
                    <w:left w:val="nil"/>
                    <w:bottom w:val="single" w:color="auto" w:sz="4" w:space="0"/>
                    <w:right w:val="single" w:color="auto" w:sz="4" w:space="0"/>
                  </w:tcBorders>
                  <w:noWrap w:val="0"/>
                  <w:vAlign w:val="center"/>
                </w:tcPr>
                <w:p w14:paraId="14D0EBCE">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符合性分析</w:t>
                  </w:r>
                </w:p>
              </w:tc>
              <w:tc>
                <w:tcPr>
                  <w:tcW w:w="1221" w:type="dxa"/>
                  <w:tcBorders>
                    <w:top w:val="single" w:color="auto" w:sz="12" w:space="0"/>
                    <w:left w:val="nil"/>
                    <w:bottom w:val="single" w:color="auto" w:sz="4" w:space="0"/>
                    <w:right w:val="nil"/>
                  </w:tcBorders>
                  <w:noWrap w:val="0"/>
                  <w:vAlign w:val="center"/>
                </w:tcPr>
                <w:p w14:paraId="0287D1D8">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3130F8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17A7D8A8">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第一条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本原则适用于河湖整治与防洪除涝工程环境影响评价文件的审批，工程建设内容包括疏浚、堤防建设、闸坝闸站建设、岸线治理、水系连通、蓄</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滞</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洪区建设、排涝治理等</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引调水、防洪水库等水利枢纽工程除外</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。其他类似工程可参照执行。</w:t>
                  </w:r>
                </w:p>
              </w:tc>
              <w:tc>
                <w:tcPr>
                  <w:tcW w:w="3030" w:type="dxa"/>
                  <w:tcBorders>
                    <w:top w:val="single" w:color="auto" w:sz="4" w:space="0"/>
                    <w:left w:val="nil"/>
                    <w:bottom w:val="single" w:color="auto" w:sz="4" w:space="0"/>
                    <w:right w:val="single" w:color="auto" w:sz="4" w:space="0"/>
                  </w:tcBorders>
                  <w:noWrap w:val="0"/>
                  <w:vAlign w:val="center"/>
                </w:tcPr>
                <w:p w14:paraId="49C8A437">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eastAsia="zh-CN"/>
                    </w:rPr>
                    <w:t>黑龙江省庆安县欧根河治理工程</w:t>
                  </w:r>
                  <w:r>
                    <w:rPr>
                      <w:rFonts w:hint="default" w:ascii="Times New Roman" w:hAnsi="Times New Roman" w:eastAsia="宋体" w:cs="Times New Roman"/>
                      <w:color w:val="auto"/>
                      <w:highlight w:val="none"/>
                    </w:rPr>
                    <w:t>，工程建设内容为新建护岸</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堤防和穿堤建筑物</w:t>
                  </w:r>
                  <w:r>
                    <w:rPr>
                      <w:rFonts w:hint="default" w:ascii="Times New Roman" w:hAnsi="Times New Roman" w:eastAsia="宋体" w:cs="Times New Roman"/>
                      <w:color w:val="auto"/>
                      <w:highlight w:val="none"/>
                    </w:rPr>
                    <w:t>，符合要求。</w:t>
                  </w:r>
                </w:p>
              </w:tc>
              <w:tc>
                <w:tcPr>
                  <w:tcW w:w="1221" w:type="dxa"/>
                  <w:tcBorders>
                    <w:top w:val="single" w:color="auto" w:sz="4" w:space="0"/>
                    <w:left w:val="nil"/>
                    <w:bottom w:val="single" w:color="auto" w:sz="4" w:space="0"/>
                    <w:right w:val="nil"/>
                  </w:tcBorders>
                  <w:noWrap w:val="0"/>
                  <w:vAlign w:val="center"/>
                </w:tcPr>
                <w:p w14:paraId="276E9510">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0A4D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0465D692">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第二条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项目符合环境保护相关法律法规和政策要求，与主体功能区规划、生态功能区划、水环境功能区划、水功能区划、生态环境保护规划、流域综合规划、防洪规划等相协调，满足相关规划环评要求。</w:t>
                  </w:r>
                </w:p>
              </w:tc>
              <w:tc>
                <w:tcPr>
                  <w:tcW w:w="3030" w:type="dxa"/>
                  <w:tcBorders>
                    <w:top w:val="single" w:color="auto" w:sz="4" w:space="0"/>
                    <w:left w:val="nil"/>
                    <w:bottom w:val="single" w:color="auto" w:sz="4" w:space="0"/>
                    <w:right w:val="single" w:color="auto" w:sz="4" w:space="0"/>
                  </w:tcBorders>
                  <w:noWrap w:val="0"/>
                  <w:vAlign w:val="center"/>
                </w:tcPr>
                <w:p w14:paraId="2586FC69">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符合环境保护相关法律法规和产业政策要求；符合《自然资源部关于规范临时用地管理的通知》（自然资规〔2021〕2号）；并与《黑龙江省主体功能区规划》、《黑龙江省生态功能区划》、《黑龙江省水土保持规划（2015</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2030年）》</w:t>
                  </w:r>
                  <w:r>
                    <w:rPr>
                      <w:rFonts w:hint="default" w:ascii="Times New Roman" w:hAnsi="Times New Roman" w:eastAsia="宋体" w:cs="Times New Roman"/>
                      <w:color w:val="auto"/>
                      <w:highlight w:val="none"/>
                      <w:lang w:eastAsia="zh-CN"/>
                    </w:rPr>
                    <w:t>、《松花江流域综合规划》、《松花江流域防洪规划》</w:t>
                  </w:r>
                  <w:r>
                    <w:rPr>
                      <w:rFonts w:hint="default" w:ascii="Times New Roman" w:hAnsi="Times New Roman" w:eastAsia="宋体" w:cs="Times New Roman"/>
                      <w:color w:val="auto"/>
                      <w:highlight w:val="none"/>
                    </w:rPr>
                    <w:t>等相协调。</w:t>
                  </w:r>
                  <w:r>
                    <w:rPr>
                      <w:rFonts w:hint="default" w:ascii="Times New Roman" w:hAnsi="Times New Roman" w:eastAsia="宋体" w:cs="Times New Roman"/>
                      <w:color w:val="auto"/>
                      <w:highlight w:val="yellow"/>
                    </w:rPr>
                    <w:t>未制定与欧根河流域生态环境相关的生态环境保护规划、流域综合规划、防洪规划、水体达标规划等相关规划。</w:t>
                  </w:r>
                </w:p>
              </w:tc>
              <w:tc>
                <w:tcPr>
                  <w:tcW w:w="1221" w:type="dxa"/>
                  <w:tcBorders>
                    <w:top w:val="single" w:color="auto" w:sz="4" w:space="0"/>
                    <w:left w:val="nil"/>
                    <w:bottom w:val="single" w:color="auto" w:sz="4" w:space="0"/>
                    <w:right w:val="nil"/>
                  </w:tcBorders>
                  <w:noWrap w:val="0"/>
                  <w:vAlign w:val="center"/>
                </w:tcPr>
                <w:p w14:paraId="5E2E9319">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2B32A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539A6AB2">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第三条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3030" w:type="dxa"/>
                  <w:tcBorders>
                    <w:top w:val="single" w:color="auto" w:sz="4" w:space="0"/>
                    <w:left w:val="nil"/>
                    <w:bottom w:val="single" w:color="auto" w:sz="4" w:space="0"/>
                    <w:right w:val="single" w:color="auto" w:sz="4" w:space="0"/>
                  </w:tcBorders>
                  <w:noWrap w:val="0"/>
                  <w:vAlign w:val="center"/>
                </w:tcPr>
                <w:p w14:paraId="1942056F">
                  <w:pPr>
                    <w:keepNext w:val="0"/>
                    <w:keepLines w:val="0"/>
                    <w:pageBreakBefore w:val="0"/>
                    <w:widowControl w:val="0"/>
                    <w:kinsoku/>
                    <w:wordWrap/>
                    <w:overflowPunct/>
                    <w:topLinePunct w:val="0"/>
                    <w:autoSpaceDE/>
                    <w:autoSpaceDN/>
                    <w:bidi w:val="0"/>
                    <w:snapToGrid w:val="0"/>
                    <w:spacing w:line="240" w:lineRule="exact"/>
                    <w:ind w:right="0" w:firstLine="42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主体</w:t>
                  </w:r>
                  <w:r>
                    <w:rPr>
                      <w:rFonts w:hint="default" w:ascii="Times New Roman" w:hAnsi="Times New Roman" w:eastAsia="宋体" w:cs="Times New Roman"/>
                      <w:color w:val="auto"/>
                      <w:highlight w:val="none"/>
                    </w:rPr>
                    <w:t>工程选址选线占用生态保护红线</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临时工程不占用生态保护红线。主体工程和临时工程均不占用</w:t>
                  </w:r>
                  <w:r>
                    <w:rPr>
                      <w:rFonts w:hint="default" w:ascii="Times New Roman" w:hAnsi="Times New Roman" w:eastAsia="宋体" w:cs="Times New Roman"/>
                      <w:color w:val="auto"/>
                      <w:highlight w:val="none"/>
                      <w:lang w:val="en-US" w:eastAsia="zh-CN"/>
                    </w:rPr>
                    <w:t>自然保护区、风景名胜区、世界文化和自然遗产地及</w:t>
                  </w:r>
                  <w:r>
                    <w:rPr>
                      <w:rFonts w:hint="default" w:ascii="Times New Roman" w:hAnsi="Times New Roman" w:eastAsia="宋体" w:cs="Times New Roman"/>
                      <w:color w:val="auto"/>
                      <w:sz w:val="21"/>
                      <w:szCs w:val="21"/>
                      <w:highlight w:val="none"/>
                      <w:lang w:val="en-US" w:eastAsia="zh-CN"/>
                    </w:rPr>
                    <w:t>其他法律法规禁止占用的区域</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本项目严格控制用地范围，不进行</w:t>
                  </w:r>
                  <w:r>
                    <w:rPr>
                      <w:rFonts w:hint="default" w:ascii="Times New Roman" w:hAnsi="Times New Roman" w:eastAsia="宋体" w:cs="Times New Roman"/>
                      <w:snapToGrid w:val="0"/>
                      <w:color w:val="auto"/>
                      <w:sz w:val="21"/>
                      <w:szCs w:val="21"/>
                      <w:highlight w:val="none"/>
                    </w:rPr>
                    <w:t>无序采矿、毁林开荒、湿地和草地开垦、过度放牧、道路建设等</w:t>
                  </w:r>
                  <w:r>
                    <w:rPr>
                      <w:rFonts w:hint="default" w:ascii="Times New Roman" w:hAnsi="Times New Roman" w:cs="Times New Roman"/>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不属于导致水体污染的活动</w:t>
                  </w:r>
                  <w:r>
                    <w:rPr>
                      <w:rFonts w:hint="default" w:ascii="Times New Roman" w:hAnsi="Times New Roman" w:cs="Times New Roman"/>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不属于水源涵养功能极重要区、</w:t>
                  </w:r>
                  <w:r>
                    <w:rPr>
                      <w:rFonts w:hint="default" w:ascii="Times New Roman" w:hAnsi="Times New Roman" w:eastAsia="宋体" w:cs="Times New Roman"/>
                      <w:color w:val="auto"/>
                      <w:sz w:val="21"/>
                      <w:szCs w:val="21"/>
                      <w:highlight w:val="none"/>
                      <w:lang w:val="en-US" w:eastAsia="zh-CN"/>
                    </w:rPr>
                    <w:t>水源涵养功能极重要区</w:t>
                  </w:r>
                  <w:r>
                    <w:rPr>
                      <w:rFonts w:hint="default" w:ascii="Times New Roman" w:hAnsi="Times New Roman" w:cs="Times New Roman"/>
                      <w:snapToGrid w:val="0"/>
                      <w:color w:val="auto"/>
                      <w:sz w:val="21"/>
                      <w:szCs w:val="21"/>
                      <w:highlight w:val="none"/>
                      <w:lang w:val="en-US" w:eastAsia="zh-CN"/>
                    </w:rPr>
                    <w:t>禁止开发建设的活动。</w:t>
                  </w:r>
                </w:p>
              </w:tc>
              <w:tc>
                <w:tcPr>
                  <w:tcW w:w="1221" w:type="dxa"/>
                  <w:tcBorders>
                    <w:top w:val="single" w:color="auto" w:sz="4" w:space="0"/>
                    <w:left w:val="nil"/>
                    <w:bottom w:val="single" w:color="auto" w:sz="4" w:space="0"/>
                    <w:right w:val="nil"/>
                  </w:tcBorders>
                  <w:noWrap w:val="0"/>
                  <w:vAlign w:val="center"/>
                </w:tcPr>
                <w:p w14:paraId="261423F2">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3197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7111F39A">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第四条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w:t>
                  </w:r>
                </w:p>
                <w:p w14:paraId="2ED88698">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在采取上述措施后，对水环境的不利影响能够得到缓解和控制，居民用水安全能够得到保障，相关区域不会出现显著的土壤潜育化、沼泽化、盐碱化等次生环境问题。</w:t>
                  </w:r>
                </w:p>
              </w:tc>
              <w:tc>
                <w:tcPr>
                  <w:tcW w:w="3030" w:type="dxa"/>
                  <w:tcBorders>
                    <w:top w:val="single" w:color="auto" w:sz="4" w:space="0"/>
                    <w:left w:val="nil"/>
                    <w:bottom w:val="single" w:color="auto" w:sz="4" w:space="0"/>
                    <w:right w:val="single" w:color="auto" w:sz="4" w:space="0"/>
                  </w:tcBorders>
                  <w:noWrap w:val="0"/>
                  <w:vAlign w:val="center"/>
                </w:tcPr>
                <w:p w14:paraId="69D619AB">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本项目建设内容为新建护岸</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堤防和穿堤建筑物</w:t>
                  </w:r>
                  <w:r>
                    <w:rPr>
                      <w:rFonts w:hint="default" w:ascii="Times New Roman" w:hAnsi="Times New Roman" w:eastAsia="宋体" w:cs="Times New Roman"/>
                      <w:color w:val="auto"/>
                      <w:highlight w:val="none"/>
                    </w:rPr>
                    <w:t>，不涉</w:t>
                  </w:r>
                  <w:r>
                    <w:rPr>
                      <w:rFonts w:hint="default" w:ascii="Times New Roman" w:hAnsi="Times New Roman" w:eastAsia="宋体" w:cs="Times New Roman"/>
                      <w:color w:val="auto"/>
                      <w:highlight w:val="none"/>
                      <w:lang w:val="en-US" w:eastAsia="zh-CN"/>
                    </w:rPr>
                    <w:t>水</w:t>
                  </w:r>
                  <w:r>
                    <w:rPr>
                      <w:rFonts w:hint="default" w:ascii="Times New Roman" w:hAnsi="Times New Roman" w:eastAsia="宋体" w:cs="Times New Roman"/>
                      <w:color w:val="auto"/>
                      <w:highlight w:val="none"/>
                    </w:rPr>
                    <w:t>；施工期废水全部回用不外排，没有对</w:t>
                  </w:r>
                  <w:r>
                    <w:rPr>
                      <w:rFonts w:hint="default" w:ascii="Times New Roman" w:hAnsi="Times New Roman" w:eastAsia="宋体" w:cs="Times New Roman"/>
                      <w:color w:val="auto"/>
                      <w:highlight w:val="none"/>
                      <w:lang w:val="en-US" w:eastAsia="zh-CN"/>
                    </w:rPr>
                    <w:t>地表水</w:t>
                  </w:r>
                  <w:r>
                    <w:rPr>
                      <w:rFonts w:hint="default" w:ascii="Times New Roman" w:hAnsi="Times New Roman" w:eastAsia="宋体" w:cs="Times New Roman"/>
                      <w:color w:val="auto"/>
                      <w:highlight w:val="none"/>
                    </w:rPr>
                    <w:t>产生不利影响。</w:t>
                  </w:r>
                </w:p>
              </w:tc>
              <w:tc>
                <w:tcPr>
                  <w:tcW w:w="1221" w:type="dxa"/>
                  <w:tcBorders>
                    <w:top w:val="single" w:color="auto" w:sz="4" w:space="0"/>
                    <w:left w:val="nil"/>
                    <w:bottom w:val="single" w:color="auto" w:sz="4" w:space="0"/>
                    <w:right w:val="nil"/>
                  </w:tcBorders>
                  <w:noWrap w:val="0"/>
                  <w:vAlign w:val="center"/>
                </w:tcPr>
                <w:p w14:paraId="6C56E284">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44CB6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4508E55D">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第五条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项目对鱼类等水生生物的洄游通道及</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三场</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等重要生境、物种多样性及资源量等产生不利影响的，提出了下泄生态流量、恢复鱼类洄游通道、采用生态友好型护岸</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坡、底</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、生态修复、增殖放流等措施。</w:t>
                  </w:r>
                </w:p>
                <w:p w14:paraId="13252A2C">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在采取上述措施后，对水生生物的不利影响能够得到缓解和控制，不会造成原有珍稀濒危保护、区域特有或重要经济水生生物在相关河段消失，不会对相关河段水生生态系统造成重大不利影响。</w:t>
                  </w:r>
                </w:p>
              </w:tc>
              <w:tc>
                <w:tcPr>
                  <w:tcW w:w="3030" w:type="dxa"/>
                  <w:tcBorders>
                    <w:top w:val="single" w:color="auto" w:sz="4" w:space="0"/>
                    <w:left w:val="nil"/>
                    <w:bottom w:val="single" w:color="auto" w:sz="4" w:space="0"/>
                    <w:right w:val="single" w:color="auto" w:sz="4" w:space="0"/>
                  </w:tcBorders>
                  <w:noWrap w:val="0"/>
                  <w:vAlign w:val="center"/>
                </w:tcPr>
                <w:p w14:paraId="52399678">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本项目为新建护岸</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堤防和穿堤建筑物</w:t>
                  </w:r>
                  <w:r>
                    <w:rPr>
                      <w:rFonts w:hint="default" w:ascii="Times New Roman" w:hAnsi="Times New Roman" w:eastAsia="宋体" w:cs="Times New Roman"/>
                      <w:color w:val="auto"/>
                      <w:highlight w:val="none"/>
                    </w:rPr>
                    <w:t>工程，不影响河道的生态流量，不涉及水下施工，</w:t>
                  </w:r>
                  <w:r>
                    <w:rPr>
                      <w:rFonts w:hint="default" w:ascii="Times New Roman" w:hAnsi="Times New Roman" w:cs="Times New Roman"/>
                      <w:color w:val="auto"/>
                      <w:highlight w:val="none"/>
                      <w:lang w:val="en-US" w:eastAsia="zh-CN"/>
                    </w:rPr>
                    <w:t>本次</w:t>
                  </w:r>
                  <w:r>
                    <w:rPr>
                      <w:rFonts w:hint="default" w:ascii="Times New Roman" w:hAnsi="Times New Roman" w:eastAsia="宋体" w:cs="Times New Roman"/>
                      <w:color w:val="auto"/>
                      <w:highlight w:val="none"/>
                      <w:lang w:val="en-US" w:eastAsia="zh-CN"/>
                    </w:rPr>
                    <w:t>欧根河</w:t>
                  </w:r>
                  <w:r>
                    <w:rPr>
                      <w:rFonts w:hint="default" w:ascii="Times New Roman" w:hAnsi="Times New Roman" w:cs="Times New Roman"/>
                      <w:color w:val="auto"/>
                      <w:highlight w:val="none"/>
                      <w:lang w:val="en-US" w:eastAsia="zh-CN"/>
                    </w:rPr>
                    <w:t>治理段</w:t>
                  </w:r>
                  <w:r>
                    <w:rPr>
                      <w:rFonts w:hint="default" w:ascii="Times New Roman" w:hAnsi="Times New Roman" w:eastAsia="宋体" w:cs="Times New Roman"/>
                      <w:color w:val="auto"/>
                      <w:highlight w:val="none"/>
                    </w:rPr>
                    <w:t>不涉及珍稀鱼类三场一通道，不会减少生态流量。施工期禁止捕捞水生生物，加强施工管理，严禁废水外排等措施后，工程的实施不会对其物种多样性和资源量产生不利影响，不会对水生生态系统造成重大不利影响。</w:t>
                  </w:r>
                </w:p>
              </w:tc>
              <w:tc>
                <w:tcPr>
                  <w:tcW w:w="1221" w:type="dxa"/>
                  <w:tcBorders>
                    <w:top w:val="single" w:color="auto" w:sz="4" w:space="0"/>
                    <w:left w:val="nil"/>
                    <w:bottom w:val="single" w:color="auto" w:sz="4" w:space="0"/>
                    <w:right w:val="nil"/>
                  </w:tcBorders>
                  <w:noWrap w:val="0"/>
                  <w:vAlign w:val="center"/>
                </w:tcPr>
                <w:p w14:paraId="085C96FD">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5F174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734DD695">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第六条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p>
                <w:p w14:paraId="5B3C08C5">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在采取上述措施后，对湿地以及陆生动植物的不利影响能够得到缓解和控制，与区域景观相协调，不会造成原有珍稀濒危保护动植物在相关区域消失，不会对陆生生态系统造成重大不利影响。</w:t>
                  </w:r>
                </w:p>
              </w:tc>
              <w:tc>
                <w:tcPr>
                  <w:tcW w:w="3030" w:type="dxa"/>
                  <w:tcBorders>
                    <w:top w:val="single" w:color="auto" w:sz="4" w:space="0"/>
                    <w:left w:val="nil"/>
                    <w:bottom w:val="single" w:color="auto" w:sz="4" w:space="0"/>
                    <w:right w:val="single" w:color="auto" w:sz="4" w:space="0"/>
                  </w:tcBorders>
                  <w:noWrap w:val="0"/>
                  <w:vAlign w:val="center"/>
                </w:tcPr>
                <w:p w14:paraId="3BED6335">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本项目不涉及</w:t>
                  </w:r>
                  <w:r>
                    <w:rPr>
                      <w:rFonts w:hint="default" w:ascii="Times New Roman" w:hAnsi="Times New Roman" w:eastAsia="宋体" w:cs="Times New Roman"/>
                      <w:color w:val="auto"/>
                      <w:highlight w:val="none"/>
                      <w:lang w:val="en-US" w:eastAsia="zh-CN"/>
                    </w:rPr>
                    <w:t>占用</w:t>
                  </w:r>
                  <w:r>
                    <w:rPr>
                      <w:rFonts w:hint="default" w:ascii="Times New Roman" w:hAnsi="Times New Roman" w:eastAsia="宋体" w:cs="Times New Roman"/>
                      <w:color w:val="auto"/>
                      <w:highlight w:val="none"/>
                    </w:rPr>
                    <w:t>湿地，已是最优的方案。本项目施工区域无珍稀濒危保护植物，施工结束后恢复植被，可与周边景观相协调，不会对陆生生态系统造成重大不利影响。</w:t>
                  </w:r>
                </w:p>
              </w:tc>
              <w:tc>
                <w:tcPr>
                  <w:tcW w:w="1221" w:type="dxa"/>
                  <w:tcBorders>
                    <w:top w:val="single" w:color="auto" w:sz="4" w:space="0"/>
                    <w:left w:val="nil"/>
                    <w:bottom w:val="single" w:color="auto" w:sz="4" w:space="0"/>
                    <w:right w:val="nil"/>
                  </w:tcBorders>
                  <w:noWrap w:val="0"/>
                  <w:vAlign w:val="center"/>
                </w:tcPr>
                <w:p w14:paraId="727F575A">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890B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342DE60F">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第七条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涉水施工对鱼类等水生生物及其重要生境造成不利影响的，提出了避让、施工方案优化、控制施工噪声等措施；针对清淤、疏浚等产生的淤泥，提出了符合相关规定的处置或综合利用方案。</w:t>
                  </w:r>
                </w:p>
                <w:p w14:paraId="01E5B527">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在采取上述措施后，施工期的不利环境影响能够得到缓解和控制，不会对周围环境和敏感保护目标造成重大不利影响。</w:t>
                  </w:r>
                </w:p>
              </w:tc>
              <w:tc>
                <w:tcPr>
                  <w:tcW w:w="3030" w:type="dxa"/>
                  <w:tcBorders>
                    <w:top w:val="single" w:color="auto" w:sz="4" w:space="0"/>
                    <w:left w:val="nil"/>
                    <w:bottom w:val="single" w:color="auto" w:sz="4" w:space="0"/>
                    <w:right w:val="single" w:color="auto" w:sz="4" w:space="0"/>
                  </w:tcBorders>
                  <w:noWrap w:val="0"/>
                  <w:vAlign w:val="center"/>
                </w:tcPr>
                <w:p w14:paraId="3DDF8C71">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主体</w:t>
                  </w:r>
                  <w:r>
                    <w:rPr>
                      <w:rFonts w:hint="default" w:ascii="Times New Roman" w:hAnsi="Times New Roman" w:eastAsia="宋体" w:cs="Times New Roman"/>
                      <w:color w:val="auto"/>
                      <w:highlight w:val="none"/>
                    </w:rPr>
                    <w:t>工程选址选线占用生态保护红线</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临时工程不占用生态保护红线。主体工程和临时工程均不占用</w:t>
                  </w:r>
                  <w:r>
                    <w:rPr>
                      <w:rFonts w:hint="default" w:ascii="Times New Roman" w:hAnsi="Times New Roman" w:eastAsia="宋体" w:cs="Times New Roman"/>
                      <w:color w:val="auto"/>
                      <w:highlight w:val="none"/>
                      <w:lang w:val="en-US" w:eastAsia="zh-CN"/>
                    </w:rPr>
                    <w:t>自然保护区、风景名胜区、世界文化和自然遗产地及</w:t>
                  </w:r>
                  <w:r>
                    <w:rPr>
                      <w:rFonts w:hint="default" w:ascii="Times New Roman" w:hAnsi="Times New Roman" w:eastAsia="宋体" w:cs="Times New Roman"/>
                      <w:color w:val="auto"/>
                      <w:sz w:val="21"/>
                      <w:szCs w:val="21"/>
                      <w:highlight w:val="none"/>
                      <w:lang w:val="en-US" w:eastAsia="zh-CN"/>
                    </w:rPr>
                    <w:t>其他法律法规禁止占用的区域</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本项目对</w:t>
                  </w:r>
                  <w:r>
                    <w:rPr>
                      <w:rFonts w:hint="default" w:ascii="Times New Roman" w:hAnsi="Times New Roman" w:eastAsia="宋体" w:cs="Times New Roman"/>
                      <w:b w:val="0"/>
                      <w:bCs w:val="0"/>
                      <w:color w:val="auto"/>
                      <w:highlight w:val="none"/>
                      <w:lang w:val="en-US" w:eastAsia="zh-CN"/>
                    </w:rPr>
                    <w:t>主体工程区</w:t>
                  </w:r>
                  <w:r>
                    <w:rPr>
                      <w:rFonts w:hint="default" w:ascii="Times New Roman" w:hAnsi="Times New Roman" w:eastAsia="宋体" w:cs="Times New Roman"/>
                      <w:b w:val="0"/>
                      <w:bCs w:val="0"/>
                      <w:color w:val="auto"/>
                      <w:highlight w:val="none"/>
                    </w:rPr>
                    <w:t>、施工生产生活区</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临时施工道路、表土暂存场、取土场等临时占地</w:t>
                  </w:r>
                  <w:r>
                    <w:rPr>
                      <w:rFonts w:hint="default" w:ascii="Times New Roman" w:hAnsi="Times New Roman" w:eastAsia="宋体" w:cs="Times New Roman"/>
                      <w:b w:val="0"/>
                      <w:bCs w:val="0"/>
                      <w:color w:val="auto"/>
                      <w:highlight w:val="none"/>
                    </w:rPr>
                    <w:t>提出了施工期表土剥离、编织袋土埂、密目网覆盖，施工结束后表土回填并恢复植被等水土保持措施和生态恢复措施。</w:t>
                  </w:r>
                </w:p>
                <w:p w14:paraId="2131103B">
                  <w:pPr>
                    <w:pStyle w:val="89"/>
                    <w:widowControl/>
                    <w:ind w:firstLine="404"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本项目无涉水施工，对鱼类等水生生物</w:t>
                  </w:r>
                  <w:r>
                    <w:rPr>
                      <w:rFonts w:hint="default" w:ascii="Times New Roman" w:hAnsi="Times New Roman" w:cs="Times New Roman"/>
                      <w:color w:val="auto"/>
                      <w:highlight w:val="none"/>
                      <w:lang w:val="en-US" w:eastAsia="zh-CN"/>
                    </w:rPr>
                    <w:t>及其</w:t>
                  </w:r>
                  <w:r>
                    <w:rPr>
                      <w:rFonts w:hint="default" w:ascii="Times New Roman" w:hAnsi="Times New Roman" w:eastAsia="宋体" w:cs="Times New Roman"/>
                      <w:color w:val="auto"/>
                      <w:highlight w:val="none"/>
                      <w:lang w:val="en-US" w:eastAsia="zh-CN"/>
                    </w:rPr>
                    <w:t>重要生境不会噪声不利影响。</w:t>
                  </w:r>
                </w:p>
                <w:p w14:paraId="73EF5A2C">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对施工期废水、扬尘、废气、噪声、固废等均提出了防治措施</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本项目不涉及清淤、疏浚工程。</w:t>
                  </w:r>
                  <w:r>
                    <w:rPr>
                      <w:rFonts w:hint="default" w:ascii="Times New Roman" w:hAnsi="Times New Roman" w:eastAsia="宋体" w:cs="Times New Roman"/>
                      <w:color w:val="auto"/>
                      <w:highlight w:val="none"/>
                    </w:rPr>
                    <w:t>工程施工期的不利环境影响能够得到缓解和控制，不会对周围环境和敏感保护目标造成重大不利影响；按照要求制定了相应的环境监测计划。</w:t>
                  </w:r>
                </w:p>
              </w:tc>
              <w:tc>
                <w:tcPr>
                  <w:tcW w:w="1221" w:type="dxa"/>
                  <w:tcBorders>
                    <w:top w:val="single" w:color="auto" w:sz="4" w:space="0"/>
                    <w:left w:val="nil"/>
                    <w:bottom w:val="single" w:color="auto" w:sz="4" w:space="0"/>
                    <w:right w:val="nil"/>
                  </w:tcBorders>
                  <w:noWrap w:val="0"/>
                  <w:vAlign w:val="center"/>
                </w:tcPr>
                <w:p w14:paraId="5FE9CBDF">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7AA5B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7FEE88C6">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第八条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项目移民安置的选址和建设方式具有环境合理性，提出了生态保护、污水处理、固体废物处置等措施。</w:t>
                  </w:r>
                </w:p>
                <w:p w14:paraId="457CC85B">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针对蓄滞洪区的环境污染、新增占地涉及污染场地等，提出了环境管理对策建议。</w:t>
                  </w:r>
                </w:p>
              </w:tc>
              <w:tc>
                <w:tcPr>
                  <w:tcW w:w="3030" w:type="dxa"/>
                  <w:tcBorders>
                    <w:top w:val="single" w:color="auto" w:sz="4" w:space="0"/>
                    <w:left w:val="nil"/>
                    <w:bottom w:val="single" w:color="auto" w:sz="4" w:space="0"/>
                    <w:right w:val="single" w:color="auto" w:sz="4" w:space="0"/>
                  </w:tcBorders>
                  <w:noWrap w:val="0"/>
                  <w:vAlign w:val="center"/>
                </w:tcPr>
                <w:p w14:paraId="3F972490">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本项目不涉及永久征收集体耕地，不涉及房屋搬迁，因此不涉及生产安置及搬迁安置。</w:t>
                  </w:r>
                </w:p>
                <w:p w14:paraId="7F5B3CC4">
                  <w:pPr>
                    <w:pStyle w:val="89"/>
                    <w:widowControl/>
                    <w:ind w:firstLine="404"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本项目不涉及</w:t>
                  </w:r>
                  <w:r>
                    <w:rPr>
                      <w:rFonts w:hint="default" w:ascii="Times New Roman" w:hAnsi="Times New Roman" w:eastAsia="宋体" w:cs="Times New Roman"/>
                      <w:color w:val="auto"/>
                      <w:highlight w:val="none"/>
                    </w:rPr>
                    <w:t>蓄滞洪区</w:t>
                  </w:r>
                  <w:r>
                    <w:rPr>
                      <w:rFonts w:hint="default" w:ascii="Times New Roman" w:hAnsi="Times New Roman" w:eastAsia="宋体" w:cs="Times New Roman"/>
                      <w:color w:val="auto"/>
                      <w:highlight w:val="none"/>
                      <w:lang w:eastAsia="zh-CN"/>
                    </w:rPr>
                    <w:t>。</w:t>
                  </w:r>
                </w:p>
              </w:tc>
              <w:tc>
                <w:tcPr>
                  <w:tcW w:w="1221" w:type="dxa"/>
                  <w:tcBorders>
                    <w:top w:val="single" w:color="auto" w:sz="4" w:space="0"/>
                    <w:left w:val="nil"/>
                    <w:bottom w:val="single" w:color="auto" w:sz="4" w:space="0"/>
                    <w:right w:val="nil"/>
                  </w:tcBorders>
                  <w:noWrap w:val="0"/>
                  <w:vAlign w:val="center"/>
                </w:tcPr>
                <w:p w14:paraId="43E26B92">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3C2822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4D0CBBD3">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第九条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项目存在河湖水质污染、富营养化或外来物种入侵等环境风险的，提出了针对性的风险防范措施以及环境应急预案编制、建立必要的应急联动机制等要求。</w:t>
                  </w:r>
                </w:p>
              </w:tc>
              <w:tc>
                <w:tcPr>
                  <w:tcW w:w="3030" w:type="dxa"/>
                  <w:tcBorders>
                    <w:top w:val="single" w:color="auto" w:sz="4" w:space="0"/>
                    <w:left w:val="nil"/>
                    <w:bottom w:val="single" w:color="auto" w:sz="4" w:space="0"/>
                    <w:right w:val="single" w:color="auto" w:sz="4" w:space="0"/>
                  </w:tcBorders>
                  <w:noWrap w:val="0"/>
                  <w:vAlign w:val="center"/>
                </w:tcPr>
                <w:p w14:paraId="2C0EB3AF">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本项目施工废水回用不外排，不会造成河湖水质污染、富营养化问题。</w:t>
                  </w:r>
                </w:p>
              </w:tc>
              <w:tc>
                <w:tcPr>
                  <w:tcW w:w="1221" w:type="dxa"/>
                  <w:tcBorders>
                    <w:top w:val="single" w:color="auto" w:sz="4" w:space="0"/>
                    <w:left w:val="nil"/>
                    <w:bottom w:val="single" w:color="auto" w:sz="4" w:space="0"/>
                    <w:right w:val="nil"/>
                  </w:tcBorders>
                  <w:noWrap w:val="0"/>
                  <w:vAlign w:val="center"/>
                </w:tcPr>
                <w:p w14:paraId="3A63D0C8">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82B17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5E02D4EE">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改、扩建项目在全面梳理了与项目有关的现有工程环境问题基础上，提出了与项目相适应的</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以新带老</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措施。</w:t>
                  </w:r>
                </w:p>
              </w:tc>
              <w:tc>
                <w:tcPr>
                  <w:tcW w:w="3030" w:type="dxa"/>
                  <w:tcBorders>
                    <w:top w:val="single" w:color="auto" w:sz="4" w:space="0"/>
                    <w:left w:val="nil"/>
                    <w:bottom w:val="single" w:color="auto" w:sz="4" w:space="0"/>
                    <w:right w:val="single" w:color="auto" w:sz="4" w:space="0"/>
                  </w:tcBorders>
                  <w:noWrap w:val="0"/>
                  <w:vAlign w:val="center"/>
                </w:tcPr>
                <w:p w14:paraId="53B0D5AB">
                  <w:pPr>
                    <w:pStyle w:val="89"/>
                    <w:widowControl/>
                    <w:ind w:firstLine="404"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本项目为新建</w:t>
                  </w:r>
                  <w:r>
                    <w:rPr>
                      <w:rFonts w:hint="default" w:ascii="Times New Roman" w:hAnsi="Times New Roman" w:eastAsia="宋体" w:cs="Times New Roman"/>
                      <w:color w:val="auto"/>
                      <w:highlight w:val="none"/>
                      <w:lang w:val="en-US" w:eastAsia="zh-CN"/>
                    </w:rPr>
                    <w:t>项目，不涉及</w:t>
                  </w:r>
                  <w:r>
                    <w:rPr>
                      <w:rFonts w:hint="default" w:ascii="Times New Roman" w:hAnsi="Times New Roman" w:eastAsia="宋体" w:cs="Times New Roman"/>
                      <w:color w:val="auto"/>
                      <w:highlight w:val="none"/>
                    </w:rPr>
                    <w:t>现有工程环境问题</w:t>
                  </w:r>
                  <w:r>
                    <w:rPr>
                      <w:rFonts w:hint="default" w:ascii="Times New Roman" w:hAnsi="Times New Roman" w:eastAsia="宋体" w:cs="Times New Roman"/>
                      <w:color w:val="auto"/>
                      <w:highlight w:val="none"/>
                      <w:lang w:val="en-US" w:eastAsia="zh-CN"/>
                    </w:rPr>
                    <w:t>和</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以新带老</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措施。</w:t>
                  </w:r>
                </w:p>
              </w:tc>
              <w:tc>
                <w:tcPr>
                  <w:tcW w:w="1221" w:type="dxa"/>
                  <w:tcBorders>
                    <w:top w:val="single" w:color="auto" w:sz="4" w:space="0"/>
                    <w:left w:val="nil"/>
                    <w:bottom w:val="single" w:color="auto" w:sz="4" w:space="0"/>
                    <w:right w:val="nil"/>
                  </w:tcBorders>
                  <w:noWrap w:val="0"/>
                  <w:vAlign w:val="center"/>
                </w:tcPr>
                <w:p w14:paraId="46BCC363">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8EE9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2EC01B16">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第十一条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3030" w:type="dxa"/>
                  <w:tcBorders>
                    <w:top w:val="single" w:color="auto" w:sz="4" w:space="0"/>
                    <w:left w:val="nil"/>
                    <w:bottom w:val="single" w:color="auto" w:sz="4" w:space="0"/>
                    <w:right w:val="single" w:color="auto" w:sz="4" w:space="0"/>
                  </w:tcBorders>
                  <w:noWrap w:val="0"/>
                  <w:vAlign w:val="center"/>
                </w:tcPr>
                <w:p w14:paraId="787F72B6">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本环评依据编制指南进行编写，根据导则要求明确了监测要求。</w:t>
                  </w:r>
                </w:p>
              </w:tc>
              <w:tc>
                <w:tcPr>
                  <w:tcW w:w="1221" w:type="dxa"/>
                  <w:tcBorders>
                    <w:top w:val="single" w:color="auto" w:sz="4" w:space="0"/>
                    <w:left w:val="nil"/>
                    <w:bottom w:val="single" w:color="auto" w:sz="4" w:space="0"/>
                    <w:right w:val="nil"/>
                  </w:tcBorders>
                  <w:noWrap w:val="0"/>
                  <w:vAlign w:val="center"/>
                </w:tcPr>
                <w:p w14:paraId="3A197656">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4412E4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3B7D5BAF">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第十二条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对环境保护措施进行了深入论证，建设单位主体责任、投资估算、时间节点、预期效果明确，确保科学有效、安全可行、绿色协调</w:t>
                  </w:r>
                </w:p>
              </w:tc>
              <w:tc>
                <w:tcPr>
                  <w:tcW w:w="3030" w:type="dxa"/>
                  <w:tcBorders>
                    <w:top w:val="single" w:color="auto" w:sz="4" w:space="0"/>
                    <w:left w:val="nil"/>
                    <w:bottom w:val="single" w:color="auto" w:sz="4" w:space="0"/>
                    <w:right w:val="single" w:color="auto" w:sz="4" w:space="0"/>
                  </w:tcBorders>
                  <w:noWrap w:val="0"/>
                  <w:vAlign w:val="center"/>
                </w:tcPr>
                <w:p w14:paraId="183EA015">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本项目对环保措施进行了论证，并进行了投资估算。</w:t>
                  </w:r>
                </w:p>
              </w:tc>
              <w:tc>
                <w:tcPr>
                  <w:tcW w:w="1221" w:type="dxa"/>
                  <w:tcBorders>
                    <w:top w:val="single" w:color="auto" w:sz="4" w:space="0"/>
                    <w:left w:val="nil"/>
                    <w:bottom w:val="single" w:color="auto" w:sz="4" w:space="0"/>
                    <w:right w:val="nil"/>
                  </w:tcBorders>
                  <w:noWrap w:val="0"/>
                  <w:vAlign w:val="center"/>
                </w:tcPr>
                <w:p w14:paraId="35E7D071">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9AA5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3FBA9689">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第十三条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按相关规定开展了信息公开和公众参与。</w:t>
                  </w:r>
                </w:p>
              </w:tc>
              <w:tc>
                <w:tcPr>
                  <w:tcW w:w="3030" w:type="dxa"/>
                  <w:tcBorders>
                    <w:top w:val="single" w:color="auto" w:sz="4" w:space="0"/>
                    <w:left w:val="nil"/>
                    <w:bottom w:val="single" w:color="auto" w:sz="4" w:space="0"/>
                    <w:right w:val="single" w:color="auto" w:sz="4" w:space="0"/>
                  </w:tcBorders>
                  <w:noWrap w:val="0"/>
                  <w:vAlign w:val="center"/>
                </w:tcPr>
                <w:p w14:paraId="3E74C9A9">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本项目为报告表</w:t>
                  </w:r>
                  <w:r>
                    <w:rPr>
                      <w:rFonts w:hint="default" w:ascii="Times New Roman" w:hAnsi="Times New Roman" w:eastAsia="宋体" w:cs="Times New Roman"/>
                      <w:color w:val="auto"/>
                      <w:highlight w:val="none"/>
                      <w:lang w:val="en-US" w:eastAsia="zh-CN"/>
                    </w:rPr>
                    <w:t>类型</w:t>
                  </w:r>
                  <w:r>
                    <w:rPr>
                      <w:rFonts w:hint="default" w:ascii="Times New Roman" w:hAnsi="Times New Roman" w:eastAsia="宋体" w:cs="Times New Roman"/>
                      <w:color w:val="auto"/>
                      <w:highlight w:val="none"/>
                    </w:rPr>
                    <w:t>，不实行信息公开与公众参与。</w:t>
                  </w:r>
                </w:p>
              </w:tc>
              <w:tc>
                <w:tcPr>
                  <w:tcW w:w="1221" w:type="dxa"/>
                  <w:tcBorders>
                    <w:top w:val="single" w:color="auto" w:sz="4" w:space="0"/>
                    <w:left w:val="nil"/>
                    <w:bottom w:val="single" w:color="auto" w:sz="4" w:space="0"/>
                    <w:right w:val="nil"/>
                  </w:tcBorders>
                  <w:noWrap w:val="0"/>
                  <w:vAlign w:val="center"/>
                </w:tcPr>
                <w:p w14:paraId="269D37B1">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2C10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12" w:space="0"/>
                    <w:right w:val="single" w:color="auto" w:sz="4" w:space="0"/>
                  </w:tcBorders>
                  <w:noWrap w:val="0"/>
                  <w:vAlign w:val="center"/>
                </w:tcPr>
                <w:p w14:paraId="57A10FAF">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第十四条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环境影响评价文件编制规范，符合相关管理规定和环评技术标准要求。</w:t>
                  </w:r>
                </w:p>
              </w:tc>
              <w:tc>
                <w:tcPr>
                  <w:tcW w:w="3030" w:type="dxa"/>
                  <w:tcBorders>
                    <w:top w:val="single" w:color="auto" w:sz="4" w:space="0"/>
                    <w:left w:val="nil"/>
                    <w:bottom w:val="single" w:color="auto" w:sz="12" w:space="0"/>
                    <w:right w:val="single" w:color="auto" w:sz="4" w:space="0"/>
                  </w:tcBorders>
                  <w:noWrap w:val="0"/>
                  <w:vAlign w:val="center"/>
                </w:tcPr>
                <w:p w14:paraId="54EEF76D">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本项目按编制指南要求编写，符合相关技术标准要求。</w:t>
                  </w:r>
                </w:p>
              </w:tc>
              <w:tc>
                <w:tcPr>
                  <w:tcW w:w="1221" w:type="dxa"/>
                  <w:tcBorders>
                    <w:top w:val="single" w:color="auto" w:sz="4" w:space="0"/>
                    <w:left w:val="nil"/>
                    <w:bottom w:val="single" w:color="auto" w:sz="12" w:space="0"/>
                    <w:right w:val="nil"/>
                  </w:tcBorders>
                  <w:noWrap w:val="0"/>
                  <w:vAlign w:val="center"/>
                </w:tcPr>
                <w:p w14:paraId="0EFC1EC9">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4736106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因此，本项目的建设与《水利建设项目（河湖整治与防洪除涝工程）环境影响评价文件审批原则》是相符合。</w:t>
            </w:r>
          </w:p>
          <w:p w14:paraId="7B839D88">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3、与《黑龙江省主体功能区规划》符合性分析</w:t>
            </w:r>
          </w:p>
          <w:p w14:paraId="5A0FA145">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《黑龙江省主体功能区规划》将全省国土空间按开发方式划分为重点开发区域、限制开发区域和禁止开发区域，</w:t>
            </w:r>
            <w:r>
              <w:rPr>
                <w:rFonts w:hint="default" w:ascii="Times New Roman" w:hAnsi="Times New Roman" w:eastAsia="宋体" w:cs="Times New Roman"/>
                <w:color w:val="auto"/>
                <w:highlight w:val="none"/>
                <w:lang w:val="en-US" w:eastAsia="zh-CN"/>
              </w:rPr>
              <w:t>庆安县</w:t>
            </w:r>
            <w:r>
              <w:rPr>
                <w:rFonts w:hint="default" w:ascii="Times New Roman" w:hAnsi="Times New Roman" w:eastAsia="宋体" w:cs="Times New Roman"/>
                <w:color w:val="auto"/>
                <w:highlight w:val="none"/>
              </w:rPr>
              <w:t>位于</w:t>
            </w:r>
            <w:r>
              <w:rPr>
                <w:rFonts w:hint="default" w:ascii="Times New Roman" w:hAnsi="Times New Roman" w:eastAsia="宋体" w:cs="Times New Roman"/>
                <w:color w:val="auto"/>
                <w:highlight w:val="none"/>
                <w:lang w:val="en-US" w:eastAsia="zh-CN"/>
              </w:rPr>
              <w:t>大小兴安岭森林生态功能区</w:t>
            </w:r>
            <w:r>
              <w:rPr>
                <w:rFonts w:hint="default" w:ascii="Times New Roman" w:hAnsi="Times New Roman" w:eastAsia="宋体" w:cs="Times New Roman"/>
                <w:color w:val="auto"/>
                <w:highlight w:val="none"/>
              </w:rPr>
              <w:t>，属于限制开发区域（国家重点生态功能区）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绥化市庆安县位于点状开发城镇。</w:t>
            </w:r>
          </w:p>
          <w:p w14:paraId="73FE88A2">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（1）大小兴安岭森林生态功能区</w:t>
            </w:r>
          </w:p>
          <w:p w14:paraId="14C308BD">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发展方向</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水源涵养型生态功能区。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p>
          <w:p w14:paraId="345610AF">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点状开发城镇</w:t>
            </w:r>
          </w:p>
          <w:p w14:paraId="171114EC">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功能定位</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重要的农林产业和产品生产加工基地，县域经济和特色优势产业发展的核心区，承接周边农业人口和林业生态人口转移的集中区。</w:t>
            </w:r>
          </w:p>
          <w:p w14:paraId="68F5DB59">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生态建设</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加强生态建设，积极保护耕地、森林、草原、水域和湿地，强化西部地区的防风固沙功能，加强水资源保护治理及林木采伐中的水土流失预防和治理。</w:t>
            </w:r>
          </w:p>
          <w:p w14:paraId="42B04D4F">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产业发展方向与布局</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因地制宜发展优势特色产业，科学有序进行矿产资源的点状开发并做好生态恢复，重点发展特色种植养殖、观光休闲农业、农林牧产品生产和精深加工、绿色食品、北药等产业，积极发展生态旅游等服务业。</w:t>
            </w:r>
          </w:p>
          <w:p w14:paraId="2C8C5178">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公共服务和基础设施建设</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改善教育、医疗、文化等设施条件，健全公共服务体系，提高公共服务供给能力和水平。加强城镇道路、供排水、垃圾污水处理基础设施建设，优化生产生活环境。</w:t>
            </w:r>
          </w:p>
          <w:p w14:paraId="1237E9B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本工程的建设任务通过新建护岸</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堤防和穿堤建筑物</w:t>
            </w:r>
            <w:r>
              <w:rPr>
                <w:rFonts w:hint="default" w:ascii="Times New Roman" w:hAnsi="Times New Roman" w:eastAsia="宋体" w:cs="Times New Roman"/>
                <w:color w:val="auto"/>
                <w:highlight w:val="none"/>
              </w:rPr>
              <w:t>，保障沿岸村屯及耕地防洪安全</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在通过本报告提出的一系列生态保护措施和污染防治措施后，对生态环境的影响可降到最低</w:t>
            </w:r>
            <w:r>
              <w:rPr>
                <w:rFonts w:hint="default" w:ascii="Times New Roman" w:hAnsi="Times New Roman" w:eastAsia="宋体" w:cs="Times New Roman"/>
                <w:color w:val="auto"/>
                <w:highlight w:val="none"/>
              </w:rPr>
              <w:t>。因此，本工程的建设与《黑龙江省主体功能区规划》相符合。</w:t>
            </w:r>
          </w:p>
          <w:p w14:paraId="7F67875E">
            <w:pPr>
              <w:pStyle w:val="84"/>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sz w:val="24"/>
                <w:highlight w:val="none"/>
              </w:rPr>
              <mc:AlternateContent>
                <mc:Choice Requires="wps">
                  <w:drawing>
                    <wp:anchor distT="0" distB="0" distL="114300" distR="114300" simplePos="0" relativeHeight="251663360" behindDoc="0" locked="0" layoutInCell="1" allowOverlap="1">
                      <wp:simplePos x="0" y="0"/>
                      <wp:positionH relativeFrom="column">
                        <wp:posOffset>1248410</wp:posOffset>
                      </wp:positionH>
                      <wp:positionV relativeFrom="paragraph">
                        <wp:posOffset>1474470</wp:posOffset>
                      </wp:positionV>
                      <wp:extent cx="790575" cy="276225"/>
                      <wp:effectExtent l="4445" t="5080" r="367030" b="480695"/>
                      <wp:wrapNone/>
                      <wp:docPr id="5" name="自选图形 220"/>
                      <wp:cNvGraphicFramePr/>
                      <a:graphic xmlns:a="http://schemas.openxmlformats.org/drawingml/2006/main">
                        <a:graphicData uri="http://schemas.microsoft.com/office/word/2010/wordprocessingShape">
                          <wps:wsp>
                            <wps:cNvSpPr/>
                            <wps:spPr>
                              <a:xfrm>
                                <a:off x="0" y="0"/>
                                <a:ext cx="790575" cy="276225"/>
                              </a:xfrm>
                              <a:prstGeom prst="wedgeRectCallout">
                                <a:avLst>
                                  <a:gd name="adj1" fmla="val 91204"/>
                                  <a:gd name="adj2" fmla="val 214829"/>
                                </a:avLst>
                              </a:prstGeom>
                              <a:solidFill>
                                <a:srgbClr val="FFFFFF"/>
                              </a:solidFill>
                              <a:ln w="9525" cap="flat" cmpd="sng">
                                <a:solidFill>
                                  <a:srgbClr val="000000"/>
                                </a:solidFill>
                                <a:prstDash val="solid"/>
                                <a:miter/>
                                <a:headEnd type="none" w="med" len="med"/>
                                <a:tailEnd type="none" w="med" len="med"/>
                              </a:ln>
                            </wps:spPr>
                            <wps:txbx>
                              <w:txbxContent>
                                <w:p w14:paraId="142F48E7">
                                  <w:pPr>
                                    <w:jc w:val="center"/>
                                    <w:rPr>
                                      <w:rFonts w:hint="default" w:eastAsia="宋体"/>
                                      <w:lang w:val="en-US" w:eastAsia="zh-CN"/>
                                    </w:rPr>
                                  </w:pPr>
                                  <w:r>
                                    <w:rPr>
                                      <w:rFonts w:hint="eastAsia"/>
                                      <w:lang w:val="en-US" w:eastAsia="zh-CN"/>
                                    </w:rPr>
                                    <w:t>项目位置</w:t>
                                  </w:r>
                                </w:p>
                              </w:txbxContent>
                            </wps:txbx>
                            <wps:bodyPr vert="horz" wrap="square" anchor="t" anchorCtr="0" upright="1"/>
                          </wps:wsp>
                        </a:graphicData>
                      </a:graphic>
                    </wp:anchor>
                  </w:drawing>
                </mc:Choice>
                <mc:Fallback>
                  <w:pict>
                    <v:shape id="自选图形 220" o:spid="_x0000_s1026" o:spt="61" type="#_x0000_t61" style="position:absolute;left:0pt;margin-left:98.3pt;margin-top:116.1pt;height:21.75pt;width:62.25pt;z-index:251663360;mso-width-relative:page;mso-height-relative:page;" fillcolor="#FFFFFF" filled="t" stroked="t" coordsize="21600,21600" o:gfxdata="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FhupDa&#10;AAAACwEAAA8AAAAAAAAAAQAgAAAAIgAAAGRycy9kb3ducmV2LnhtbFBLAQIUABQAAAAIAIdO4kBK&#10;2BakVwIAAMEEAAAOAAAAAAAAAAEAIAAAACkBAABkcnMvZTJvRG9jLnhtbFBLBQYAAAAABgAGAFkB&#10;AADyBQAAAAA=&#10;" adj="30500,57203">
                      <v:fill on="t" focussize="0,0"/>
                      <v:stroke color="#000000" joinstyle="miter"/>
                      <v:imagedata o:title=""/>
                      <o:lock v:ext="edit" aspectratio="f"/>
                      <v:textbox>
                        <w:txbxContent>
                          <w:p w14:paraId="142F48E7">
                            <w:pPr>
                              <w:jc w:val="cente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eastAsia="宋体" w:cs="Times New Roman"/>
                <w:highlight w:val="none"/>
              </w:rPr>
              <w:drawing>
                <wp:inline distT="0" distB="0" distL="114300" distR="114300">
                  <wp:extent cx="4631690" cy="3509010"/>
                  <wp:effectExtent l="0" t="0" r="16510" b="15240"/>
                  <wp:docPr id="62" name="图片 412" descr="25限制开发区域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12" descr="25限制开发区域示意图"/>
                          <pic:cNvPicPr>
                            <a:picLocks noChangeAspect="1"/>
                          </pic:cNvPicPr>
                        </pic:nvPicPr>
                        <pic:blipFill>
                          <a:blip r:embed="rId12"/>
                          <a:stretch>
                            <a:fillRect/>
                          </a:stretch>
                        </pic:blipFill>
                        <pic:spPr>
                          <a:xfrm>
                            <a:off x="0" y="0"/>
                            <a:ext cx="4631690" cy="3509010"/>
                          </a:xfrm>
                          <a:prstGeom prst="rect">
                            <a:avLst/>
                          </a:prstGeom>
                          <a:noFill/>
                          <a:ln>
                            <a:noFill/>
                          </a:ln>
                        </pic:spPr>
                      </pic:pic>
                    </a:graphicData>
                  </a:graphic>
                </wp:inline>
              </w:drawing>
            </w:r>
          </w:p>
          <w:p w14:paraId="22A9929C">
            <w:pPr>
              <w:pStyle w:val="110"/>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z w:val="21"/>
                <w:szCs w:val="21"/>
                <w:highlight w:val="none"/>
                <w:lang w:val="en-US" w:eastAsia="zh-CN"/>
              </w:rPr>
              <w:t>图1</w:t>
            </w:r>
            <w:r>
              <w:rPr>
                <w:rFonts w:hint="default" w:ascii="Times New Roman" w:hAnsi="Times New Roman" w:cs="Times New Roman"/>
                <w:color w:val="auto"/>
                <w:sz w:val="21"/>
                <w:szCs w:val="21"/>
                <w:highlight w:val="none"/>
                <w:lang w:val="en-US" w:eastAsia="zh-CN"/>
              </w:rPr>
              <w:t xml:space="preserve">—3  </w:t>
            </w:r>
            <w:r>
              <w:rPr>
                <w:rFonts w:hint="default" w:ascii="Times New Roman" w:hAnsi="Times New Roman" w:eastAsia="宋体" w:cs="Times New Roman"/>
                <w:color w:val="auto"/>
                <w:sz w:val="21"/>
                <w:szCs w:val="21"/>
                <w:highlight w:val="none"/>
                <w:lang w:val="en-US" w:eastAsia="zh-CN"/>
              </w:rPr>
              <w:t>庆安县</w:t>
            </w:r>
            <w:r>
              <w:rPr>
                <w:rFonts w:hint="default" w:ascii="Times New Roman" w:hAnsi="Times New Roman" w:eastAsia="宋体" w:cs="Times New Roman"/>
                <w:color w:val="auto"/>
                <w:sz w:val="21"/>
                <w:szCs w:val="21"/>
                <w:highlight w:val="none"/>
              </w:rPr>
              <w:t>在黑龙江主体功能区位置图</w:t>
            </w:r>
          </w:p>
          <w:p w14:paraId="26DD6597">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4、与《黑龙江省生态功能区划》的符合性分析</w:t>
            </w:r>
          </w:p>
          <w:p w14:paraId="6CFBD35C">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根据黑龙江省生态功能区划相关内容</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项目位于Ⅰ—5—2—1呼兰河流域上游水源涵养与土壤保持生态功能区。</w:t>
            </w:r>
          </w:p>
          <w:p w14:paraId="3D362028">
            <w:pPr>
              <w:pStyle w:val="84"/>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Ⅰ—5—2—1呼兰河流域上游水源涵养与土壤保持生态功能区</w:t>
            </w:r>
            <w:r>
              <w:rPr>
                <w:rFonts w:hint="default" w:ascii="Times New Roman" w:hAnsi="Times New Roman" w:cs="Times New Roman"/>
                <w:color w:val="auto"/>
                <w:highlight w:val="none"/>
                <w:lang w:eastAsia="zh-CN"/>
              </w:rPr>
              <w:t>:</w:t>
            </w:r>
          </w:p>
          <w:p w14:paraId="1DBF9B81">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所在区域面积</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庆安县、绥棱县、海伦市和铁力市大部分组成，面积9274平方公里。</w:t>
            </w:r>
          </w:p>
          <w:p w14:paraId="2B925CD3">
            <w:pPr>
              <w:pStyle w:val="84"/>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主要环境问题</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lang w:eastAsia="zh-CN"/>
              </w:rPr>
              <w:t>低洼地雨季易发生涝灾，旱季易形成旱灾；砂质土壤蓄水能力差，水土流失严重。</w:t>
            </w:r>
          </w:p>
          <w:p w14:paraId="3CE1D2FD">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生态环境敏感性</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土壤侵蚀、土地沙漠化和水污染中度敏感地区分布较为广泛。</w:t>
            </w:r>
          </w:p>
          <w:p w14:paraId="42B7D3E1">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主要生态系统服务功能</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水源涵养及土壤保持。</w:t>
            </w:r>
          </w:p>
          <w:p w14:paraId="3A2BD9CD">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保护措施与发展方向</w:t>
            </w:r>
            <w:r>
              <w:rPr>
                <w:rFonts w:hint="default" w:ascii="Times New Roman" w:hAnsi="Times New Roman" w:cs="Times New Roman"/>
                <w:color w:val="auto"/>
                <w:highlight w:val="none"/>
                <w:lang w:val="en-US" w:eastAsia="zh-CN"/>
              </w:rPr>
              <w:t>:增加</w:t>
            </w:r>
            <w:r>
              <w:rPr>
                <w:rFonts w:hint="default" w:ascii="Times New Roman" w:hAnsi="Times New Roman" w:eastAsia="宋体" w:cs="Times New Roman"/>
                <w:color w:val="auto"/>
                <w:highlight w:val="none"/>
                <w:lang w:val="en-US" w:eastAsia="zh-CN"/>
              </w:rPr>
              <w:t>森林覆盖率，增强水源涵养能力，调节土壤结构，发展生态农业，防止水土流失。</w:t>
            </w:r>
          </w:p>
          <w:p w14:paraId="6E1628F7">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本项目临时占地将在工程施工结束后恢复，对项目区生态系统和生物多样性基本无影响，且本工程的建设任务通过新建护岸</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堤防和穿堤建筑物</w:t>
            </w:r>
            <w:r>
              <w:rPr>
                <w:rFonts w:hint="default" w:ascii="Times New Roman" w:hAnsi="Times New Roman" w:eastAsia="宋体" w:cs="Times New Roman"/>
                <w:color w:val="auto"/>
                <w:highlight w:val="none"/>
              </w:rPr>
              <w:t>，保障沿岸村屯及耕地防洪安全。</w:t>
            </w:r>
            <w:r>
              <w:rPr>
                <w:rFonts w:hint="default" w:ascii="Times New Roman" w:hAnsi="Times New Roman" w:eastAsia="宋体" w:cs="Times New Roman"/>
                <w:color w:val="auto"/>
                <w:highlight w:val="none"/>
                <w:lang w:val="en-US" w:eastAsia="zh-CN"/>
              </w:rPr>
              <w:t>项目采取了一系列的生态保护措施和污染防治措施，施工场地周边设置围挡，洒水车定期洒水降尘，废水处理后回用不外排，固废处置率100%，</w:t>
            </w:r>
            <w:r>
              <w:rPr>
                <w:rFonts w:hint="default" w:ascii="Times New Roman" w:hAnsi="Times New Roman" w:eastAsia="宋体" w:cs="Times New Roman"/>
                <w:color w:val="auto"/>
                <w:highlight w:val="none"/>
              </w:rPr>
              <w:t>因此，本工程的建设</w:t>
            </w:r>
            <w:r>
              <w:rPr>
                <w:rFonts w:hint="default" w:ascii="Times New Roman" w:hAnsi="Times New Roman" w:eastAsia="宋体" w:cs="Times New Roman"/>
                <w:color w:val="auto"/>
                <w:highlight w:val="none"/>
                <w:lang w:val="en-US" w:eastAsia="zh-CN"/>
              </w:rPr>
              <w:t>对周边的环境影响可接受，</w:t>
            </w:r>
            <w:r>
              <w:rPr>
                <w:rFonts w:hint="default" w:ascii="Times New Roman" w:hAnsi="Times New Roman" w:eastAsia="宋体" w:cs="Times New Roman"/>
                <w:color w:val="auto"/>
                <w:highlight w:val="none"/>
              </w:rPr>
              <w:t>与《黑龙江省生态功能区划》保护措施与发展方向相符合。</w:t>
            </w:r>
          </w:p>
          <w:p w14:paraId="01A1F27E">
            <w:pPr>
              <w:pStyle w:val="84"/>
              <w:rPr>
                <w:rFonts w:hint="default" w:ascii="Times New Roman" w:hAnsi="Times New Roman" w:eastAsia="宋体" w:cs="Times New Roman"/>
                <w:color w:val="auto"/>
                <w:highlight w:val="none"/>
              </w:rPr>
            </w:pPr>
          </w:p>
          <w:p w14:paraId="56F5D62A">
            <w:pPr>
              <w:pStyle w:val="84"/>
              <w:rPr>
                <w:rFonts w:hint="default" w:ascii="Times New Roman" w:hAnsi="Times New Roman" w:eastAsia="宋体" w:cs="Times New Roman"/>
                <w:color w:val="auto"/>
                <w:highlight w:val="none"/>
              </w:rPr>
            </w:pPr>
          </w:p>
          <w:p w14:paraId="3BCB27C4">
            <w:pPr>
              <w:pStyle w:val="84"/>
              <w:rPr>
                <w:rFonts w:hint="default" w:ascii="Times New Roman" w:hAnsi="Times New Roman" w:eastAsia="宋体" w:cs="Times New Roman"/>
                <w:color w:val="auto"/>
                <w:highlight w:val="none"/>
              </w:rPr>
            </w:pPr>
          </w:p>
          <w:p w14:paraId="4E38F374">
            <w:pPr>
              <w:pStyle w:val="84"/>
              <w:rPr>
                <w:rFonts w:hint="default" w:ascii="Times New Roman" w:hAnsi="Times New Roman" w:eastAsia="宋体" w:cs="Times New Roman"/>
                <w:color w:val="auto"/>
                <w:highlight w:val="none"/>
              </w:rPr>
            </w:pPr>
          </w:p>
          <w:p w14:paraId="23EEA5B1">
            <w:pPr>
              <w:pStyle w:val="84"/>
              <w:rPr>
                <w:rFonts w:hint="default" w:ascii="Times New Roman" w:hAnsi="Times New Roman" w:eastAsia="宋体" w:cs="Times New Roman"/>
                <w:color w:val="auto"/>
                <w:highlight w:val="none"/>
              </w:rPr>
            </w:pPr>
          </w:p>
          <w:p w14:paraId="44165ECE">
            <w:pPr>
              <w:pStyle w:val="84"/>
              <w:rPr>
                <w:rFonts w:hint="default" w:ascii="Times New Roman" w:hAnsi="Times New Roman" w:eastAsia="宋体" w:cs="Times New Roman"/>
                <w:color w:val="auto"/>
                <w:highlight w:val="none"/>
              </w:rPr>
            </w:pPr>
          </w:p>
          <w:p w14:paraId="7A301BBA">
            <w:pPr>
              <w:pStyle w:val="84"/>
              <w:rPr>
                <w:rFonts w:hint="default" w:ascii="Times New Roman" w:hAnsi="Times New Roman" w:eastAsia="宋体" w:cs="Times New Roman"/>
                <w:color w:val="auto"/>
                <w:highlight w:val="none"/>
              </w:rPr>
            </w:pPr>
          </w:p>
          <w:p w14:paraId="6708D9FD">
            <w:pPr>
              <w:pStyle w:val="84"/>
              <w:rPr>
                <w:rFonts w:hint="default" w:ascii="Times New Roman" w:hAnsi="Times New Roman" w:eastAsia="宋体" w:cs="Times New Roman"/>
                <w:color w:val="auto"/>
                <w:highlight w:val="none"/>
              </w:rPr>
            </w:pPr>
          </w:p>
          <w:p w14:paraId="0AB5F976">
            <w:pPr>
              <w:pStyle w:val="84"/>
              <w:rPr>
                <w:rFonts w:hint="default" w:ascii="Times New Roman" w:hAnsi="Times New Roman" w:eastAsia="宋体" w:cs="Times New Roman"/>
                <w:color w:val="auto"/>
                <w:highlight w:val="none"/>
              </w:rPr>
            </w:pPr>
          </w:p>
          <w:p w14:paraId="58A0246E">
            <w:pPr>
              <w:pStyle w:val="84"/>
              <w:rPr>
                <w:rFonts w:hint="default" w:ascii="Times New Roman" w:hAnsi="Times New Roman" w:eastAsia="宋体" w:cs="Times New Roman"/>
                <w:color w:val="auto"/>
                <w:highlight w:val="none"/>
              </w:rPr>
            </w:pPr>
          </w:p>
          <w:p w14:paraId="0889BDDB">
            <w:pPr>
              <w:pStyle w:val="84"/>
              <w:rPr>
                <w:rFonts w:hint="default" w:ascii="Times New Roman" w:hAnsi="Times New Roman" w:eastAsia="宋体" w:cs="Times New Roman"/>
                <w:color w:val="auto"/>
                <w:highlight w:val="none"/>
              </w:rPr>
            </w:pPr>
          </w:p>
          <w:p w14:paraId="36CCD5A6">
            <w:pPr>
              <w:pStyle w:val="84"/>
              <w:rPr>
                <w:rFonts w:hint="default" w:ascii="Times New Roman" w:hAnsi="Times New Roman" w:eastAsia="宋体" w:cs="Times New Roman"/>
                <w:color w:val="auto"/>
                <w:highlight w:val="none"/>
              </w:rPr>
            </w:pPr>
          </w:p>
          <w:p w14:paraId="0FC296A4">
            <w:pPr>
              <w:pStyle w:val="84"/>
              <w:rPr>
                <w:rFonts w:hint="default" w:ascii="Times New Roman" w:hAnsi="Times New Roman" w:eastAsia="宋体" w:cs="Times New Roman"/>
                <w:color w:val="auto"/>
                <w:highlight w:val="none"/>
              </w:rPr>
            </w:pPr>
          </w:p>
          <w:p w14:paraId="362E4E6C">
            <w:pPr>
              <w:pStyle w:val="84"/>
              <w:rPr>
                <w:rFonts w:hint="default" w:ascii="Times New Roman" w:hAnsi="Times New Roman" w:eastAsia="宋体" w:cs="Times New Roman"/>
                <w:color w:val="auto"/>
                <w:highlight w:val="none"/>
              </w:rPr>
            </w:pPr>
          </w:p>
          <w:p w14:paraId="7BAF32E9">
            <w:pPr>
              <w:pStyle w:val="84"/>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sz w:val="24"/>
                <w:highlight w:val="none"/>
              </w:rPr>
              <mc:AlternateContent>
                <mc:Choice Requires="wps">
                  <w:drawing>
                    <wp:anchor distT="0" distB="0" distL="114300" distR="114300" simplePos="0" relativeHeight="251664384" behindDoc="0" locked="0" layoutInCell="1" allowOverlap="1">
                      <wp:simplePos x="0" y="0"/>
                      <wp:positionH relativeFrom="column">
                        <wp:posOffset>1086485</wp:posOffset>
                      </wp:positionH>
                      <wp:positionV relativeFrom="paragraph">
                        <wp:posOffset>2900045</wp:posOffset>
                      </wp:positionV>
                      <wp:extent cx="790575" cy="276225"/>
                      <wp:effectExtent l="4445" t="5080" r="367030" b="480695"/>
                      <wp:wrapNone/>
                      <wp:docPr id="6" name="自选图形 221"/>
                      <wp:cNvGraphicFramePr/>
                      <a:graphic xmlns:a="http://schemas.openxmlformats.org/drawingml/2006/main">
                        <a:graphicData uri="http://schemas.microsoft.com/office/word/2010/wordprocessingShape">
                          <wps:wsp>
                            <wps:cNvSpPr/>
                            <wps:spPr>
                              <a:xfrm>
                                <a:off x="0" y="0"/>
                                <a:ext cx="790575" cy="276225"/>
                              </a:xfrm>
                              <a:prstGeom prst="wedgeRectCallout">
                                <a:avLst>
                                  <a:gd name="adj1" fmla="val 91204"/>
                                  <a:gd name="adj2" fmla="val 214829"/>
                                </a:avLst>
                              </a:prstGeom>
                              <a:solidFill>
                                <a:srgbClr val="FFFFFF"/>
                              </a:solidFill>
                              <a:ln w="9525" cap="flat" cmpd="sng">
                                <a:solidFill>
                                  <a:srgbClr val="000000"/>
                                </a:solidFill>
                                <a:prstDash val="solid"/>
                                <a:miter/>
                                <a:headEnd type="none" w="med" len="med"/>
                                <a:tailEnd type="none" w="med" len="med"/>
                              </a:ln>
                            </wps:spPr>
                            <wps:txbx>
                              <w:txbxContent>
                                <w:p w14:paraId="1E73C163">
                                  <w:pPr>
                                    <w:jc w:val="center"/>
                                    <w:rPr>
                                      <w:rFonts w:hint="default" w:eastAsia="宋体"/>
                                      <w:lang w:val="en-US" w:eastAsia="zh-CN"/>
                                    </w:rPr>
                                  </w:pPr>
                                  <w:r>
                                    <w:rPr>
                                      <w:rFonts w:hint="eastAsia"/>
                                      <w:lang w:val="en-US" w:eastAsia="zh-CN"/>
                                    </w:rPr>
                                    <w:t>项目位置</w:t>
                                  </w:r>
                                </w:p>
                              </w:txbxContent>
                            </wps:txbx>
                            <wps:bodyPr wrap="square" upright="1"/>
                          </wps:wsp>
                        </a:graphicData>
                      </a:graphic>
                    </wp:anchor>
                  </w:drawing>
                </mc:Choice>
                <mc:Fallback>
                  <w:pict>
                    <v:shape id="自选图形 221" o:spid="_x0000_s1026" o:spt="61" type="#_x0000_t61" style="position:absolute;left:0pt;margin-left:85.55pt;margin-top:228.35pt;height:21.75pt;width:62.25pt;z-index:251664384;mso-width-relative:page;mso-height-relative:page;" fillcolor="#FFFFFF" filled="t" stroked="t" coordsize="21600,21600" o:gfxdata="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dy37tsAAAALAQAADwAAAAAAAAABACAA&#10;AAAiAAAAZHJzL2Rvd25yZXYueG1sUEsBAhQAFAAAAAgAh07iQFcea45DAgAAnAQAAA4AAAAAAAAA&#10;AQAgAAAAKgEAAGRycy9lMm9Eb2MueG1sUEsFBgAAAAAGAAYAWQEAAN8FAAAAAA==&#10;" adj="30500,57203">
                      <v:fill on="t" focussize="0,0"/>
                      <v:stroke color="#000000" joinstyle="miter"/>
                      <v:imagedata o:title=""/>
                      <o:lock v:ext="edit" aspectratio="f"/>
                      <v:textbox>
                        <w:txbxContent>
                          <w:p w14:paraId="1E73C163">
                            <w:pPr>
                              <w:jc w:val="cente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eastAsia="宋体" w:cs="Times New Roman"/>
                <w:highlight w:val="none"/>
              </w:rPr>
              <w:drawing>
                <wp:inline distT="0" distB="0" distL="114300" distR="114300">
                  <wp:extent cx="4695190" cy="5665470"/>
                  <wp:effectExtent l="0" t="0" r="10160" b="11430"/>
                  <wp:docPr id="63"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14"/>
                          <pic:cNvPicPr>
                            <a:picLocks noChangeAspect="1"/>
                          </pic:cNvPicPr>
                        </pic:nvPicPr>
                        <pic:blipFill>
                          <a:blip r:embed="rId13"/>
                          <a:stretch>
                            <a:fillRect/>
                          </a:stretch>
                        </pic:blipFill>
                        <pic:spPr>
                          <a:xfrm>
                            <a:off x="0" y="0"/>
                            <a:ext cx="4695190" cy="5665470"/>
                          </a:xfrm>
                          <a:prstGeom prst="rect">
                            <a:avLst/>
                          </a:prstGeom>
                          <a:noFill/>
                          <a:ln>
                            <a:noFill/>
                          </a:ln>
                        </pic:spPr>
                      </pic:pic>
                    </a:graphicData>
                  </a:graphic>
                </wp:inline>
              </w:drawing>
            </w:r>
          </w:p>
          <w:p w14:paraId="67FF2C81">
            <w:pPr>
              <w:pStyle w:val="110"/>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z w:val="21"/>
                <w:szCs w:val="21"/>
                <w:highlight w:val="none"/>
              </w:rPr>
              <w:t>图1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 xml:space="preserve">4  </w:t>
            </w:r>
            <w:r>
              <w:rPr>
                <w:rFonts w:hint="default" w:ascii="Times New Roman" w:hAnsi="Times New Roman" w:eastAsia="宋体" w:cs="Times New Roman"/>
                <w:color w:val="auto"/>
                <w:sz w:val="21"/>
                <w:szCs w:val="21"/>
                <w:highlight w:val="none"/>
                <w:lang w:val="en-US" w:eastAsia="zh-CN"/>
              </w:rPr>
              <w:t>庆安县</w:t>
            </w:r>
            <w:r>
              <w:rPr>
                <w:rFonts w:hint="default" w:ascii="Times New Roman" w:hAnsi="Times New Roman" w:eastAsia="宋体" w:cs="Times New Roman"/>
                <w:color w:val="auto"/>
                <w:sz w:val="21"/>
                <w:szCs w:val="21"/>
                <w:highlight w:val="none"/>
              </w:rPr>
              <w:t>在黑龙江</w:t>
            </w:r>
            <w:r>
              <w:rPr>
                <w:rFonts w:hint="default" w:ascii="Times New Roman" w:hAnsi="Times New Roman" w:eastAsia="宋体" w:cs="Times New Roman"/>
                <w:color w:val="auto"/>
                <w:sz w:val="21"/>
                <w:szCs w:val="21"/>
                <w:highlight w:val="none"/>
                <w:lang w:val="en-US" w:eastAsia="zh-CN"/>
              </w:rPr>
              <w:t>生态</w:t>
            </w:r>
            <w:r>
              <w:rPr>
                <w:rFonts w:hint="default" w:ascii="Times New Roman" w:hAnsi="Times New Roman" w:eastAsia="宋体" w:cs="Times New Roman"/>
                <w:color w:val="auto"/>
                <w:sz w:val="21"/>
                <w:szCs w:val="21"/>
                <w:highlight w:val="none"/>
              </w:rPr>
              <w:t>功能区位置图</w:t>
            </w:r>
          </w:p>
          <w:p w14:paraId="55D9BF6F">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5、与《黑龙江省水</w:t>
            </w:r>
            <w:bookmarkStart w:id="9" w:name="_Hlk104901269"/>
            <w:r>
              <w:rPr>
                <w:rFonts w:hint="default" w:ascii="Times New Roman" w:hAnsi="Times New Roman" w:eastAsia="宋体" w:cs="Times New Roman"/>
                <w:color w:val="auto"/>
                <w:highlight w:val="none"/>
              </w:rPr>
              <w:t>土保持规划</w:t>
            </w:r>
            <w:bookmarkEnd w:id="9"/>
            <w:r>
              <w:rPr>
                <w:rFonts w:hint="default" w:ascii="Times New Roman" w:hAnsi="Times New Roman" w:eastAsia="宋体" w:cs="Times New Roman"/>
                <w:color w:val="auto"/>
                <w:highlight w:val="none"/>
              </w:rPr>
              <w:t>（2015</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2030年）》的符合性分析</w:t>
            </w:r>
          </w:p>
          <w:p w14:paraId="4E1FB98D">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根据黑龙江省水土保持规划（2015</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rPr>
              <w:t>2030年），水土保持区划为</w:t>
            </w:r>
            <w:r>
              <w:rPr>
                <w:rFonts w:hint="default" w:ascii="Times New Roman" w:hAnsi="Times New Roman" w:eastAsia="宋体" w:cs="Times New Roman"/>
                <w:color w:val="auto"/>
                <w:kern w:val="0"/>
                <w:highlight w:val="none"/>
                <w:lang w:val="en-US" w:eastAsia="zh-CN"/>
              </w:rPr>
              <w:t>东北漫川土壤保持区</w:t>
            </w:r>
            <w:r>
              <w:rPr>
                <w:rFonts w:hint="default" w:ascii="Times New Roman" w:hAnsi="Times New Roman" w:eastAsia="宋体" w:cs="Times New Roman"/>
                <w:color w:val="auto"/>
                <w:kern w:val="0"/>
                <w:highlight w:val="none"/>
              </w:rPr>
              <w:t>（I</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lang w:val="en-US" w:eastAsia="zh-CN"/>
              </w:rPr>
              <w:t>3</w:t>
            </w:r>
            <w:r>
              <w:rPr>
                <w:rFonts w:hint="default" w:ascii="Times New Roman" w:hAnsi="Times New Roman"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1t</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黑龙江省区划名称为中部漫川漫岗土壤保持区，</w:t>
            </w:r>
            <w:r>
              <w:rPr>
                <w:rFonts w:hint="default" w:ascii="Times New Roman" w:hAnsi="Times New Roman" w:eastAsia="宋体" w:cs="Times New Roman"/>
                <w:color w:val="auto"/>
                <w:kern w:val="0"/>
                <w:highlight w:val="none"/>
              </w:rPr>
              <w:t>水土保持两区划分为东北漫川漫岗水土流失重点治理区（国家级）。</w:t>
            </w:r>
          </w:p>
          <w:p w14:paraId="4A0288FB">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水土流失治理方向</w:t>
            </w:r>
            <w:r>
              <w:rPr>
                <w:rFonts w:hint="default" w:ascii="Times New Roman" w:hAnsi="Times New Roman" w:cs="Times New Roman"/>
                <w:color w:val="auto"/>
                <w:highlight w:val="none"/>
                <w:lang w:eastAsia="zh-CN"/>
              </w:rPr>
              <w:t>:</w:t>
            </w:r>
          </w:p>
          <w:p w14:paraId="36D94A60">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是黑龙江省黑土主要分布区，农地为主，植被稀疏，耕地坡缓坡长，侵蚀沟普遍发育，水土流失严重。水土流失主要发生在坡耕地中。本区宜开展以小流域为单元的水土流失综合治理、坡耕地治理专项工程、侵蚀沟治理专项工程等。</w:t>
            </w:r>
          </w:p>
          <w:p w14:paraId="79EF4913">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主导基础功能及社会经济功能</w:t>
            </w:r>
            <w:r>
              <w:rPr>
                <w:rFonts w:hint="default" w:ascii="Times New Roman" w:hAnsi="Times New Roman" w:cs="Times New Roman"/>
                <w:color w:val="auto"/>
                <w:highlight w:val="none"/>
                <w:lang w:eastAsia="zh-CN"/>
              </w:rPr>
              <w:t>:</w:t>
            </w:r>
          </w:p>
          <w:p w14:paraId="102139E1">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本区水土保持主导基础功能为土壤保持、农田防护、拦沙减沙；社会经济功能为粮食生产、土地生产力保护、减少河湖库淤积。</w:t>
            </w:r>
          </w:p>
          <w:p w14:paraId="0D1B5A16">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highlight w:val="none"/>
              </w:rPr>
              <w:t>本工程的建设任务通过</w:t>
            </w:r>
            <w:r>
              <w:rPr>
                <w:rFonts w:hint="default" w:ascii="Times New Roman" w:hAnsi="Times New Roman" w:eastAsia="宋体" w:cs="Times New Roman"/>
                <w:color w:val="auto"/>
                <w:highlight w:val="none"/>
                <w:lang w:eastAsia="zh-CN"/>
              </w:rPr>
              <w:t>新建护岸、堤防和穿堤建筑物</w:t>
            </w:r>
            <w:r>
              <w:rPr>
                <w:rFonts w:hint="default" w:ascii="Times New Roman" w:hAnsi="Times New Roman" w:eastAsia="宋体" w:cs="Times New Roman"/>
                <w:color w:val="auto"/>
                <w:highlight w:val="none"/>
              </w:rPr>
              <w:t>，保障沿岸村屯及耕地防洪安全。</w:t>
            </w:r>
            <w:r>
              <w:rPr>
                <w:rFonts w:hint="default" w:ascii="Times New Roman" w:hAnsi="Times New Roman" w:eastAsia="宋体" w:cs="Times New Roman"/>
                <w:color w:val="auto"/>
                <w:highlight w:val="none"/>
                <w:lang w:val="en-US" w:eastAsia="zh-CN"/>
              </w:rPr>
              <w:t>本项目提出了相应的水土保持措施，可减少水土流失，保护生态环境。</w:t>
            </w:r>
            <w:r>
              <w:rPr>
                <w:rFonts w:hint="default" w:ascii="Times New Roman" w:hAnsi="Times New Roman" w:eastAsia="宋体" w:cs="Times New Roman"/>
                <w:color w:val="auto"/>
                <w:spacing w:val="-4"/>
                <w:highlight w:val="none"/>
              </w:rPr>
              <w:t>因此，本工程的建设与《黑龙江省水土保持规划（2015</w:t>
            </w:r>
            <w:r>
              <w:rPr>
                <w:rFonts w:hint="default" w:ascii="Times New Roman" w:hAnsi="Times New Roman" w:cs="Times New Roman"/>
                <w:color w:val="auto"/>
                <w:spacing w:val="-4"/>
                <w:highlight w:val="none"/>
                <w:lang w:eastAsia="zh-CN"/>
              </w:rPr>
              <w:t>—</w:t>
            </w:r>
            <w:r>
              <w:rPr>
                <w:rFonts w:hint="default" w:ascii="Times New Roman" w:hAnsi="Times New Roman" w:eastAsia="宋体" w:cs="Times New Roman"/>
                <w:color w:val="auto"/>
                <w:spacing w:val="-4"/>
                <w:highlight w:val="none"/>
              </w:rPr>
              <w:t>2030年）》相符合。</w:t>
            </w:r>
          </w:p>
          <w:p w14:paraId="492FB34B">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sz w:val="24"/>
                <w:szCs w:val="24"/>
                <w:highlight w:val="none"/>
              </w:rPr>
            </w:pPr>
            <w:r>
              <w:rPr>
                <w:rFonts w:hint="default" w:ascii="Times New Roman" w:hAnsi="Times New Roman" w:eastAsia="宋体" w:cs="Times New Roman"/>
                <w:color w:val="auto"/>
                <w:spacing w:val="-4"/>
                <w:sz w:val="24"/>
                <w:szCs w:val="24"/>
                <w:highlight w:val="none"/>
              </w:rPr>
              <w:t>6、与《</w:t>
            </w:r>
            <w:r>
              <w:rPr>
                <w:rFonts w:hint="default" w:ascii="Times New Roman" w:hAnsi="Times New Roman" w:eastAsia="宋体" w:cs="Times New Roman"/>
                <w:color w:val="auto"/>
                <w:spacing w:val="-4"/>
                <w:sz w:val="24"/>
                <w:szCs w:val="24"/>
                <w:highlight w:val="none"/>
                <w:lang w:val="en-US" w:eastAsia="zh-CN"/>
              </w:rPr>
              <w:t>绥化</w:t>
            </w:r>
            <w:r>
              <w:rPr>
                <w:rFonts w:hint="default" w:ascii="Times New Roman" w:hAnsi="Times New Roman" w:eastAsia="宋体" w:cs="Times New Roman"/>
                <w:color w:val="auto"/>
                <w:spacing w:val="-4"/>
                <w:sz w:val="24"/>
                <w:szCs w:val="24"/>
                <w:highlight w:val="none"/>
              </w:rPr>
              <w:t>市水土保持规划（2019</w:t>
            </w:r>
            <w:r>
              <w:rPr>
                <w:rFonts w:hint="default" w:ascii="Times New Roman" w:hAnsi="Times New Roman" w:cs="Times New Roman"/>
                <w:color w:val="auto"/>
                <w:spacing w:val="-4"/>
                <w:sz w:val="24"/>
                <w:szCs w:val="24"/>
                <w:highlight w:val="none"/>
                <w:lang w:eastAsia="zh-CN"/>
              </w:rPr>
              <w:t>～</w:t>
            </w:r>
            <w:r>
              <w:rPr>
                <w:rFonts w:hint="default" w:ascii="Times New Roman" w:hAnsi="Times New Roman" w:eastAsia="宋体" w:cs="Times New Roman"/>
                <w:color w:val="auto"/>
                <w:spacing w:val="-4"/>
                <w:sz w:val="24"/>
                <w:szCs w:val="24"/>
                <w:highlight w:val="none"/>
              </w:rPr>
              <w:t>2030年）》符合性分析</w:t>
            </w:r>
          </w:p>
          <w:p w14:paraId="4836E828">
            <w:pPr>
              <w:keepNext w:val="0"/>
              <w:keepLines w:val="0"/>
              <w:pageBreakBefore w:val="0"/>
              <w:widowControl/>
              <w:suppressLineNumbers w:val="0"/>
              <w:kinsoku/>
              <w:wordWrap/>
              <w:topLinePunct w:val="0"/>
              <w:autoSpaceDE/>
              <w:autoSpaceDN/>
              <w:bidi w:val="0"/>
              <w:spacing w:line="500" w:lineRule="exact"/>
              <w:ind w:firstLine="464"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color w:val="auto"/>
                <w:spacing w:val="-4"/>
                <w:sz w:val="24"/>
                <w:szCs w:val="24"/>
                <w:highlight w:val="none"/>
              </w:rPr>
              <w:t>根据《</w:t>
            </w:r>
            <w:r>
              <w:rPr>
                <w:rFonts w:hint="default" w:ascii="Times New Roman" w:hAnsi="Times New Roman" w:eastAsia="宋体" w:cs="Times New Roman"/>
                <w:color w:val="auto"/>
                <w:spacing w:val="-4"/>
                <w:sz w:val="24"/>
                <w:szCs w:val="24"/>
                <w:highlight w:val="none"/>
                <w:lang w:val="en-US" w:eastAsia="zh-CN"/>
              </w:rPr>
              <w:t>绥化</w:t>
            </w:r>
            <w:r>
              <w:rPr>
                <w:rFonts w:hint="default" w:ascii="Times New Roman" w:hAnsi="Times New Roman" w:eastAsia="宋体" w:cs="Times New Roman"/>
                <w:color w:val="auto"/>
                <w:spacing w:val="-4"/>
                <w:sz w:val="24"/>
                <w:szCs w:val="24"/>
                <w:highlight w:val="none"/>
              </w:rPr>
              <w:t>市水土保持规划（2019</w:t>
            </w:r>
            <w:r>
              <w:rPr>
                <w:rFonts w:hint="default" w:ascii="Times New Roman" w:hAnsi="Times New Roman" w:cs="Times New Roman"/>
                <w:color w:val="auto"/>
                <w:spacing w:val="-4"/>
                <w:sz w:val="24"/>
                <w:szCs w:val="24"/>
                <w:highlight w:val="none"/>
                <w:lang w:eastAsia="zh-CN"/>
              </w:rPr>
              <w:t>～</w:t>
            </w:r>
            <w:r>
              <w:rPr>
                <w:rFonts w:hint="default" w:ascii="Times New Roman" w:hAnsi="Times New Roman" w:eastAsia="宋体" w:cs="Times New Roman"/>
                <w:color w:val="auto"/>
                <w:spacing w:val="-4"/>
                <w:sz w:val="24"/>
                <w:szCs w:val="24"/>
                <w:highlight w:val="none"/>
              </w:rPr>
              <w:t>2030年）》，</w:t>
            </w:r>
            <w:r>
              <w:rPr>
                <w:rFonts w:hint="default" w:ascii="Times New Roman" w:hAnsi="Times New Roman" w:eastAsia="宋体" w:cs="Times New Roman"/>
                <w:color w:val="auto"/>
                <w:spacing w:val="-4"/>
                <w:sz w:val="24"/>
                <w:szCs w:val="24"/>
                <w:highlight w:val="none"/>
                <w:lang w:val="en-US" w:eastAsia="zh-CN"/>
              </w:rPr>
              <w:t>本工程所在区域</w:t>
            </w:r>
            <w:r>
              <w:rPr>
                <w:rFonts w:hint="default" w:ascii="Times New Roman" w:hAnsi="Times New Roman" w:eastAsia="宋体" w:cs="Times New Roman"/>
                <w:color w:val="auto"/>
                <w:spacing w:val="-4"/>
                <w:sz w:val="24"/>
                <w:szCs w:val="24"/>
                <w:highlight w:val="none"/>
              </w:rPr>
              <w:t>属于</w:t>
            </w:r>
            <w:r>
              <w:rPr>
                <w:rFonts w:hint="default" w:ascii="Times New Roman" w:hAnsi="Times New Roman" w:eastAsia="宋体" w:cs="Times New Roman"/>
                <w:color w:val="auto"/>
                <w:spacing w:val="-4"/>
                <w:sz w:val="24"/>
                <w:szCs w:val="24"/>
                <w:highlight w:val="none"/>
                <w:lang w:val="en-US" w:eastAsia="zh-CN"/>
              </w:rPr>
              <w:t>东部低山丘陵中度水蚀土壤保持区</w:t>
            </w:r>
            <w:r>
              <w:rPr>
                <w:rFonts w:hint="default" w:ascii="Times New Roman" w:hAnsi="Times New Roman" w:eastAsia="宋体" w:cs="Times New Roman"/>
                <w:color w:val="auto"/>
                <w:spacing w:val="-4"/>
                <w:sz w:val="24"/>
                <w:szCs w:val="24"/>
                <w:highlight w:val="none"/>
              </w:rPr>
              <w:t>（I区）</w:t>
            </w:r>
            <w:r>
              <w:rPr>
                <w:rFonts w:hint="default" w:ascii="Times New Roman" w:hAnsi="Times New Roman" w:eastAsia="宋体" w:cs="Times New Roman"/>
                <w:color w:val="auto"/>
                <w:spacing w:val="-4"/>
                <w:sz w:val="24"/>
                <w:szCs w:val="24"/>
                <w:highlight w:val="none"/>
                <w:lang w:val="en-US" w:eastAsia="zh-CN"/>
              </w:rPr>
              <w:t>。</w:t>
            </w:r>
            <w:r>
              <w:rPr>
                <w:rFonts w:hint="default" w:ascii="Times New Roman" w:hAnsi="Times New Roman" w:eastAsia="宋体" w:cs="Times New Roman"/>
                <w:color w:val="000000"/>
                <w:kern w:val="0"/>
                <w:sz w:val="24"/>
                <w:szCs w:val="24"/>
                <w:highlight w:val="none"/>
                <w:lang w:val="en-US" w:eastAsia="zh-CN" w:bidi="ar"/>
              </w:rPr>
              <w:t>本区地貌特征是低山丘陵，海拔在300～600</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lang w:val="en-US" w:eastAsia="zh-CN" w:bidi="ar"/>
              </w:rPr>
              <w:t>之间，最高的官五爷大山高820.3</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lang w:val="en-US" w:eastAsia="zh-CN" w:bidi="ar"/>
              </w:rPr>
              <w:t>，耕地大部分</w:t>
            </w:r>
            <w:r>
              <w:rPr>
                <w:rFonts w:hint="default" w:ascii="Times New Roman" w:hAnsi="Times New Roman" w:cs="Times New Roman"/>
                <w:color w:val="000000"/>
                <w:kern w:val="0"/>
                <w:sz w:val="24"/>
                <w:szCs w:val="24"/>
                <w:highlight w:val="none"/>
                <w:lang w:val="en-US" w:eastAsia="zh-CN" w:bidi="ar"/>
              </w:rPr>
              <w:t>分布</w:t>
            </w:r>
            <w:r>
              <w:rPr>
                <w:rFonts w:hint="default" w:ascii="Times New Roman" w:hAnsi="Times New Roman" w:eastAsia="宋体" w:cs="Times New Roman"/>
                <w:color w:val="000000"/>
                <w:kern w:val="0"/>
                <w:sz w:val="24"/>
                <w:szCs w:val="24"/>
                <w:highlight w:val="none"/>
                <w:lang w:val="en-US" w:eastAsia="zh-CN" w:bidi="ar"/>
              </w:rPr>
              <w:t>在坡地上，土壤多为黑土和暗棕壤，肥力较高，土质属重壤土。本区水土流失主要是水蚀，水土流失总面积1421.02h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，其中轻度侵蚀 91.87h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、中度侵蚀 37.86h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、强烈侵蚀204.58h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、极强烈侵蚀3.79h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、剧烈12.92h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，分别占该区水土流失总面积的55.73%、23.78%、14.40%、5.19%、0.91%。</w:t>
            </w:r>
          </w:p>
          <w:p w14:paraId="35A92F65">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sz w:val="24"/>
                <w:szCs w:val="24"/>
                <w:highlight w:val="none"/>
                <w:lang w:eastAsia="zh-CN"/>
              </w:rPr>
            </w:pPr>
            <w:r>
              <w:rPr>
                <w:rFonts w:hint="default" w:ascii="Times New Roman" w:hAnsi="Times New Roman" w:eastAsia="宋体" w:cs="Times New Roman"/>
                <w:color w:val="auto"/>
                <w:spacing w:val="-4"/>
                <w:sz w:val="24"/>
                <w:szCs w:val="24"/>
                <w:highlight w:val="none"/>
              </w:rPr>
              <w:t>I区水土流失治理模式</w:t>
            </w:r>
            <w:r>
              <w:rPr>
                <w:rFonts w:hint="default" w:ascii="Times New Roman" w:hAnsi="Times New Roman" w:cs="Times New Roman"/>
                <w:color w:val="auto"/>
                <w:spacing w:val="-4"/>
                <w:sz w:val="24"/>
                <w:szCs w:val="24"/>
                <w:highlight w:val="none"/>
                <w:lang w:eastAsia="zh-CN"/>
              </w:rPr>
              <w:t>:</w:t>
            </w:r>
          </w:p>
          <w:p w14:paraId="4A0D6D83">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sz w:val="24"/>
                <w:szCs w:val="24"/>
                <w:highlight w:val="none"/>
              </w:rPr>
            </w:pPr>
            <w:r>
              <w:rPr>
                <w:rFonts w:hint="default" w:ascii="Times New Roman" w:hAnsi="Times New Roman" w:eastAsia="宋体" w:cs="Times New Roman"/>
                <w:color w:val="auto"/>
                <w:spacing w:val="-4"/>
                <w:sz w:val="24"/>
                <w:szCs w:val="24"/>
                <w:highlight w:val="none"/>
              </w:rPr>
              <w:t>①注重植被保护，加强植被系统的修复和维护，开展水土保持生态修复工程；</w:t>
            </w:r>
          </w:p>
          <w:p w14:paraId="4FD15AED">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spacing w:val="-4"/>
                <w:highlight w:val="none"/>
              </w:rPr>
              <w:t>②人口集中区实施清洁小流域建设等，提高水源涵养能力；</w:t>
            </w:r>
          </w:p>
          <w:p w14:paraId="6D2A8E99">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spacing w:val="-4"/>
                <w:highlight w:val="none"/>
              </w:rPr>
              <w:t>③严格林业生产、资源开发和基础设施建设管理，维护水源地水质；</w:t>
            </w:r>
          </w:p>
          <w:p w14:paraId="170B6346">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spacing w:val="-4"/>
                <w:highlight w:val="none"/>
              </w:rPr>
              <w:t>④强化监督执法，控制开发建设活动造成的水土流失；</w:t>
            </w:r>
          </w:p>
          <w:p w14:paraId="4444951D">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spacing w:val="-4"/>
                <w:highlight w:val="none"/>
              </w:rPr>
              <w:t>⑤水土流失严重区可开展小流域水土流失综合治理和侵蚀沟专项治理。</w:t>
            </w:r>
          </w:p>
          <w:p w14:paraId="16083CAB">
            <w:pPr>
              <w:pStyle w:val="8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sz w:val="24"/>
                <w:highlight w:val="none"/>
              </w:rPr>
              <mc:AlternateContent>
                <mc:Choice Requires="wps">
                  <w:drawing>
                    <wp:anchor distT="0" distB="0" distL="114300" distR="114300" simplePos="0" relativeHeight="251667456" behindDoc="0" locked="0" layoutInCell="1" allowOverlap="1">
                      <wp:simplePos x="0" y="0"/>
                      <wp:positionH relativeFrom="column">
                        <wp:posOffset>3666490</wp:posOffset>
                      </wp:positionH>
                      <wp:positionV relativeFrom="paragraph">
                        <wp:posOffset>2439035</wp:posOffset>
                      </wp:positionV>
                      <wp:extent cx="142875" cy="76835"/>
                      <wp:effectExtent l="2540" t="4445" r="6985" b="13970"/>
                      <wp:wrapNone/>
                      <wp:docPr id="9" name="直线 224"/>
                      <wp:cNvGraphicFramePr/>
                      <a:graphic xmlns:a="http://schemas.openxmlformats.org/drawingml/2006/main">
                        <a:graphicData uri="http://schemas.microsoft.com/office/word/2010/wordprocessingShape">
                          <wps:wsp>
                            <wps:cNvCnPr/>
                            <wps:spPr>
                              <a:xfrm flipV="1">
                                <a:off x="0" y="0"/>
                                <a:ext cx="142875" cy="76835"/>
                              </a:xfrm>
                              <a:prstGeom prst="line">
                                <a:avLst/>
                              </a:prstGeom>
                              <a:ln w="9525" cap="flat" cmpd="sng">
                                <a:solidFill>
                                  <a:srgbClr val="FF0000"/>
                                </a:solidFill>
                                <a:prstDash val="solid"/>
                                <a:headEnd type="none" w="med" len="med"/>
                                <a:tailEnd type="none" w="med" len="med"/>
                              </a:ln>
                            </wps:spPr>
                            <wps:bodyPr upright="1"/>
                          </wps:wsp>
                        </a:graphicData>
                      </a:graphic>
                    </wp:anchor>
                  </w:drawing>
                </mc:Choice>
                <mc:Fallback>
                  <w:pict>
                    <v:line id="直线 224" o:spid="_x0000_s1026" o:spt="20" style="position:absolute;left:0pt;flip:y;margin-left:288.7pt;margin-top:192.05pt;height:6.05pt;width:11.25pt;z-index:251667456;mso-width-relative:page;mso-height-relative:page;" filled="f" stroked="t" coordsize="21600,21600" o:gfxdata="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WDNiQ2wAAAAsBAAAPAAAAAAAAAAEAIAAAACIAAABkcnMvZG93bnJldi54bWxQ&#10;SwECFAAUAAAACACHTuJAhi3bDPQBAADqAwAADgAAAAAAAAABACAAAAAqAQAAZHJzL2Uyb0RvYy54&#10;bWxQSwUGAAAAAAYABgBZAQAAkAUAAAAA&#10;">
                      <v:fill on="f" focussize="0,0"/>
                      <v:stroke color="#FF0000" joinstyle="round"/>
                      <v:imagedata o:title=""/>
                      <o:lock v:ext="edit" aspectratio="f"/>
                    </v:lin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68480" behindDoc="0" locked="0" layoutInCell="1" allowOverlap="1">
                      <wp:simplePos x="0" y="0"/>
                      <wp:positionH relativeFrom="column">
                        <wp:posOffset>3524250</wp:posOffset>
                      </wp:positionH>
                      <wp:positionV relativeFrom="paragraph">
                        <wp:posOffset>2678430</wp:posOffset>
                      </wp:positionV>
                      <wp:extent cx="132715" cy="1132840"/>
                      <wp:effectExtent l="4445" t="635" r="15240" b="9525"/>
                      <wp:wrapNone/>
                      <wp:docPr id="10" name="直线 225"/>
                      <wp:cNvGraphicFramePr/>
                      <a:graphic xmlns:a="http://schemas.openxmlformats.org/drawingml/2006/main">
                        <a:graphicData uri="http://schemas.microsoft.com/office/word/2010/wordprocessingShape">
                          <wps:wsp>
                            <wps:cNvCnPr/>
                            <wps:spPr>
                              <a:xfrm flipH="1" flipV="1">
                                <a:off x="0" y="0"/>
                                <a:ext cx="132715" cy="113284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25" o:spid="_x0000_s1026" o:spt="20" style="position:absolute;left:0pt;flip:x y;margin-left:277.5pt;margin-top:210.9pt;height:89.2pt;width:10.45pt;z-index:251668480;mso-width-relative:page;mso-height-relative:page;" filled="f" stroked="t" coordsize="21600,21600" o:gfxdata="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n7sZzWAAAACwEAAA8AAAAAAAAAAQAgAAAAIgAAAGRycy9kb3ducmV2Lnht&#10;bFBLAQIUABQAAAAIAIdO4kDblhLC+wEAAPcDAAAOAAAAAAAAAAEAIAAAACUBAABkcnMvZTJvRG9j&#10;LnhtbFBLBQYAAAAABgAGAFkBAACSBQAAAAA=&#10;">
                      <v:fill on="f" focussize="0,0"/>
                      <v:stroke color="#000000" joinstyle="round"/>
                      <v:imagedata o:title=""/>
                      <o:lock v:ext="edit" aspectratio="f"/>
                    </v:lin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66432" behindDoc="0" locked="0" layoutInCell="1" allowOverlap="1">
                      <wp:simplePos x="0" y="0"/>
                      <wp:positionH relativeFrom="column">
                        <wp:posOffset>3447415</wp:posOffset>
                      </wp:positionH>
                      <wp:positionV relativeFrom="paragraph">
                        <wp:posOffset>2515870</wp:posOffset>
                      </wp:positionV>
                      <wp:extent cx="228600" cy="257175"/>
                      <wp:effectExtent l="3810" t="3175" r="15240" b="6350"/>
                      <wp:wrapNone/>
                      <wp:docPr id="8" name="直线 223"/>
                      <wp:cNvGraphicFramePr/>
                      <a:graphic xmlns:a="http://schemas.openxmlformats.org/drawingml/2006/main">
                        <a:graphicData uri="http://schemas.microsoft.com/office/word/2010/wordprocessingShape">
                          <wps:wsp>
                            <wps:cNvCnPr/>
                            <wps:spPr>
                              <a:xfrm flipV="1">
                                <a:off x="0" y="0"/>
                                <a:ext cx="228600" cy="257175"/>
                              </a:xfrm>
                              <a:prstGeom prst="line">
                                <a:avLst/>
                              </a:prstGeom>
                              <a:ln w="9525" cap="flat" cmpd="sng">
                                <a:solidFill>
                                  <a:srgbClr val="FF0000"/>
                                </a:solidFill>
                                <a:prstDash val="solid"/>
                                <a:headEnd type="none" w="med" len="med"/>
                                <a:tailEnd type="none" w="med" len="med"/>
                              </a:ln>
                            </wps:spPr>
                            <wps:bodyPr upright="1"/>
                          </wps:wsp>
                        </a:graphicData>
                      </a:graphic>
                    </wp:anchor>
                  </w:drawing>
                </mc:Choice>
                <mc:Fallback>
                  <w:pict>
                    <v:line id="直线 223" o:spid="_x0000_s1026" o:spt="20" style="position:absolute;left:0pt;flip:y;margin-left:271.45pt;margin-top:198.1pt;height:20.25pt;width:18pt;z-index:251666432;mso-width-relative:page;mso-height-relative:page;" filled="f" stroked="t" coordsize="21600,21600" o:gfxdata="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7FCE7cAAAACwEAAA8AAAAAAAAAAQAgAAAAIgAAAGRycy9kb3ducmV2Lnht&#10;bFBLAQIUABQAAAAIAIdO4kCzULfW9QEAAOsDAAAOAAAAAAAAAAEAIAAAACsBAABkcnMvZTJvRG9j&#10;LnhtbFBLBQYAAAAABgAGAFkBAACSBQAAAAA=&#10;">
                      <v:fill on="f" focussize="0,0"/>
                      <v:stroke color="#FF0000" joinstyle="round"/>
                      <v:imagedata o:title=""/>
                      <o:lock v:ext="edit" aspectratio="f"/>
                    </v:lin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65408" behindDoc="0" locked="0" layoutInCell="1" allowOverlap="1">
                      <wp:simplePos x="0" y="0"/>
                      <wp:positionH relativeFrom="column">
                        <wp:posOffset>1475740</wp:posOffset>
                      </wp:positionH>
                      <wp:positionV relativeFrom="paragraph">
                        <wp:posOffset>839470</wp:posOffset>
                      </wp:positionV>
                      <wp:extent cx="635" cy="228600"/>
                      <wp:effectExtent l="4445" t="0" r="13970" b="0"/>
                      <wp:wrapNone/>
                      <wp:docPr id="7" name="直线 222"/>
                      <wp:cNvGraphicFramePr/>
                      <a:graphic xmlns:a="http://schemas.openxmlformats.org/drawingml/2006/main">
                        <a:graphicData uri="http://schemas.microsoft.com/office/word/2010/wordprocessingShape">
                          <wps:wsp>
                            <wps:cNvCnPr/>
                            <wps:spPr>
                              <a:xfrm>
                                <a:off x="0" y="0"/>
                                <a:ext cx="635" cy="2286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22" o:spid="_x0000_s1026" o:spt="20" style="position:absolute;left:0pt;margin-left:116.2pt;margin-top:66.1pt;height:18pt;width:0.05pt;z-index:251665408;mso-width-relative:page;mso-height-relative:page;" filled="f" stroked="t" coordsize="21600,21600" o:gfxdata="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mA&#10;YMDXAAAACwEAAA8AAAAAAAAAAQAgAAAAIgAAAGRycy9kb3ducmV2LnhtbFBLAQIUABQAAAAIAIdO&#10;4kDHMDDT6wEAAN4DAAAOAAAAAAAAAAEAIAAAACYBAABkcnMvZTJvRG9jLnhtbFBLBQYAAAAABgAG&#10;AFkBAACDBQAAAAA=&#10;">
                      <v:fill on="f" focussize="0,0"/>
                      <v:stroke color="#000000" joinstyle="round"/>
                      <v:imagedata o:title=""/>
                      <o:lock v:ext="edit" aspectratio="f"/>
                    </v:line>
                  </w:pict>
                </mc:Fallback>
              </mc:AlternateContent>
            </w:r>
            <w:r>
              <w:rPr>
                <w:rFonts w:hint="default" w:ascii="Times New Roman" w:hAnsi="Times New Roman" w:eastAsia="宋体" w:cs="Times New Roman"/>
                <w:b/>
                <w:color w:val="auto"/>
                <w:highlight w:val="none"/>
              </w:rPr>
              <w:drawing>
                <wp:inline distT="0" distB="0" distL="114300" distR="114300">
                  <wp:extent cx="4702175" cy="6445250"/>
                  <wp:effectExtent l="0" t="0" r="3175" b="12700"/>
                  <wp:docPr id="64" name="图片 416" descr="ScreenShot_2026-06-01_112735_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16" descr="ScreenShot_2026-06-01_112735_928"/>
                          <pic:cNvPicPr>
                            <a:picLocks noChangeAspect="1"/>
                          </pic:cNvPicPr>
                        </pic:nvPicPr>
                        <pic:blipFill>
                          <a:blip r:embed="rId14"/>
                          <a:stretch>
                            <a:fillRect/>
                          </a:stretch>
                        </pic:blipFill>
                        <pic:spPr>
                          <a:xfrm>
                            <a:off x="0" y="0"/>
                            <a:ext cx="4702175" cy="6445250"/>
                          </a:xfrm>
                          <a:prstGeom prst="rect">
                            <a:avLst/>
                          </a:prstGeom>
                          <a:noFill/>
                          <a:ln>
                            <a:noFill/>
                          </a:ln>
                        </pic:spPr>
                      </pic:pic>
                    </a:graphicData>
                  </a:graphic>
                </wp:inline>
              </w:drawing>
            </w:r>
          </w:p>
          <w:p w14:paraId="00305A6F">
            <w:pPr>
              <w:pStyle w:val="84"/>
              <w:ind w:firstLine="48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图1</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 xml:space="preserve">5  </w:t>
            </w:r>
            <w:r>
              <w:rPr>
                <w:rFonts w:hint="default" w:ascii="Times New Roman" w:hAnsi="Times New Roman" w:eastAsia="宋体" w:cs="Times New Roman"/>
                <w:b/>
                <w:color w:val="auto"/>
                <w:sz w:val="21"/>
                <w:szCs w:val="21"/>
                <w:highlight w:val="none"/>
                <w:lang w:val="en-US" w:eastAsia="zh-CN"/>
              </w:rPr>
              <w:t>绥化</w:t>
            </w:r>
            <w:r>
              <w:rPr>
                <w:rFonts w:hint="default" w:ascii="Times New Roman" w:hAnsi="Times New Roman" w:eastAsia="宋体" w:cs="Times New Roman"/>
                <w:b/>
                <w:color w:val="auto"/>
                <w:sz w:val="21"/>
                <w:szCs w:val="21"/>
                <w:highlight w:val="none"/>
              </w:rPr>
              <w:t>市</w:t>
            </w:r>
            <w:r>
              <w:rPr>
                <w:rFonts w:hint="default" w:ascii="Times New Roman" w:hAnsi="Times New Roman" w:eastAsia="宋体" w:cs="Times New Roman"/>
                <w:b/>
                <w:color w:val="auto"/>
                <w:sz w:val="21"/>
                <w:szCs w:val="21"/>
                <w:highlight w:val="none"/>
                <w:lang w:val="en-US" w:eastAsia="zh-CN"/>
              </w:rPr>
              <w:t>土壤侵蚀强度分布</w:t>
            </w:r>
            <w:r>
              <w:rPr>
                <w:rFonts w:hint="default" w:ascii="Times New Roman" w:hAnsi="Times New Roman" w:eastAsia="宋体" w:cs="Times New Roman"/>
                <w:b/>
                <w:color w:val="auto"/>
                <w:sz w:val="21"/>
                <w:szCs w:val="21"/>
                <w:highlight w:val="none"/>
              </w:rPr>
              <w:t>图</w:t>
            </w:r>
          </w:p>
          <w:p w14:paraId="2E24127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本工程的建设任务是防洪</w:t>
            </w:r>
            <w:r>
              <w:rPr>
                <w:rFonts w:hint="default" w:ascii="Times New Roman" w:hAnsi="Times New Roman" w:eastAsia="宋体" w:cs="Times New Roman"/>
                <w:color w:val="auto"/>
                <w:highlight w:val="none"/>
                <w:lang w:val="en-US" w:eastAsia="zh-CN"/>
              </w:rPr>
              <w:t>治理</w:t>
            </w:r>
            <w:r>
              <w:rPr>
                <w:rFonts w:hint="default" w:ascii="Times New Roman" w:hAnsi="Times New Roman" w:eastAsia="宋体" w:cs="Times New Roman"/>
                <w:color w:val="auto"/>
                <w:highlight w:val="none"/>
              </w:rPr>
              <w:t>，施工期通过采取相应的水土保持措施，防治水土流失，施工结束后恢复原地类。因此，本工程的建设与《</w:t>
            </w:r>
            <w:r>
              <w:rPr>
                <w:rFonts w:hint="default" w:ascii="Times New Roman" w:hAnsi="Times New Roman" w:eastAsia="宋体" w:cs="Times New Roman"/>
                <w:color w:val="auto"/>
                <w:highlight w:val="none"/>
                <w:lang w:val="en-US" w:eastAsia="zh-CN"/>
              </w:rPr>
              <w:t>绥化</w:t>
            </w:r>
            <w:r>
              <w:rPr>
                <w:rFonts w:hint="default" w:ascii="Times New Roman" w:hAnsi="Times New Roman" w:eastAsia="宋体" w:cs="Times New Roman"/>
                <w:color w:val="auto"/>
                <w:highlight w:val="none"/>
              </w:rPr>
              <w:t>市水土保持规划（2019</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2030年）》相符合。</w:t>
            </w:r>
          </w:p>
          <w:p w14:paraId="358B75A4">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7、与产业政策符合性分析</w:t>
            </w:r>
          </w:p>
          <w:p w14:paraId="0C14638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根据《产业结构调整指导目录</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2024年本</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二、水利3、防洪提升工程</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江河湖海堤防建设及河道治理工程，江河湖库清淤疏浚工程</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，为鼓励类项目，符合国家产业政策要求。</w:t>
            </w:r>
          </w:p>
          <w:p w14:paraId="4ED6E25D">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8、与《自然资源部关于规范临时用地管理的通知》（自然资规〔2021〕2号）符合性分析</w:t>
            </w:r>
          </w:p>
          <w:p w14:paraId="40A91A35">
            <w:pPr>
              <w:pStyle w:val="84"/>
              <w:widowControl/>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lang w:val="en-US" w:eastAsia="zh-CN"/>
              </w:rPr>
              <w:t xml:space="preserve">4  </w:t>
            </w:r>
            <w:r>
              <w:rPr>
                <w:rFonts w:hint="default" w:ascii="Times New Roman" w:hAnsi="Times New Roman" w:eastAsia="宋体" w:cs="Times New Roman"/>
                <w:b/>
                <w:bCs/>
                <w:color w:val="auto"/>
                <w:sz w:val="21"/>
                <w:szCs w:val="21"/>
                <w:highlight w:val="none"/>
              </w:rPr>
              <w:t>与自然资规〔2021〕2号）符合性分析</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79"/>
              <w:gridCol w:w="3887"/>
            </w:tblGrid>
            <w:tr w14:paraId="4E1870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69" w:type="dxa"/>
                  <w:tcBorders>
                    <w:top w:val="single" w:color="auto" w:sz="12" w:space="0"/>
                    <w:left w:val="nil"/>
                    <w:bottom w:val="single" w:color="auto" w:sz="4" w:space="0"/>
                    <w:right w:val="single" w:color="auto" w:sz="4" w:space="0"/>
                  </w:tcBorders>
                  <w:noWrap w:val="0"/>
                  <w:vAlign w:val="center"/>
                </w:tcPr>
                <w:p w14:paraId="709E7760">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相关内容</w:t>
                  </w:r>
                </w:p>
              </w:tc>
              <w:tc>
                <w:tcPr>
                  <w:tcW w:w="3973" w:type="dxa"/>
                  <w:tcBorders>
                    <w:top w:val="single" w:color="auto" w:sz="12" w:space="0"/>
                    <w:left w:val="nil"/>
                    <w:bottom w:val="single" w:color="auto" w:sz="4" w:space="0"/>
                    <w:right w:val="nil"/>
                  </w:tcBorders>
                  <w:noWrap w:val="0"/>
                  <w:vAlign w:val="center"/>
                </w:tcPr>
                <w:p w14:paraId="1BA92677">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符合性分析</w:t>
                  </w:r>
                </w:p>
              </w:tc>
            </w:tr>
            <w:tr w14:paraId="06959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69" w:type="dxa"/>
                  <w:tcBorders>
                    <w:top w:val="single" w:color="auto" w:sz="4" w:space="0"/>
                    <w:left w:val="nil"/>
                    <w:bottom w:val="single" w:color="auto" w:sz="4" w:space="0"/>
                    <w:right w:val="single" w:color="auto" w:sz="4" w:space="0"/>
                  </w:tcBorders>
                  <w:noWrap w:val="0"/>
                  <w:vAlign w:val="top"/>
                </w:tcPr>
                <w:p w14:paraId="7652FED5">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建设项目施工、地质勘查使用临时用地时应坚持</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用多少、批多少、占多少、恢复多少</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，尽量不占或者少占耕地。使用后土地复垦难度较大的临时用地，要严格控制占用耕地。</w:t>
                  </w:r>
                </w:p>
              </w:tc>
              <w:tc>
                <w:tcPr>
                  <w:tcW w:w="3973" w:type="dxa"/>
                  <w:tcBorders>
                    <w:top w:val="single" w:color="auto" w:sz="4" w:space="0"/>
                    <w:left w:val="nil"/>
                    <w:bottom w:val="single" w:color="auto" w:sz="4" w:space="0"/>
                    <w:right w:val="nil"/>
                  </w:tcBorders>
                  <w:noWrap w:val="0"/>
                  <w:vAlign w:val="top"/>
                </w:tcPr>
                <w:p w14:paraId="14195620">
                  <w:pPr>
                    <w:keepNext w:val="0"/>
                    <w:keepLines w:val="0"/>
                    <w:pageBreakBefore w:val="0"/>
                    <w:widowControl w:val="0"/>
                    <w:kinsoku/>
                    <w:wordWrap/>
                    <w:overflowPunct/>
                    <w:topLinePunct w:val="0"/>
                    <w:autoSpaceDE/>
                    <w:autoSpaceDN/>
                    <w:bidi w:val="0"/>
                    <w:adjustRightInd w:val="0"/>
                    <w:snapToGrid w:val="0"/>
                    <w:spacing w:line="240" w:lineRule="exact"/>
                    <w:ind w:right="0" w:rightChars="0" w:firstLine="420" w:firstLineChars="20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本项目本着不占或少占耕地的原则，</w:t>
                  </w:r>
                  <w:r>
                    <w:rPr>
                      <w:rFonts w:hint="default" w:ascii="Times New Roman" w:hAnsi="Times New Roman" w:eastAsia="宋体" w:cs="Times New Roman"/>
                      <w:color w:val="auto"/>
                      <w:sz w:val="21"/>
                      <w:szCs w:val="21"/>
                      <w:highlight w:val="none"/>
                      <w:lang w:val="en-US" w:eastAsia="zh-CN"/>
                    </w:rPr>
                    <w:t>本项目永久占用耕地290.85亩；临时占用耕地263.55亩，在施工前进行表土剥离，在施工结束后进行表土回填并进行土地复垦，恢复耕地</w:t>
                  </w:r>
                  <w:r>
                    <w:rPr>
                      <w:rFonts w:hint="default" w:ascii="Times New Roman" w:hAnsi="Times New Roman" w:cs="Times New Roman"/>
                      <w:color w:val="auto"/>
                      <w:sz w:val="21"/>
                      <w:szCs w:val="21"/>
                      <w:highlight w:val="none"/>
                      <w:lang w:val="en-US" w:eastAsia="zh-CN"/>
                    </w:rPr>
                    <w:t>。</w:t>
                  </w:r>
                </w:p>
                <w:p w14:paraId="6C41CECB">
                  <w:pPr>
                    <w:pStyle w:val="89"/>
                    <w:widowControl/>
                    <w:rPr>
                      <w:rFonts w:hint="default" w:ascii="Times New Roman" w:hAnsi="Times New Roman" w:eastAsia="宋体" w:cs="Times New Roman"/>
                      <w:color w:val="auto"/>
                      <w:highlight w:val="none"/>
                    </w:rPr>
                  </w:pPr>
                </w:p>
              </w:tc>
            </w:tr>
            <w:tr w14:paraId="2714D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69" w:type="dxa"/>
                  <w:tcBorders>
                    <w:top w:val="single" w:color="auto" w:sz="4" w:space="0"/>
                    <w:left w:val="nil"/>
                    <w:bottom w:val="single" w:color="auto" w:sz="4" w:space="0"/>
                    <w:right w:val="single" w:color="auto" w:sz="4" w:space="0"/>
                  </w:tcBorders>
                  <w:noWrap w:val="0"/>
                  <w:vAlign w:val="top"/>
                </w:tcPr>
                <w:p w14:paraId="79058049">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制梁场、</w:t>
                  </w:r>
                  <w:r>
                    <w:rPr>
                      <w:rFonts w:hint="default" w:ascii="Times New Roman" w:hAnsi="Times New Roman" w:cs="Times New Roman"/>
                      <w:color w:val="auto"/>
                      <w:highlight w:val="none"/>
                      <w:lang w:eastAsia="zh-CN"/>
                    </w:rPr>
                    <w:t>拌和站</w:t>
                  </w:r>
                  <w:r>
                    <w:rPr>
                      <w:rFonts w:hint="default" w:ascii="Times New Roman" w:hAnsi="Times New Roman" w:eastAsia="宋体" w:cs="Times New Roman"/>
                      <w:color w:val="auto"/>
                      <w:highlight w:val="none"/>
                    </w:rPr>
                    <w:t>等难以恢复原种植条件的不得以临时用地方式占用耕地和永久基本农田，可以建设用地方式或者临时占用未利用地方式使用土地。</w:t>
                  </w:r>
                </w:p>
              </w:tc>
              <w:tc>
                <w:tcPr>
                  <w:tcW w:w="3973" w:type="dxa"/>
                  <w:tcBorders>
                    <w:top w:val="single" w:color="auto" w:sz="4" w:space="0"/>
                    <w:left w:val="nil"/>
                    <w:bottom w:val="single" w:color="auto" w:sz="4" w:space="0"/>
                    <w:right w:val="nil"/>
                  </w:tcBorders>
                  <w:noWrap w:val="0"/>
                  <w:vAlign w:val="top"/>
                </w:tcPr>
                <w:p w14:paraId="3D17AB70">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本项目无制梁场</w:t>
                  </w: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eastAsia="zh-CN"/>
                    </w:rPr>
                    <w:t>拌和站</w:t>
                  </w:r>
                  <w:r>
                    <w:rPr>
                      <w:rFonts w:hint="default" w:ascii="Times New Roman" w:hAnsi="Times New Roman" w:eastAsia="宋体" w:cs="Times New Roman"/>
                      <w:color w:val="auto"/>
                      <w:highlight w:val="none"/>
                      <w:lang w:val="en-US" w:eastAsia="zh-CN"/>
                    </w:rPr>
                    <w:t>位于生产生活区，占地面积9000平方米。生产生活区临时占用耕地13.50亩，不占用基本农田，施工结束后通过土地复垦恢复原地类（耕地），不存在难以恢复种植条件的情况，因此临时占用耕地建设</w:t>
                  </w:r>
                  <w:r>
                    <w:rPr>
                      <w:rFonts w:hint="default" w:ascii="Times New Roman" w:hAnsi="Times New Roman" w:cs="Times New Roman"/>
                      <w:color w:val="auto"/>
                      <w:highlight w:val="none"/>
                      <w:lang w:val="en-US" w:eastAsia="zh-CN"/>
                    </w:rPr>
                    <w:t>拌和站</w:t>
                  </w:r>
                  <w:r>
                    <w:rPr>
                      <w:rFonts w:hint="default" w:ascii="Times New Roman" w:hAnsi="Times New Roman" w:eastAsia="宋体" w:cs="Times New Roman"/>
                      <w:color w:val="auto"/>
                      <w:highlight w:val="none"/>
                      <w:lang w:val="en-US" w:eastAsia="zh-CN"/>
                    </w:rPr>
                    <w:t>是可行的</w:t>
                  </w:r>
                  <w:r>
                    <w:rPr>
                      <w:rFonts w:hint="default" w:ascii="Times New Roman" w:hAnsi="Times New Roman" w:eastAsia="宋体" w:cs="Times New Roman"/>
                      <w:color w:val="auto"/>
                      <w:highlight w:val="none"/>
                    </w:rPr>
                    <w:t>。</w:t>
                  </w:r>
                </w:p>
              </w:tc>
            </w:tr>
            <w:tr w14:paraId="49802D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69" w:type="dxa"/>
                  <w:tcBorders>
                    <w:top w:val="single" w:color="auto" w:sz="4" w:space="0"/>
                    <w:left w:val="nil"/>
                    <w:bottom w:val="single" w:color="auto" w:sz="4" w:space="0"/>
                    <w:right w:val="single" w:color="auto" w:sz="4" w:space="0"/>
                  </w:tcBorders>
                  <w:noWrap w:val="0"/>
                  <w:vAlign w:val="top"/>
                </w:tcPr>
                <w:p w14:paraId="6FEC670C">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临时用地使用期限一般不超过两年。建设周期较长的能源、交通、水利等基础设施建设项目施工使用的临时用地，期限不超过四年。</w:t>
                  </w:r>
                </w:p>
              </w:tc>
              <w:tc>
                <w:tcPr>
                  <w:tcW w:w="3973" w:type="dxa"/>
                  <w:tcBorders>
                    <w:top w:val="single" w:color="auto" w:sz="4" w:space="0"/>
                    <w:left w:val="nil"/>
                    <w:bottom w:val="single" w:color="auto" w:sz="4" w:space="0"/>
                    <w:right w:val="nil"/>
                  </w:tcBorders>
                  <w:noWrap w:val="0"/>
                  <w:vAlign w:val="top"/>
                </w:tcPr>
                <w:p w14:paraId="0438102A">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本项目建设期为</w:t>
                  </w:r>
                  <w:r>
                    <w:rPr>
                      <w:rFonts w:hint="default" w:ascii="Times New Roman" w:hAnsi="Times New Roman" w:eastAsia="宋体" w:cs="Times New Roman"/>
                      <w:color w:val="auto"/>
                      <w:highlight w:val="none"/>
                      <w:lang w:val="en-US" w:eastAsia="zh-CN"/>
                    </w:rPr>
                    <w:t>23</w:t>
                  </w:r>
                  <w:r>
                    <w:rPr>
                      <w:rFonts w:hint="default" w:ascii="Times New Roman" w:hAnsi="Times New Roman" w:eastAsia="宋体" w:cs="Times New Roman"/>
                      <w:color w:val="auto"/>
                      <w:highlight w:val="none"/>
                    </w:rPr>
                    <w:t>个月，未超过两年。</w:t>
                  </w:r>
                </w:p>
              </w:tc>
            </w:tr>
            <w:tr w14:paraId="3FE4B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69" w:type="dxa"/>
                  <w:tcBorders>
                    <w:top w:val="single" w:color="auto" w:sz="4" w:space="0"/>
                    <w:left w:val="nil"/>
                    <w:bottom w:val="single" w:color="auto" w:sz="4" w:space="0"/>
                    <w:right w:val="single" w:color="auto" w:sz="4" w:space="0"/>
                  </w:tcBorders>
                  <w:noWrap w:val="0"/>
                  <w:vAlign w:val="top"/>
                </w:tcPr>
                <w:p w14:paraId="310431E1">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临时用地使用人应当自临时用地期满之日起一年内完成土地复垦，因气候、灾害等不可抗力因素影响复垦的，经批准可以适当延长复垦期限。</w:t>
                  </w:r>
                </w:p>
              </w:tc>
              <w:tc>
                <w:tcPr>
                  <w:tcW w:w="3973" w:type="dxa"/>
                  <w:tcBorders>
                    <w:top w:val="single" w:color="auto" w:sz="4" w:space="0"/>
                    <w:left w:val="nil"/>
                    <w:bottom w:val="single" w:color="auto" w:sz="4" w:space="0"/>
                    <w:right w:val="nil"/>
                  </w:tcBorders>
                  <w:noWrap w:val="0"/>
                  <w:vAlign w:val="top"/>
                </w:tcPr>
                <w:p w14:paraId="1E8E8C39">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本次环评提出建设单位需在施工结束后一年内完成土地复垦。</w:t>
                  </w:r>
                </w:p>
              </w:tc>
            </w:tr>
            <w:tr w14:paraId="12661B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69" w:type="dxa"/>
                  <w:tcBorders>
                    <w:top w:val="single" w:color="auto" w:sz="4" w:space="0"/>
                    <w:left w:val="nil"/>
                    <w:bottom w:val="single" w:color="auto" w:sz="12" w:space="0"/>
                    <w:right w:val="single" w:color="auto" w:sz="4" w:space="0"/>
                  </w:tcBorders>
                  <w:noWrap w:val="0"/>
                  <w:vAlign w:val="top"/>
                </w:tcPr>
                <w:p w14:paraId="6B926196">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p>
              </w:tc>
              <w:tc>
                <w:tcPr>
                  <w:tcW w:w="3973" w:type="dxa"/>
                  <w:tcBorders>
                    <w:top w:val="single" w:color="auto" w:sz="4" w:space="0"/>
                    <w:left w:val="nil"/>
                    <w:bottom w:val="single" w:color="auto" w:sz="12" w:space="0"/>
                    <w:right w:val="nil"/>
                  </w:tcBorders>
                  <w:noWrap w:val="0"/>
                  <w:vAlign w:val="top"/>
                </w:tcPr>
                <w:p w14:paraId="55BDBE3C">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本次环评提出施工结束后拆除临时建（构）筑物，进行土地复垦。</w:t>
                  </w:r>
                </w:p>
              </w:tc>
            </w:tr>
          </w:tbl>
          <w:p w14:paraId="122A9A52">
            <w:pPr>
              <w:pStyle w:val="84"/>
              <w:rPr>
                <w:rFonts w:hint="default" w:ascii="Times New Roman" w:hAnsi="Times New Roman" w:eastAsia="宋体" w:cs="Times New Roman"/>
                <w:color w:val="auto"/>
                <w:highlight w:val="none"/>
              </w:rPr>
            </w:pPr>
            <w:r>
              <w:rPr>
                <w:rFonts w:hint="eastAsia" w:cs="Times New Roman"/>
                <w:color w:val="auto"/>
                <w:highlight w:val="none"/>
                <w:lang w:val="en-US" w:eastAsia="zh-CN"/>
              </w:rPr>
              <w:t>9</w:t>
            </w:r>
            <w:r>
              <w:rPr>
                <w:rFonts w:hint="default" w:ascii="Times New Roman" w:hAnsi="Times New Roman" w:eastAsia="宋体" w:cs="Times New Roman"/>
                <w:color w:val="auto"/>
                <w:highlight w:val="none"/>
              </w:rPr>
              <w:t>、与水环境功能区划、水功能区划符合性分析</w:t>
            </w:r>
          </w:p>
          <w:p w14:paraId="54B004F0">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本项目涉及的地表水体为</w:t>
            </w:r>
            <w:r>
              <w:rPr>
                <w:rFonts w:hint="default" w:ascii="Times New Roman" w:hAnsi="Times New Roman" w:eastAsia="宋体" w:cs="Times New Roman"/>
                <w:color w:val="auto"/>
                <w:highlight w:val="none"/>
                <w:lang w:val="en-US" w:eastAsia="zh-CN"/>
              </w:rPr>
              <w:t>欧根河</w:t>
            </w:r>
            <w:r>
              <w:rPr>
                <w:rFonts w:hint="default" w:ascii="Times New Roman" w:hAnsi="Times New Roman" w:eastAsia="宋体" w:cs="Times New Roman"/>
                <w:color w:val="auto"/>
                <w:highlight w:val="none"/>
              </w:rPr>
              <w:t>，属于</w:t>
            </w:r>
            <w:r>
              <w:rPr>
                <w:rFonts w:hint="default" w:ascii="Times New Roman" w:hAnsi="Times New Roman" w:eastAsia="宋体" w:cs="Times New Roman"/>
                <w:color w:val="auto"/>
                <w:highlight w:val="none"/>
                <w:lang w:val="en-US" w:eastAsia="zh-CN"/>
              </w:rPr>
              <w:t>呼兰河一级支流</w:t>
            </w:r>
            <w:r>
              <w:rPr>
                <w:rFonts w:hint="default" w:ascii="Times New Roman" w:hAnsi="Times New Roman" w:eastAsia="宋体" w:cs="Times New Roman"/>
                <w:color w:val="auto"/>
                <w:highlight w:val="none"/>
              </w:rPr>
              <w:t>，无水功能区划，</w:t>
            </w:r>
            <w:r>
              <w:rPr>
                <w:rFonts w:hint="default" w:ascii="Times New Roman" w:hAnsi="Times New Roman" w:eastAsia="宋体" w:cs="Times New Roman"/>
                <w:color w:val="auto"/>
                <w:highlight w:val="none"/>
                <w:lang w:val="en-US" w:eastAsia="zh-CN"/>
              </w:rPr>
              <w:t>根据《黑龙江省水环境生态补偿办法》（黑环发</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22号），距离最近的国考断面为呼兰河绥望桥断面，水质目标</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3 \* ROMAN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故执行</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3 \* ROMAN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类</w:t>
            </w:r>
            <w:r>
              <w:rPr>
                <w:rFonts w:hint="default" w:ascii="Times New Roman" w:hAnsi="Times New Roman" w:eastAsia="宋体" w:cs="Times New Roman"/>
                <w:color w:val="auto"/>
                <w:highlight w:val="none"/>
                <w:lang w:val="en-US" w:eastAsia="zh-CN"/>
              </w:rPr>
              <w:t>标准。</w:t>
            </w:r>
            <w:r>
              <w:rPr>
                <w:rFonts w:hint="default" w:ascii="Times New Roman" w:hAnsi="Times New Roman" w:eastAsia="宋体" w:cs="Times New Roman"/>
                <w:color w:val="auto"/>
                <w:highlight w:val="none"/>
              </w:rPr>
              <w:t>本项目施工期生活污水设置临时防渗厕所，定期清掏堆肥</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废水不外排，</w:t>
            </w:r>
            <w:r>
              <w:rPr>
                <w:rFonts w:hint="default" w:ascii="Times New Roman" w:hAnsi="Times New Roman" w:eastAsia="宋体" w:cs="Times New Roman"/>
                <w:color w:val="auto"/>
                <w:highlight w:val="none"/>
                <w:lang w:eastAsia="zh-CN"/>
              </w:rPr>
              <w:t>运行期</w:t>
            </w:r>
            <w:r>
              <w:rPr>
                <w:rFonts w:hint="default" w:ascii="Times New Roman" w:hAnsi="Times New Roman" w:eastAsia="宋体" w:cs="Times New Roman"/>
                <w:color w:val="auto"/>
                <w:highlight w:val="none"/>
              </w:rPr>
              <w:t>无废水排放。因此，不会对水功能区的水质类别造成不利影响。</w:t>
            </w:r>
          </w:p>
          <w:p w14:paraId="1F17E73A">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0</w:t>
            </w:r>
            <w:r>
              <w:rPr>
                <w:rFonts w:hint="default" w:ascii="Times New Roman" w:hAnsi="Times New Roman" w:eastAsia="宋体" w:cs="Times New Roman"/>
                <w:color w:val="auto"/>
                <w:highlight w:val="none"/>
              </w:rPr>
              <w:t>、与《松花江流域综合规划》符合性分析</w:t>
            </w:r>
          </w:p>
          <w:p w14:paraId="28E37D93">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（1）相关内容</w:t>
            </w:r>
          </w:p>
          <w:p w14:paraId="5880EDF8">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4、防洪减灾</w:t>
            </w:r>
          </w:p>
          <w:p w14:paraId="5A92388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规划遵循</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蓄泄兼筹，综合治理，突出重点</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的防洪方针，按照左右岸兼顾、上下游协调的原则，妥善安排防洪工程措施和非工程措施，既重视重点河段、重点城市防洪，也重视一般河段防洪及中小河流治理和山洪灾害防治，明确了松花江流域防洪减灾体系总体布局。</w:t>
            </w:r>
          </w:p>
          <w:p w14:paraId="6D784C42">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以保障防洪安全为目标，加强干流、支流和重点城市堤防的达标建设；新建一些具有防洪任务的水库，进行滞洪区安全建设，治理河道险工险段、扩孔改建阻水桥梁及河道清淤清障；完成病险水库除险加固、加大中小河流治理和山洪灾害防治力度；加强防洪非工程措施建设，进一步完善以堤防为基础，以控制性水利枢纽和流域蓄滞洪区为重点的防洪减灾体系。</w:t>
            </w:r>
          </w:p>
          <w:p w14:paraId="132FF954">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（2）符合性分析</w:t>
            </w:r>
          </w:p>
          <w:p w14:paraId="4069AAD1">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本项目新建堤防5段，长度为25.94k</w:t>
            </w: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；新建护岸15段，总长4.97k</w:t>
            </w: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；新建穿堤建筑物12座</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工程的建设任务是通过新建护岸工程，保障沿岸村屯及耕地防洪安全。护岸防洪标准为10年一遇，符合《松花江流域综合规划》中加大中小河流治理和山洪灾害防治力度的要求。</w:t>
            </w:r>
          </w:p>
          <w:p w14:paraId="22D970C4">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、与《松花江流域防洪规划》符合性分析</w:t>
            </w:r>
          </w:p>
          <w:p w14:paraId="29EAAF32">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（1）相关内容</w:t>
            </w:r>
          </w:p>
          <w:p w14:paraId="31D5CDD6">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规划目标</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使松花江流域形成比较完整的防洪减灾体系，干流各主要防洪保护区基本达到国家规定的防洪标准，干流其他防洪保护区和支流防洪保护区具有一定的防洪能力，一般城市防洪体系初步形成，水文基础设施条件得到进一步改善，洪水预警预报系统、防汛指挥系统基本建成，洪水预报调度更加科学可靠，防洪区管理更加规范，洪水风险意识显著增强，防洪区洪水保险制度实行，洪水风险社会化保障体系基本形成，生态环境逐步改善。在发生规划标准洪水时，该体系可以保障流域社会经济活动和人民生活的正常进行；发生大洪水时，通过工程和非工程防洪措施的联合运用，保障流域重要城市、重点防洪保护区的防洪安全；当发生特大洪水时，有预定的方案和切实的措施，保证经济社会活动不至于发生大的动荡及造成严重的灾难。</w:t>
            </w:r>
          </w:p>
          <w:p w14:paraId="70731ABF">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（2）符合性分析</w:t>
            </w:r>
          </w:p>
          <w:p w14:paraId="431FE4B9">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工程的建设任务是通过</w:t>
            </w:r>
            <w:r>
              <w:rPr>
                <w:rFonts w:hint="default" w:ascii="Times New Roman" w:hAnsi="Times New Roman" w:eastAsia="宋体" w:cs="Times New Roman"/>
                <w:color w:val="auto"/>
                <w:highlight w:val="none"/>
                <w:lang w:eastAsia="zh-CN"/>
              </w:rPr>
              <w:t>新建护岸、堤防和穿堤建筑物</w:t>
            </w:r>
            <w:r>
              <w:rPr>
                <w:rFonts w:hint="default" w:ascii="Times New Roman" w:hAnsi="Times New Roman" w:eastAsia="宋体" w:cs="Times New Roman"/>
                <w:color w:val="auto"/>
                <w:highlight w:val="none"/>
              </w:rPr>
              <w:t>，保障沿岸村屯及耕地防洪安全，护岸防洪标准为10年一遇，符合《松花江流域防洪规划》中</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使松花江流域形成比较完整的防洪减灾体系</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的规划目标要求。</w:t>
            </w:r>
          </w:p>
          <w:p w14:paraId="59DA6900">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2</w:t>
            </w:r>
            <w:r>
              <w:rPr>
                <w:rFonts w:hint="default" w:ascii="Times New Roman" w:hAnsi="Times New Roman" w:eastAsia="宋体" w:cs="Times New Roman"/>
                <w:color w:val="auto"/>
                <w:highlight w:val="none"/>
              </w:rPr>
              <w:t>、与黑龙江省人民政府办公厅《关于建设占用耕地耕作层土壤剥离利用工作的指导意见（试行）》符合性分析</w:t>
            </w:r>
          </w:p>
          <w:p w14:paraId="22C204F3">
            <w:pPr>
              <w:pStyle w:val="84"/>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《关于建设占用耕地耕作层土壤剥离利用工作的指导意见（试行）》提出</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单独选址项目及其他需要剥离的项目，应在开工建设前按照剥离利用方案要求实施耕作层土壤剥离，并将剥离土壤存储在指定地点或直接输送到再利用场所。耕作层土壤剥离及运输过程中，应采取水土保持和扬尘防治措施，防止土壤和环境污染。土壤存储点的选取应遵循就近存储、易于存放、专人管理的原则，尽量利用废弃土地、闲置建设用地和未利用地，避让永久基本农田和生态保护红线、水源地等敏感区域。土壤存储要采取必要的工程防护和保育措施，防止出现水土流失、土壤质量退化和安全隐患。</w:t>
            </w:r>
            <w:r>
              <w:rPr>
                <w:rFonts w:hint="default" w:ascii="Times New Roman" w:hAnsi="Times New Roman" w:cs="Times New Roman"/>
                <w:color w:val="auto"/>
                <w:highlight w:val="none"/>
                <w:lang w:eastAsia="zh-CN"/>
              </w:rPr>
              <w:t>"</w:t>
            </w:r>
          </w:p>
          <w:p w14:paraId="2FF5DC53">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新增永久征收土地面积为875.63亩，其中耕地290.85亩（其中旱地147.09亩，水田143.75亩）、林地172.36亩（其中乔木林地70.45亩，灌木林地71.66亩，其他林地30.25亩）、草地44.74亩（其中沼泽草地16.91亩，其他草地27.83亩）、住宅用地0.47亩（其中农村宅基地0.47亩）、交通运输用地15.68亩（农村道路15.68亩）、水域及水利设施用地319.15亩（其中河流水面54.76亩，坑塘水面205.60亩，养殖坑塘0.97亩，内陆滩涂6.01亩，沟渠51.80亩）、其他土地32.39亩（设施农用地32.39亩）。本工程不涉及占用永久基本农田</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工程建设新增临时征用土地面积983.55亩，其中临时占用耕地263.55亩，水利及水域设施用地720亩。未占用基本农田。</w:t>
            </w:r>
          </w:p>
          <w:p w14:paraId="1C85171B">
            <w:pPr>
              <w:pStyle w:val="84"/>
              <w:rPr>
                <w:rFonts w:hint="default" w:ascii="Times New Roman" w:hAnsi="Times New Roman" w:eastAsia="宋体" w:cs="Times New Roman"/>
                <w:color w:val="auto"/>
                <w:highlight w:val="none"/>
              </w:rPr>
            </w:pPr>
            <w:r>
              <w:rPr>
                <w:rFonts w:hint="default" w:ascii="Times New Roman" w:hAnsi="Times New Roman" w:cs="Times New Roman"/>
                <w:highlight w:val="none"/>
                <w:lang w:val="en-US" w:eastAsia="zh-CN"/>
              </w:rPr>
              <w:t>根据</w:t>
            </w:r>
            <w:r>
              <w:rPr>
                <w:rFonts w:hint="eastAsia" w:cs="Times New Roman"/>
                <w:highlight w:val="none"/>
                <w:lang w:val="en-US" w:eastAsia="zh-CN"/>
              </w:rPr>
              <w:t>黑</w:t>
            </w:r>
            <w:r>
              <w:rPr>
                <w:rFonts w:hint="default" w:ascii="Times New Roman" w:hAnsi="Times New Roman" w:cs="Times New Roman"/>
                <w:highlight w:val="none"/>
                <w:lang w:val="en-US" w:eastAsia="zh-CN"/>
              </w:rPr>
              <w:t>龙江省庆安县欧根河治理工程初步设计报告中提出的</w:t>
            </w:r>
            <w:r>
              <w:rPr>
                <w:rFonts w:hint="default" w:ascii="Times New Roman" w:hAnsi="Times New Roman" w:eastAsia="宋体" w:cs="Times New Roman"/>
                <w:color w:val="auto"/>
                <w:highlight w:val="none"/>
              </w:rPr>
              <w:t>在施工前对占用耕地进行表土剥离，剥离厚度为</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0c</w:t>
            </w: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剥离表土就近堆置在各防治分区内，为防止表土堆置期间产生水土流失，对坡面外表面采取密目网覆盖，坡脚压盖编织袋土埂。因此，本项目符合《关于建设占用耕地耕作层土壤剥离利用工作的指导意见（试行）》。</w:t>
            </w:r>
          </w:p>
          <w:p w14:paraId="0B891141">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3</w:t>
            </w:r>
            <w:r>
              <w:rPr>
                <w:rFonts w:hint="default" w:ascii="Times New Roman" w:hAnsi="Times New Roman" w:eastAsia="宋体" w:cs="Times New Roman"/>
                <w:color w:val="auto"/>
                <w:highlight w:val="none"/>
              </w:rPr>
              <w:t>、与《中华人民共和国黑土地保护法》（2022年8月实施）、《中共中央、国务院关于加强耕地保护和改进占补平衡的意见》（2017年1月）、《黑龙江省黑土地保护利用条例》、黑龙江省地方标准《建设占用耕地耕作层土壤剥离利用技术规范</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DB23/T2913</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2021</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》、自然资源部办公厅关于进一步加强黑土耕地保护的通知》的符合性分析</w:t>
            </w:r>
          </w:p>
          <w:p w14:paraId="34AEC66B">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《中华人民共和国黑土地保护法》及《黑龙江省黑土地保护利用条例》要求</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建设项目不得占用黑土地；确需占用的，应当依法严格审批，并补充数量和质量相当的耕地。</w:t>
            </w:r>
          </w:p>
          <w:p w14:paraId="072DDD1F">
            <w:pPr>
              <w:pStyle w:val="84"/>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建设项目占用黑土地的，应当按照规定的标准对耕作层的土壤进行剥离。剥离的黑土应当就近用于新开垦耕地和劣质耕地改良、被污染耕地的治理、高标准农田建设、土地复垦等。建设项目主体应当制定剥离黑土的再利用方案，报自然资源主管部门备案。具体办法由四省区人民政府分别制定。</w:t>
            </w:r>
            <w:r>
              <w:rPr>
                <w:rFonts w:hint="default" w:ascii="Times New Roman" w:hAnsi="Times New Roman" w:cs="Times New Roman"/>
                <w:color w:val="auto"/>
                <w:highlight w:val="none"/>
                <w:lang w:eastAsia="zh-CN"/>
              </w:rPr>
              <w:t>"</w:t>
            </w:r>
          </w:p>
          <w:p w14:paraId="77DB01E0">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本项目为防洪除涝工程，临时占用耕地，是为了保护黑土地不再为河道冲蚀而变成水毁面积；本项目已经过水利部门批复，项目完工均进行土地复垦，与上述法律要求相符。</w:t>
            </w:r>
          </w:p>
          <w:p w14:paraId="3D41422F">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本项目永久占用耕地290.85亩；临时占用耕地263.55亩，</w:t>
            </w:r>
            <w:r>
              <w:rPr>
                <w:rFonts w:hint="default" w:ascii="Times New Roman" w:hAnsi="Times New Roman" w:eastAsia="宋体" w:cs="Times New Roman"/>
                <w:color w:val="auto"/>
                <w:highlight w:val="none"/>
              </w:rPr>
              <w:t>根据黑土地保护相关法律、法规、规范及政府职能部门下发相关规章、文件精神，本次工程建设占用</w:t>
            </w:r>
            <w:r>
              <w:rPr>
                <w:rFonts w:hint="default" w:ascii="Times New Roman" w:hAnsi="Times New Roman" w:eastAsia="宋体" w:cs="Times New Roman"/>
                <w:color w:val="auto"/>
                <w:highlight w:val="none"/>
                <w:lang w:val="en-US" w:eastAsia="zh-CN"/>
              </w:rPr>
              <w:t>正</w:t>
            </w:r>
            <w:r>
              <w:rPr>
                <w:rFonts w:hint="default" w:ascii="Times New Roman" w:hAnsi="Times New Roman" w:eastAsia="宋体" w:cs="Times New Roman"/>
                <w:color w:val="auto"/>
                <w:highlight w:val="none"/>
              </w:rPr>
              <w:t>由建设单位编制耕地表土剥离实施方案，建设占用耕地表土剥离利用实施方案的编制应严格依据中华人民共和国土地管理行业标准《耕作层土壤剥离利用技术规范》（TD/T1048</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2016）、黑龙江省地方标准《建设占用耕地耕作层土壤剥离利用技术规范》</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DB23/T2913</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2021</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的要求进行编制。应包括项目概况、编制依据、表土剥离技术方法、表土存储地点、表土运输、剥离表土验收、投资估算、实施计划、保障措施、相关影像资料等。</w:t>
            </w:r>
          </w:p>
          <w:p w14:paraId="4E5C5816">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表土剥离实施方案由</w:t>
            </w:r>
            <w:r>
              <w:rPr>
                <w:rFonts w:hint="default" w:ascii="Times New Roman" w:hAnsi="Times New Roman" w:eastAsia="宋体" w:cs="Times New Roman"/>
                <w:color w:val="auto"/>
                <w:highlight w:val="none"/>
                <w:lang w:val="en-US" w:eastAsia="zh-CN"/>
              </w:rPr>
              <w:t>绥化</w:t>
            </w:r>
            <w:r>
              <w:rPr>
                <w:rFonts w:hint="default" w:ascii="Times New Roman" w:hAnsi="Times New Roman" w:eastAsia="宋体" w:cs="Times New Roman"/>
                <w:color w:val="auto"/>
                <w:highlight w:val="none"/>
              </w:rPr>
              <w:t>市自然资源部门会同农业农村部门组织相关专家进行审查论证。实施方案通过专家审查论证后，市自然资源部门会同农业农村部门予以备案并发放备案凭证，本项目实施主体即</w:t>
            </w:r>
            <w:r>
              <w:rPr>
                <w:rFonts w:hint="default" w:ascii="Times New Roman" w:hAnsi="Times New Roman" w:eastAsia="宋体" w:cs="Times New Roman"/>
                <w:color w:val="auto"/>
                <w:highlight w:val="none"/>
                <w:lang w:eastAsia="zh-CN"/>
              </w:rPr>
              <w:t>庆安县中小型水利工程建设管理中心</w:t>
            </w:r>
            <w:r>
              <w:rPr>
                <w:rFonts w:hint="default" w:ascii="Times New Roman" w:hAnsi="Times New Roman" w:eastAsia="宋体" w:cs="Times New Roman"/>
                <w:color w:val="auto"/>
                <w:highlight w:val="none"/>
              </w:rPr>
              <w:t>持备案凭证方可实施表土剥离、运输、存储和利用。</w:t>
            </w:r>
          </w:p>
          <w:p w14:paraId="42CE5B18">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剥离土壤存储地点的选取应遵循就近存储、易于存放、专人管理的原则，应综合考虑运距、利用成本及对周边环境的影响等因素，尽量利用闲置建设用地和未利用地，避让永久基本农田和生态保护红线、水源地等重点区域。</w:t>
            </w:r>
          </w:p>
          <w:p w14:paraId="2EDC322E">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土壤存储地点经所在乡（镇）村选取，经</w:t>
            </w:r>
            <w:r>
              <w:rPr>
                <w:rFonts w:hint="default" w:ascii="Times New Roman" w:hAnsi="Times New Roman" w:eastAsia="宋体" w:cs="Times New Roman"/>
                <w:color w:val="auto"/>
                <w:highlight w:val="none"/>
                <w:lang w:eastAsia="zh-CN"/>
              </w:rPr>
              <w:t>绥化市</w:t>
            </w:r>
            <w:r>
              <w:rPr>
                <w:rFonts w:hint="default" w:ascii="Times New Roman" w:hAnsi="Times New Roman" w:eastAsia="宋体" w:cs="Times New Roman"/>
                <w:color w:val="auto"/>
                <w:highlight w:val="none"/>
              </w:rPr>
              <w:t>自然资源、农业农村部门审核，在取得同意后方可使用。因工程原因确需自行存放的，存放场地内容一并纳入耕地耕作层土壤剥离利用方案。</w:t>
            </w:r>
          </w:p>
          <w:p w14:paraId="058D282D">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土壤存储应按照相关技术规范采取必要的工程防护和土壤养护措施，防止出现水土流失、土壤质量退化和安全隐患。实施主体即</w:t>
            </w:r>
            <w:r>
              <w:rPr>
                <w:rFonts w:hint="default" w:ascii="Times New Roman" w:hAnsi="Times New Roman" w:eastAsia="宋体" w:cs="Times New Roman"/>
                <w:color w:val="auto"/>
                <w:highlight w:val="none"/>
                <w:lang w:eastAsia="zh-CN"/>
              </w:rPr>
              <w:t>庆安县中小型水利工程建设管理中心</w:t>
            </w:r>
            <w:r>
              <w:rPr>
                <w:rFonts w:hint="default" w:ascii="Times New Roman" w:hAnsi="Times New Roman" w:eastAsia="宋体" w:cs="Times New Roman"/>
                <w:color w:val="auto"/>
                <w:highlight w:val="none"/>
              </w:rPr>
              <w:t>对存储土壤承担管护责任。</w:t>
            </w:r>
          </w:p>
          <w:p w14:paraId="77ED8A7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表土剥离实施完毕后，实施主体即</w:t>
            </w:r>
            <w:r>
              <w:rPr>
                <w:rFonts w:hint="default" w:ascii="Times New Roman" w:hAnsi="Times New Roman" w:eastAsia="宋体" w:cs="Times New Roman"/>
                <w:color w:val="auto"/>
                <w:highlight w:val="none"/>
                <w:lang w:eastAsia="zh-CN"/>
              </w:rPr>
              <w:t>庆安县中小型水利工程建设管理中心</w:t>
            </w:r>
            <w:r>
              <w:rPr>
                <w:rFonts w:hint="default" w:ascii="Times New Roman" w:hAnsi="Times New Roman" w:eastAsia="宋体" w:cs="Times New Roman"/>
                <w:color w:val="auto"/>
                <w:highlight w:val="none"/>
              </w:rPr>
              <w:t>应及时提出验收申请，分段实施的项目，可以分段申请验收。由市自然资源部门会同农业农村部门组织验收。对验收不合格的，要求实施单位立即进行整改，待验收合格后，方可实施土地供应和开工建设。</w:t>
            </w:r>
          </w:p>
          <w:p w14:paraId="0BA345F9">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剥离土壤的利用应综合考虑存储、管护、运输等因素，做到剥离和利用紧密衔接。尽量做到</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即剥即用</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就近利用</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主体工程区剥离的表土堆置在主体工程范围内，</w:t>
            </w:r>
            <w:r>
              <w:rPr>
                <w:rFonts w:hint="default" w:ascii="Times New Roman" w:hAnsi="Times New Roman" w:eastAsia="宋体" w:cs="Times New Roman"/>
                <w:color w:val="auto"/>
                <w:highlight w:val="none"/>
              </w:rPr>
              <w:t>施工生产生活区剥离的表土堆置在施工生产生活区内一侧，表土堆置不新增临时占地</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堆置期间加强防护，坡脚用编织袋填筑土埂压盖并拦挡，表面密目网覆盖，避免施工期间水土流失。</w:t>
            </w:r>
            <w:r>
              <w:rPr>
                <w:rFonts w:hint="default" w:ascii="Times New Roman" w:hAnsi="Times New Roman" w:eastAsia="宋体" w:cs="Times New Roman"/>
                <w:color w:val="auto"/>
                <w:highlight w:val="none"/>
              </w:rPr>
              <w:t>剥离土壤要按照经批准的表土剥离实施方案予以优先用于本项目护岸工程的绿化带建设，同时要按照表土剥离实施方案用于土地整治、高标准农田建设、土地复垦、生态修复等项目，以及新开垦耕地、劣质地或者受污染耕地的风险管控和修复、苗床苗圃用土、其他耕地土壤改良等农业生产生活。</w:t>
            </w:r>
          </w:p>
          <w:p w14:paraId="2EA650DB">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4</w:t>
            </w:r>
            <w:r>
              <w:rPr>
                <w:rFonts w:hint="default" w:ascii="Times New Roman" w:hAnsi="Times New Roman" w:eastAsia="宋体" w:cs="Times New Roman"/>
                <w:color w:val="auto"/>
                <w:highlight w:val="none"/>
              </w:rPr>
              <w:t>、与《黑龙江省耕地保护条例》符合性分析</w:t>
            </w:r>
          </w:p>
          <w:p w14:paraId="2900BD9C">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（1）相关内容</w:t>
            </w:r>
          </w:p>
          <w:p w14:paraId="3D55124A">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二十三条非农业建设可以利用非耕地的，不得占用耕地。经依法批准占用耕地的，用地单位应当负责开垦与所占用耕地数量、质量相当的耕地；没有条件开垦或者开垦的耕地不符合要求的，应当向县以上国土资源行政主管部门缴纳耕地开垦费，专款用于开垦新的耕地；耕地储备资源不足的，依法实行易地占补。</w:t>
            </w:r>
          </w:p>
          <w:p w14:paraId="16837F2F">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（2）符合性分析</w:t>
            </w:r>
          </w:p>
          <w:p w14:paraId="48F01990">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本次环评提出建设单位对于项目所占的耕地应采取</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先补后占</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方式，落实</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谁占谁补</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原则，缴纳耕地开垦费，实现占补平衡。因此，本项目的建设符合《黑龙江省耕地保护条例》。</w:t>
            </w:r>
          </w:p>
          <w:p w14:paraId="7C735502">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、与《绥化市</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十四五</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土壤地下水和农村生态环境保护规划》符合性分析</w:t>
            </w:r>
          </w:p>
          <w:p w14:paraId="66BBBD8F">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（1）相关内容</w:t>
            </w:r>
          </w:p>
          <w:p w14:paraId="0C3F26EF">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有序开展农村黑臭水体治理。以国家黑臭水体管控清单为重点，同步治理省级管控清单水体。根据水体黑臭程度、污染成因、水文气候和经济发展水平，合理选择治理技术模式，因河因塘施策，分区分类，标本兼治。实施截污控源、清淤疏浚、生态修复、水系连通等工程集中治理农村生活污水、垃圾、农业污染。各县（市、区）对完成治理的黑臭水体进行监测评估，实现农村黑臭水体有效治理和长效管护。</w:t>
            </w:r>
          </w:p>
          <w:p w14:paraId="7FE1E293">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（2）符合性分析</w:t>
            </w:r>
          </w:p>
          <w:p w14:paraId="7295F744">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本项目不占用生态保护红线内，不占用基本农田，不属于开发性、生产性建设活动，为防洪除涝项目，建设任务通过新建护岸、堤防和穿堤建筑物工程，保障沿岸村屯及耕地防洪安全，符合生态红线保护要求</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建设范围仅位于河道管理范围内，项目采用10年一遇防洪标准，通过护岸建设可避免洪水淹没村庄、损毁农田。对水生生态系统的影响以长期正面改善与稳定为主，岸线稳定减少水土流失，提升水质透明度与清洁度，符合</w:t>
            </w:r>
            <w:r>
              <w:rPr>
                <w:rFonts w:hint="default" w:ascii="Times New Roman" w:hAnsi="Times New Roman" w:eastAsia="宋体" w:cs="Times New Roman"/>
                <w:color w:val="auto"/>
                <w:highlight w:val="none"/>
              </w:rPr>
              <w:t>以自然环保为前提</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优先保护耕地的要求。本项目永久占用耕地290.85亩；临时占用耕地263.55亩，在施工前进行表土剥离，在施工结束后进行表土回填并进行土地复垦，恢复耕地耕作条件，不会对耕地数量和质量产生较大影响，因此，符合《绥化市</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十四五</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土壤地下水和农村生态环境保护规划》。</w:t>
            </w:r>
          </w:p>
          <w:p w14:paraId="1AD048B8">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6</w:t>
            </w:r>
            <w:r>
              <w:rPr>
                <w:rFonts w:hint="default" w:ascii="Times New Roman" w:hAnsi="Times New Roman" w:eastAsia="宋体" w:cs="Times New Roman"/>
                <w:color w:val="auto"/>
                <w:highlight w:val="none"/>
                <w:lang w:val="en-US" w:eastAsia="zh-CN"/>
              </w:rPr>
              <w:t>、与《建设项目临时使用草原地表土剥离利用技术规范》（DB23/T3746</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2024）、《建设项目临时使用林地表土剥离利用技术规范》（DB23/T3744</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2024）符合性分析</w:t>
            </w:r>
          </w:p>
          <w:p w14:paraId="4EBBA2F3">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本项目永久占用草地44.74亩、林地172.36亩。临时占用不占用草地和林地，表土剥离方案同步编制中，DB23/T3746</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2024和DB23/T3744</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2024中均规定</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根据方案和现场实际的表土层厚度，划分表土剥离单元，分别确定每个单元的表土剥离厚度。在应剥尽剥的前提下，剥离厚度应&gt;15c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本次根据项目区实际情况，草地剥离厚度为</w:t>
            </w:r>
            <w:r>
              <w:rPr>
                <w:rFonts w:hint="default" w:ascii="Times New Roman" w:hAnsi="Times New Roman" w:cs="Times New Roman"/>
                <w:color w:val="auto"/>
                <w:highlight w:val="none"/>
                <w:lang w:val="en-US" w:eastAsia="zh-CN"/>
              </w:rPr>
              <w:t>30</w:t>
            </w:r>
            <w:r>
              <w:rPr>
                <w:rFonts w:hint="default" w:ascii="Times New Roman" w:hAnsi="Times New Roman" w:eastAsia="宋体" w:cs="Times New Roman"/>
                <w:color w:val="auto"/>
                <w:highlight w:val="none"/>
                <w:lang w:val="en-US" w:eastAsia="zh-CN"/>
              </w:rPr>
              <w:t>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将剥离表土堆置于施工生产生活区内，采用密目网覆盖，坡脚用编织袋填筑土埂拦挡，并设置排水沟。项目施工结束后对临时占地全部恢复原地类，剥离表土回用至原区域，施工结束后进行植被恢复。施工中要求避开暴雨期，减少冲刷，运输车辆采取密闭措施。计划在施工结束后1年内进行生态监测，评估植被恢复情况。因此，符合《建设项目临时使用草原地表土剥离利用技术规范》（DB23/T3746</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2024）、《建设项目临时使用林地表土剥离利用技术规范》（DB23/T3744</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2024）中相关要求。</w:t>
            </w:r>
          </w:p>
          <w:p w14:paraId="7F8FF794">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7</w:t>
            </w:r>
            <w:r>
              <w:rPr>
                <w:rFonts w:hint="default" w:ascii="Times New Roman" w:hAnsi="Times New Roman" w:eastAsia="宋体" w:cs="Times New Roman"/>
                <w:color w:val="auto"/>
                <w:highlight w:val="none"/>
                <w:lang w:val="en-US" w:eastAsia="zh-CN"/>
              </w:rPr>
              <w:t>、与《绥化市国土空间总体规划（2021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2035年）》符合性分析</w:t>
            </w:r>
          </w:p>
          <w:p w14:paraId="78284C48">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绥化市国土空间总体规划明确加强主要河段禁建区岸带修复管理。加强重点河段景观林和防护林工程建设，完善生态隔离带、加强水土流失治理，保障饮用水安全。松花江、呼兰河岸线的禁止建设地区必须满足绥化对于松花江、呼兰河堤防的相关要求，其他河道两岸的禁止建设带的划定范围为防洪堤内上侧起向外扩展30</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100米。开展水环境系统与陆地生态系统过渡带建设，采用自然原型、半改造型和人工护岸相结合的方式，将岸带生态服务功能供给、生态安全、渗滤过滤等功能相结合，构建生态堤坝。市域输水干渠两侧20米范围内为禁止建设区，构建以当地适生物种为主的河岸生态廊道，在满足景观和河道生态安全的前提下科学配置。</w:t>
            </w:r>
          </w:p>
          <w:p w14:paraId="7D6C9C99">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cs="Times New Roman"/>
                <w:color w:val="auto"/>
                <w:highlight w:val="none"/>
                <w:lang w:val="en-US" w:eastAsia="zh-CN"/>
              </w:rPr>
              <w:t>新建护岸和堤防，有利于完善</w:t>
            </w:r>
            <w:r>
              <w:rPr>
                <w:rFonts w:hint="default" w:ascii="Times New Roman" w:hAnsi="Times New Roman" w:eastAsia="宋体" w:cs="Times New Roman"/>
                <w:color w:val="auto"/>
                <w:highlight w:val="none"/>
                <w:lang w:val="en-US" w:eastAsia="zh-CN"/>
              </w:rPr>
              <w:t>生态隔离带、加强水土流失治理，保障饮用水安全与规划《绥化市国土空间总体规划（2021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2035年）》的目标一致。</w:t>
            </w:r>
          </w:p>
          <w:p w14:paraId="73B5C794">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综上所述，本项目符合《绥化市国土空间总体规划（2021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w:t>
            </w:r>
          </w:p>
          <w:p w14:paraId="041FBEA4">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8</w:t>
            </w:r>
            <w:r>
              <w:rPr>
                <w:rFonts w:hint="default" w:ascii="Times New Roman" w:hAnsi="Times New Roman" w:eastAsia="宋体" w:cs="Times New Roman"/>
                <w:color w:val="auto"/>
                <w:highlight w:val="none"/>
                <w:lang w:val="en-US" w:eastAsia="zh-CN"/>
              </w:rPr>
              <w:t>、与《庆安县国土空间总体规划（2021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2035年）》符合性分析</w:t>
            </w:r>
          </w:p>
          <w:p w14:paraId="44AB6E6C">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庆安县国土空间总体规划中明确提出</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采取综合手段，如整治堤线、堤防加高培厚、清障、江道及滩岛整治等常规措施，并辅以河底清淤、上游沿岸植树造林、水土保持等必要辅助措施及修建上游调节水库等，提高综合防洪能力。</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的要求。</w:t>
            </w:r>
          </w:p>
          <w:p w14:paraId="6B96BA9E">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新建护岸</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堤防和穿堤建筑物，提高防洪能力，本项目符合《庆安县国土空间总体规划（2021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w:t>
            </w:r>
          </w:p>
          <w:p w14:paraId="1135E683">
            <w:pPr>
              <w:pStyle w:val="84"/>
              <w:bidi w:val="0"/>
              <w:rPr>
                <w:rFonts w:hint="default" w:ascii="Times New Roman" w:hAnsi="Times New Roman" w:eastAsia="宋体" w:cs="Times New Roman"/>
                <w:color w:val="auto"/>
                <w:highlight w:val="none"/>
                <w:lang w:val="en-US" w:eastAsia="zh-CN"/>
              </w:rPr>
            </w:pPr>
          </w:p>
          <w:p w14:paraId="78D90935">
            <w:pPr>
              <w:pStyle w:val="84"/>
              <w:bidi w:val="0"/>
              <w:rPr>
                <w:rFonts w:hint="default" w:ascii="Times New Roman" w:hAnsi="Times New Roman" w:eastAsia="宋体" w:cs="Times New Roman"/>
                <w:color w:val="auto"/>
                <w:highlight w:val="none"/>
                <w:lang w:val="en-US" w:eastAsia="zh-CN"/>
              </w:rPr>
            </w:pPr>
          </w:p>
          <w:p w14:paraId="64A92E0E">
            <w:pPr>
              <w:pStyle w:val="84"/>
              <w:bidi w:val="0"/>
              <w:rPr>
                <w:rFonts w:hint="default" w:ascii="Times New Roman" w:hAnsi="Times New Roman" w:eastAsia="宋体" w:cs="Times New Roman"/>
                <w:color w:val="auto"/>
                <w:highlight w:val="none"/>
                <w:lang w:val="en-US" w:eastAsia="zh-CN"/>
              </w:rPr>
            </w:pPr>
          </w:p>
          <w:p w14:paraId="0C9DD97D">
            <w:pPr>
              <w:pStyle w:val="84"/>
              <w:bidi w:val="0"/>
              <w:rPr>
                <w:rFonts w:hint="default" w:ascii="Times New Roman" w:hAnsi="Times New Roman" w:eastAsia="宋体" w:cs="Times New Roman"/>
                <w:color w:val="auto"/>
                <w:highlight w:val="none"/>
                <w:lang w:val="en-US" w:eastAsia="zh-CN"/>
              </w:rPr>
            </w:pPr>
          </w:p>
          <w:p w14:paraId="0C784E4E">
            <w:pPr>
              <w:pStyle w:val="84"/>
              <w:bidi w:val="0"/>
              <w:rPr>
                <w:rFonts w:hint="default" w:ascii="Times New Roman" w:hAnsi="Times New Roman" w:eastAsia="宋体" w:cs="Times New Roman"/>
                <w:color w:val="auto"/>
                <w:highlight w:val="none"/>
                <w:lang w:val="en-US" w:eastAsia="zh-CN"/>
              </w:rPr>
            </w:pPr>
          </w:p>
          <w:p w14:paraId="66BF009C">
            <w:pPr>
              <w:pStyle w:val="84"/>
              <w:bidi w:val="0"/>
              <w:rPr>
                <w:rFonts w:hint="default" w:ascii="Times New Roman" w:hAnsi="Times New Roman" w:eastAsia="宋体" w:cs="Times New Roman"/>
                <w:color w:val="auto"/>
                <w:highlight w:val="none"/>
                <w:lang w:val="en-US" w:eastAsia="zh-CN"/>
              </w:rPr>
            </w:pPr>
          </w:p>
          <w:p w14:paraId="627AA99A">
            <w:pPr>
              <w:pStyle w:val="84"/>
              <w:bidi w:val="0"/>
              <w:rPr>
                <w:rFonts w:hint="default" w:ascii="Times New Roman" w:hAnsi="Times New Roman" w:eastAsia="宋体" w:cs="Times New Roman"/>
                <w:color w:val="auto"/>
                <w:highlight w:val="none"/>
                <w:lang w:val="en-US" w:eastAsia="zh-CN"/>
              </w:rPr>
            </w:pPr>
          </w:p>
        </w:tc>
      </w:tr>
    </w:tbl>
    <w:p w14:paraId="168522DB">
      <w:pPr>
        <w:spacing w:line="360" w:lineRule="auto"/>
        <w:ind w:firstLine="600"/>
        <w:outlineLvl w:val="0"/>
        <w:rPr>
          <w:rFonts w:hint="default" w:ascii="Times New Roman" w:hAnsi="Times New Roman" w:cs="Times New Roman"/>
          <w:color w:val="auto"/>
          <w:sz w:val="30"/>
          <w:highlight w:val="none"/>
        </w:rPr>
        <w:sectPr>
          <w:footerReference r:id="rId5" w:type="default"/>
          <w:pgSz w:w="11906" w:h="16838"/>
          <w:pgMar w:top="1701" w:right="1531" w:bottom="1701" w:left="1531" w:header="851" w:footer="1077" w:gutter="0"/>
          <w:pgNumType w:start="1"/>
          <w:cols w:space="720" w:num="1"/>
          <w:docGrid w:linePitch="312" w:charSpace="0"/>
        </w:sectPr>
      </w:pPr>
    </w:p>
    <w:p w14:paraId="799ECAA1">
      <w:pPr>
        <w:pStyle w:val="2"/>
        <w:bidi w:val="0"/>
        <w:jc w:val="center"/>
        <w:rPr>
          <w:rFonts w:hint="default" w:ascii="Times New Roman" w:hAnsi="Times New Roman" w:eastAsia="宋体" w:cs="Times New Roman"/>
          <w:b/>
          <w:snapToGrid w:val="0"/>
          <w:color w:val="auto"/>
          <w:szCs w:val="30"/>
          <w:highlight w:val="none"/>
        </w:rPr>
      </w:pPr>
      <w:bookmarkStart w:id="10" w:name="_Toc18636"/>
      <w:bookmarkStart w:id="11" w:name="_Toc1440"/>
      <w:r>
        <w:rPr>
          <w:rFonts w:hint="default" w:ascii="Times New Roman" w:hAnsi="Times New Roman" w:eastAsia="宋体" w:cs="Times New Roman"/>
          <w:highlight w:val="none"/>
        </w:rPr>
        <w:t>二、建设内容</w:t>
      </w:r>
      <w:bookmarkEnd w:id="10"/>
      <w:bookmarkEnd w:id="11"/>
    </w:p>
    <w:tbl>
      <w:tblPr>
        <w:tblStyle w:val="25"/>
        <w:tblW w:w="563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147"/>
      </w:tblGrid>
      <w:tr w14:paraId="1B68C6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237" w:type="pct"/>
            <w:noWrap w:val="0"/>
            <w:vAlign w:val="center"/>
          </w:tcPr>
          <w:p w14:paraId="0BBAED4C">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地理位置</w:t>
            </w:r>
          </w:p>
        </w:tc>
        <w:tc>
          <w:tcPr>
            <w:tcW w:w="4762" w:type="pct"/>
            <w:noWrap w:val="0"/>
            <w:vAlign w:val="center"/>
          </w:tcPr>
          <w:p w14:paraId="63836273">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本次工程地点位于</w:t>
            </w:r>
            <w:r>
              <w:rPr>
                <w:rFonts w:hint="default" w:ascii="Times New Roman" w:hAnsi="Times New Roman" w:cs="Times New Roman"/>
                <w:color w:val="auto"/>
                <w:highlight w:val="none"/>
                <w:lang w:val="en-US" w:eastAsia="zh-CN"/>
              </w:rPr>
              <w:t>黑龙江省绥化市庆安县发展乡境内</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欧根河</w:t>
            </w:r>
            <w:r>
              <w:rPr>
                <w:rFonts w:hint="default" w:ascii="Times New Roman" w:hAnsi="Times New Roman" w:cs="Times New Roman"/>
                <w:color w:val="auto"/>
                <w:highlight w:val="none"/>
                <w:lang w:eastAsia="zh-CN"/>
              </w:rPr>
              <w:t>是</w:t>
            </w:r>
            <w:r>
              <w:rPr>
                <w:rFonts w:hint="default" w:ascii="Times New Roman" w:hAnsi="Times New Roman" w:cs="Times New Roman"/>
                <w:color w:val="auto"/>
                <w:highlight w:val="none"/>
                <w:lang w:val="en-US" w:eastAsia="zh-CN"/>
              </w:rPr>
              <w:t>呼兰河上游右岸一级支流</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欧根河</w:t>
            </w:r>
            <w:r>
              <w:rPr>
                <w:rFonts w:hint="default" w:ascii="Times New Roman" w:hAnsi="Times New Roman" w:cs="Times New Roman"/>
                <w:highlight w:val="none"/>
              </w:rPr>
              <w:t>发源于小兴安岭南侧，流经庆安县北部，在庆安县致富乡南部汇入呼兰河</w:t>
            </w:r>
            <w:r>
              <w:rPr>
                <w:rFonts w:hint="default" w:ascii="Times New Roman" w:hAnsi="Times New Roman" w:cs="Times New Roman"/>
                <w:color w:val="auto"/>
                <w:highlight w:val="none"/>
                <w:lang w:eastAsia="zh-CN"/>
              </w:rPr>
              <w:t>，治理河长</w:t>
            </w:r>
            <w:r>
              <w:rPr>
                <w:rFonts w:hint="default" w:ascii="Times New Roman" w:hAnsi="Times New Roman" w:cs="Times New Roman"/>
                <w:color w:val="auto"/>
                <w:highlight w:val="none"/>
                <w:lang w:val="en-US" w:eastAsia="zh-CN"/>
              </w:rPr>
              <w:t>39.57</w:t>
            </w:r>
            <w:r>
              <w:rPr>
                <w:rFonts w:hint="default" w:ascii="Times New Roman" w:hAnsi="Times New Roman" w:cs="Times New Roman"/>
                <w:color w:val="auto"/>
                <w:highlight w:val="none"/>
                <w:lang w:eastAsia="zh-CN"/>
              </w:rPr>
              <w:t>km。</w:t>
            </w:r>
          </w:p>
          <w:p w14:paraId="046C8C25">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工程</w:t>
            </w:r>
            <w:r>
              <w:rPr>
                <w:rFonts w:hint="default" w:ascii="Times New Roman" w:hAnsi="Times New Roman" w:cs="Times New Roman"/>
                <w:color w:val="auto"/>
                <w:highlight w:val="none"/>
              </w:rPr>
              <w:t>治理河段共分2段，治理河段1起点位于十六道岗水库下游，坐标为东经127.874712</w:t>
            </w:r>
            <w:r>
              <w:rPr>
                <w:rFonts w:hint="default" w:ascii="Times New Roman" w:hAnsi="Times New Roman" w:eastAsia="微软雅黑" w:cs="Times New Roman"/>
                <w:color w:val="auto"/>
                <w:highlight w:val="none"/>
              </w:rPr>
              <w:t>⁰</w:t>
            </w:r>
            <w:r>
              <w:rPr>
                <w:rFonts w:hint="default" w:ascii="Times New Roman" w:hAnsi="Times New Roman" w:cs="Times New Roman"/>
                <w:color w:val="auto"/>
                <w:highlight w:val="none"/>
              </w:rPr>
              <w:t>，北纬47.222409</w:t>
            </w:r>
            <w:r>
              <w:rPr>
                <w:rFonts w:hint="default" w:ascii="Times New Roman" w:hAnsi="Times New Roman" w:eastAsia="微软雅黑" w:cs="Times New Roman"/>
                <w:color w:val="auto"/>
                <w:highlight w:val="none"/>
              </w:rPr>
              <w:t>⁰</w:t>
            </w:r>
            <w:r>
              <w:rPr>
                <w:rFonts w:hint="default" w:ascii="Times New Roman" w:hAnsi="Times New Roman" w:cs="Times New Roman"/>
                <w:color w:val="auto"/>
                <w:highlight w:val="none"/>
              </w:rPr>
              <w:t>，终点位于十四道岗处，坐标为东经127.845387</w:t>
            </w:r>
            <w:r>
              <w:rPr>
                <w:rFonts w:hint="default" w:ascii="Times New Roman" w:hAnsi="Times New Roman" w:eastAsia="微软雅黑" w:cs="Times New Roman"/>
                <w:color w:val="auto"/>
                <w:highlight w:val="none"/>
              </w:rPr>
              <w:t>⁰</w:t>
            </w:r>
            <w:r>
              <w:rPr>
                <w:rFonts w:hint="default" w:ascii="Times New Roman" w:hAnsi="Times New Roman" w:cs="Times New Roman"/>
                <w:color w:val="auto"/>
                <w:highlight w:val="none"/>
              </w:rPr>
              <w:t>，北纬47.221243</w:t>
            </w:r>
            <w:r>
              <w:rPr>
                <w:rFonts w:hint="default" w:ascii="Times New Roman" w:hAnsi="Times New Roman" w:eastAsia="微软雅黑" w:cs="Times New Roman"/>
                <w:color w:val="auto"/>
                <w:highlight w:val="none"/>
              </w:rPr>
              <w:t>⁰</w:t>
            </w:r>
            <w:r>
              <w:rPr>
                <w:rFonts w:hint="default" w:ascii="Times New Roman" w:hAnsi="Times New Roman" w:cs="Times New Roman"/>
                <w:color w:val="auto"/>
                <w:highlight w:val="none"/>
              </w:rPr>
              <w:t>，综合治理河长4.05k</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；需治理河段2起点位于十二道岗处，坐标为东经127.756822</w:t>
            </w:r>
            <w:r>
              <w:rPr>
                <w:rFonts w:hint="default" w:ascii="Times New Roman" w:hAnsi="Times New Roman" w:eastAsia="微软雅黑" w:cs="Times New Roman"/>
                <w:color w:val="auto"/>
                <w:highlight w:val="none"/>
              </w:rPr>
              <w:t>⁰</w:t>
            </w:r>
            <w:r>
              <w:rPr>
                <w:rFonts w:hint="default" w:ascii="Times New Roman" w:hAnsi="Times New Roman" w:cs="Times New Roman"/>
                <w:color w:val="auto"/>
                <w:highlight w:val="none"/>
              </w:rPr>
              <w:t>，北纬47.206340</w:t>
            </w:r>
            <w:r>
              <w:rPr>
                <w:rFonts w:hint="default" w:ascii="Times New Roman" w:hAnsi="Times New Roman" w:eastAsia="微软雅黑" w:cs="Times New Roman"/>
                <w:color w:val="auto"/>
                <w:highlight w:val="none"/>
              </w:rPr>
              <w:t>⁰</w:t>
            </w:r>
            <w:r>
              <w:rPr>
                <w:rFonts w:hint="default" w:ascii="Times New Roman" w:hAnsi="Times New Roman" w:cs="Times New Roman"/>
                <w:color w:val="auto"/>
                <w:highlight w:val="none"/>
              </w:rPr>
              <w:t>，终点位于八道岗，坐标为东经127.587554</w:t>
            </w:r>
            <w:r>
              <w:rPr>
                <w:rFonts w:hint="default" w:ascii="Times New Roman" w:hAnsi="Times New Roman" w:eastAsia="微软雅黑" w:cs="Times New Roman"/>
                <w:color w:val="auto"/>
                <w:highlight w:val="none"/>
              </w:rPr>
              <w:t>⁰</w:t>
            </w:r>
            <w:r>
              <w:rPr>
                <w:rFonts w:hint="default" w:ascii="Times New Roman" w:hAnsi="Times New Roman" w:cs="Times New Roman"/>
                <w:color w:val="auto"/>
                <w:highlight w:val="none"/>
              </w:rPr>
              <w:t>，北纬47.119906，综合治理河长35.52k</w:t>
            </w:r>
            <w:r>
              <w:rPr>
                <w:rFonts w:hint="default" w:ascii="Times New Roman" w:hAnsi="Times New Roman" w:cs="Times New Roman"/>
                <w:color w:val="auto"/>
                <w:highlight w:val="none"/>
                <w:lang w:eastAsia="zh-CN"/>
              </w:rPr>
              <w:t>m。</w:t>
            </w:r>
          </w:p>
          <w:p w14:paraId="6D628B86">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bCs/>
                <w:color w:val="auto"/>
                <w:highlight w:val="none"/>
              </w:rPr>
            </w:pPr>
            <w:r>
              <w:rPr>
                <w:rFonts w:hint="default" w:ascii="Times New Roman" w:hAnsi="Times New Roman" w:cs="Times New Roman"/>
                <w:color w:val="auto"/>
                <w:highlight w:val="none"/>
              </w:rPr>
              <w:t>地理位置见附图1。</w:t>
            </w:r>
          </w:p>
        </w:tc>
      </w:tr>
      <w:tr w14:paraId="524150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237" w:type="pct"/>
            <w:noWrap w:val="0"/>
            <w:vAlign w:val="center"/>
          </w:tcPr>
          <w:p w14:paraId="0E85CA57">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项目组成及规模</w:t>
            </w:r>
          </w:p>
        </w:tc>
        <w:tc>
          <w:tcPr>
            <w:tcW w:w="4762" w:type="pct"/>
            <w:noWrap w:val="0"/>
            <w:vAlign w:val="center"/>
          </w:tcPr>
          <w:p w14:paraId="149876CF">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cs="Times New Roman"/>
                <w:color w:val="auto"/>
                <w:highlight w:val="yellow"/>
              </w:rPr>
            </w:pPr>
            <w:r>
              <w:rPr>
                <w:rFonts w:hint="eastAsia" w:cs="Times New Roman"/>
                <w:color w:val="auto"/>
                <w:highlight w:val="yellow"/>
                <w:lang w:val="en-US" w:eastAsia="zh-CN"/>
              </w:rPr>
              <w:t>根据206年3月25日庆安县水务局批准《庆安县水务局关于黑龙江省庆安县欧根河治理工程初步设计报告的批复》（庆水发[2026]29号），</w:t>
            </w:r>
            <w:r>
              <w:rPr>
                <w:rFonts w:hint="default" w:ascii="Times New Roman" w:hAnsi="Times New Roman" w:cs="Times New Roman"/>
                <w:color w:val="auto"/>
                <w:highlight w:val="yellow"/>
              </w:rPr>
              <w:t>黑龙江省庆安县欧根河治理工程主要由堤防工程、护岸工程和建筑物工程组成。本工程综合治理河长39.57</w:t>
            </w:r>
            <w:r>
              <w:rPr>
                <w:rFonts w:hint="default" w:ascii="Times New Roman" w:hAnsi="Times New Roman" w:cs="Times New Roman"/>
                <w:color w:val="auto"/>
                <w:highlight w:val="yellow"/>
                <w:lang w:val="en-US" w:eastAsia="zh-CN"/>
              </w:rPr>
              <w:t xml:space="preserve"> </w:t>
            </w:r>
            <w:r>
              <w:rPr>
                <w:rFonts w:hint="default" w:ascii="Times New Roman" w:hAnsi="Times New Roman" w:cs="Times New Roman"/>
                <w:color w:val="auto"/>
                <w:highlight w:val="yellow"/>
              </w:rPr>
              <w:t>k</w:t>
            </w:r>
            <w:r>
              <w:rPr>
                <w:rFonts w:hint="default" w:ascii="Times New Roman" w:hAnsi="Times New Roman" w:cs="Times New Roman"/>
                <w:color w:val="auto"/>
                <w:highlight w:val="yellow"/>
                <w:lang w:eastAsia="zh-CN"/>
              </w:rPr>
              <w:t>m</w:t>
            </w:r>
            <w:r>
              <w:rPr>
                <w:rFonts w:hint="default" w:ascii="Times New Roman" w:hAnsi="Times New Roman" w:cs="Times New Roman"/>
                <w:color w:val="auto"/>
                <w:highlight w:val="yellow"/>
              </w:rPr>
              <w:t>，主要为新建堤防5段，长度为25.94</w:t>
            </w:r>
            <w:r>
              <w:rPr>
                <w:rFonts w:hint="default" w:ascii="Times New Roman" w:hAnsi="Times New Roman" w:cs="Times New Roman"/>
                <w:color w:val="auto"/>
                <w:highlight w:val="yellow"/>
                <w:lang w:val="en-US" w:eastAsia="zh-CN"/>
              </w:rPr>
              <w:t xml:space="preserve"> </w:t>
            </w:r>
            <w:r>
              <w:rPr>
                <w:rFonts w:hint="default" w:ascii="Times New Roman" w:hAnsi="Times New Roman" w:cs="Times New Roman"/>
                <w:color w:val="auto"/>
                <w:highlight w:val="yellow"/>
              </w:rPr>
              <w:t>k</w:t>
            </w:r>
            <w:r>
              <w:rPr>
                <w:rFonts w:hint="default" w:ascii="Times New Roman" w:hAnsi="Times New Roman" w:cs="Times New Roman"/>
                <w:color w:val="auto"/>
                <w:highlight w:val="yellow"/>
                <w:lang w:eastAsia="zh-CN"/>
              </w:rPr>
              <w:t>m</w:t>
            </w:r>
            <w:r>
              <w:rPr>
                <w:rFonts w:hint="default" w:ascii="Times New Roman" w:hAnsi="Times New Roman" w:cs="Times New Roman"/>
                <w:color w:val="auto"/>
                <w:highlight w:val="yellow"/>
              </w:rPr>
              <w:t>；新建护岸15段，总长4.97</w:t>
            </w:r>
            <w:r>
              <w:rPr>
                <w:rFonts w:hint="default" w:ascii="Times New Roman" w:hAnsi="Times New Roman" w:cs="Times New Roman"/>
                <w:color w:val="auto"/>
                <w:highlight w:val="yellow"/>
                <w:lang w:val="en-US" w:eastAsia="zh-CN"/>
              </w:rPr>
              <w:t xml:space="preserve"> </w:t>
            </w:r>
            <w:r>
              <w:rPr>
                <w:rFonts w:hint="default" w:ascii="Times New Roman" w:hAnsi="Times New Roman" w:cs="Times New Roman"/>
                <w:color w:val="auto"/>
                <w:highlight w:val="yellow"/>
              </w:rPr>
              <w:t>k</w:t>
            </w:r>
            <w:r>
              <w:rPr>
                <w:rFonts w:hint="default" w:ascii="Times New Roman" w:hAnsi="Times New Roman" w:cs="Times New Roman"/>
                <w:color w:val="auto"/>
                <w:highlight w:val="yellow"/>
                <w:lang w:eastAsia="zh-CN"/>
              </w:rPr>
              <w:t>m</w:t>
            </w:r>
            <w:r>
              <w:rPr>
                <w:rFonts w:hint="default" w:ascii="Times New Roman" w:hAnsi="Times New Roman" w:cs="Times New Roman"/>
                <w:color w:val="auto"/>
                <w:highlight w:val="yellow"/>
              </w:rPr>
              <w:t>；新建穿堤建筑物12座。</w:t>
            </w:r>
          </w:p>
          <w:p w14:paraId="4308E7E4">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工程防洪保护</w:t>
            </w:r>
            <w:r>
              <w:rPr>
                <w:rFonts w:hint="default" w:ascii="Times New Roman" w:hAnsi="Times New Roman" w:cs="Times New Roman"/>
                <w:color w:val="auto"/>
                <w:highlight w:val="none"/>
                <w:lang w:val="en-US" w:eastAsia="zh-CN"/>
              </w:rPr>
              <w:t>发展乡大青山林场、发达村、发富村、麦芽场、欧根河村、勤兴村、十道河、县马场</w:t>
            </w:r>
            <w:r>
              <w:rPr>
                <w:rFonts w:hint="default" w:ascii="Times New Roman" w:hAnsi="Times New Roman" w:cs="Times New Roman"/>
                <w:color w:val="auto"/>
                <w:highlight w:val="none"/>
              </w:rPr>
              <w:t>，保护人口</w:t>
            </w:r>
            <w:r>
              <w:rPr>
                <w:rFonts w:hint="default" w:ascii="Times New Roman" w:hAnsi="Times New Roman" w:cs="Times New Roman"/>
                <w:color w:val="auto"/>
                <w:highlight w:val="none"/>
                <w:lang w:val="en-US" w:eastAsia="zh-CN"/>
              </w:rPr>
              <w:t>3500</w:t>
            </w:r>
            <w:r>
              <w:rPr>
                <w:rFonts w:hint="default" w:ascii="Times New Roman" w:hAnsi="Times New Roman" w:cs="Times New Roman"/>
                <w:color w:val="auto"/>
                <w:highlight w:val="none"/>
              </w:rPr>
              <w:t>人，保护耕地</w:t>
            </w:r>
            <w:r>
              <w:rPr>
                <w:rFonts w:hint="default" w:ascii="Times New Roman" w:hAnsi="Times New Roman" w:cs="Times New Roman"/>
                <w:color w:val="auto"/>
                <w:highlight w:val="none"/>
                <w:lang w:val="en-US" w:eastAsia="zh-CN"/>
              </w:rPr>
              <w:t>23100</w:t>
            </w:r>
            <w:r>
              <w:rPr>
                <w:rFonts w:hint="default" w:ascii="Times New Roman" w:hAnsi="Times New Roman" w:cs="Times New Roman"/>
                <w:color w:val="auto"/>
                <w:highlight w:val="none"/>
              </w:rPr>
              <w:t>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欧根河</w:t>
            </w:r>
            <w:r>
              <w:rPr>
                <w:rFonts w:hint="default" w:ascii="Times New Roman" w:hAnsi="Times New Roman" w:cs="Times New Roman"/>
                <w:color w:val="auto"/>
                <w:highlight w:val="none"/>
                <w:lang w:eastAsia="zh-CN"/>
              </w:rPr>
              <w:t>防洪标准采用10年一遇。</w:t>
            </w:r>
          </w:p>
          <w:p w14:paraId="64938387">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根据《水利水电工程等级划分及洪水标准》（SL 252—2017）表3.0.1，工程等别为</w:t>
            </w:r>
            <w:r>
              <w:rPr>
                <w:rFonts w:hint="default" w:ascii="Times New Roman" w:hAnsi="Times New Roman" w:eastAsia="微软雅黑" w:cs="Times New Roman"/>
                <w:color w:val="auto"/>
                <w:highlight w:val="none"/>
                <w:lang w:val="en-US" w:eastAsia="zh-CN"/>
              </w:rPr>
              <w:t>Ⅴ</w:t>
            </w:r>
            <w:r>
              <w:rPr>
                <w:rFonts w:hint="default" w:ascii="Times New Roman" w:hAnsi="Times New Roman" w:cs="Times New Roman"/>
                <w:color w:val="auto"/>
                <w:highlight w:val="none"/>
                <w:lang w:val="en-US" w:eastAsia="zh-CN"/>
              </w:rPr>
              <w:t>级，工程规模为小（2）型，根据《建设项目环境影响评价分类管理名录（2021年版）》，属于"其他"，应编制环境影响报告表。</w:t>
            </w:r>
          </w:p>
          <w:p w14:paraId="4E4B1B62">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本项目永久占地875.63亩，临时占地983.55亩，包括生产生活区、取土场、弃土场、临时道路等，占地性质为耕地、林地、草地等。</w:t>
            </w:r>
          </w:p>
          <w:p w14:paraId="72AFC110">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主要建设内容见表2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w:t>
            </w:r>
          </w:p>
          <w:p w14:paraId="3089F711">
            <w:pPr>
              <w:pStyle w:val="84"/>
              <w:keepNext w:val="0"/>
              <w:keepLines w:val="0"/>
              <w:pageBreakBefore w:val="0"/>
              <w:widowControl w:val="0"/>
              <w:kinsoku/>
              <w:wordWrap/>
              <w:overflowPunct/>
              <w:topLinePunct w:val="0"/>
              <w:autoSpaceDE/>
              <w:autoSpaceDN/>
              <w:bidi w:val="0"/>
              <w:adjustRightInd w:val="0"/>
              <w:snapToGrid w:val="0"/>
              <w:spacing w:line="500" w:lineRule="exact"/>
              <w:ind w:firstLine="0" w:firstLineChars="0"/>
              <w:jc w:val="center"/>
              <w:textAlignment w:val="auto"/>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表2</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rPr>
              <w:t>1</w:t>
            </w:r>
            <w:r>
              <w:rPr>
                <w:rFonts w:hint="default" w:ascii="Times New Roman" w:hAnsi="Times New Roman" w:cs="Times New Roman"/>
                <w:b/>
                <w:color w:val="auto"/>
                <w:kern w:val="0"/>
                <w:sz w:val="21"/>
                <w:szCs w:val="21"/>
                <w:highlight w:val="none"/>
                <w:lang w:val="en-US" w:eastAsia="zh-CN"/>
              </w:rPr>
              <w:t xml:space="preserve">  </w:t>
            </w:r>
            <w:r>
              <w:rPr>
                <w:rFonts w:hint="default" w:ascii="Times New Roman" w:hAnsi="Times New Roman" w:cs="Times New Roman"/>
                <w:b/>
                <w:color w:val="auto"/>
                <w:kern w:val="0"/>
                <w:sz w:val="21"/>
                <w:szCs w:val="21"/>
                <w:highlight w:val="none"/>
              </w:rPr>
              <w:t>主要建设内容</w:t>
            </w:r>
          </w:p>
          <w:tbl>
            <w:tblPr>
              <w:tblStyle w:val="25"/>
              <w:tblpPr w:leftFromText="180" w:rightFromText="180" w:vertAnchor="text" w:tblpXSpec="center" w:tblpY="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6"/>
              <w:gridCol w:w="223"/>
              <w:gridCol w:w="1128"/>
              <w:gridCol w:w="6974"/>
            </w:tblGrid>
            <w:tr w14:paraId="4E535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1" w:type="pct"/>
                  <w:gridSpan w:val="3"/>
                  <w:noWrap w:val="0"/>
                  <w:vAlign w:val="center"/>
                </w:tcPr>
                <w:p w14:paraId="74C4EB48">
                  <w:pPr>
                    <w:adjustRightInd w:val="0"/>
                    <w:snapToGrid w:val="0"/>
                    <w:spacing w:line="276" w:lineRule="auto"/>
                    <w:jc w:val="center"/>
                    <w:rPr>
                      <w:rFonts w:hint="default" w:ascii="Times New Roman" w:hAnsi="Times New Roman" w:cs="Times New Roman"/>
                      <w:color w:val="auto"/>
                      <w:szCs w:val="21"/>
                      <w:highlight w:val="none"/>
                    </w:rPr>
                  </w:pPr>
                  <w:bookmarkStart w:id="12" w:name="_Hlk19002442"/>
                  <w:r>
                    <w:rPr>
                      <w:rFonts w:hint="default" w:ascii="Times New Roman" w:hAnsi="Times New Roman" w:cs="Times New Roman"/>
                      <w:color w:val="auto"/>
                      <w:szCs w:val="21"/>
                      <w:highlight w:val="none"/>
                    </w:rPr>
                    <w:t>建设内容</w:t>
                  </w:r>
                </w:p>
              </w:tc>
              <w:tc>
                <w:tcPr>
                  <w:tcW w:w="3908" w:type="pct"/>
                  <w:noWrap w:val="0"/>
                  <w:vAlign w:val="top"/>
                </w:tcPr>
                <w:p w14:paraId="1F0032AD">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建设规模及内容</w:t>
                  </w:r>
                </w:p>
              </w:tc>
            </w:tr>
            <w:tr w14:paraId="16136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restart"/>
                  <w:noWrap w:val="0"/>
                  <w:vAlign w:val="center"/>
                </w:tcPr>
                <w:p w14:paraId="1D18564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主体工程</w:t>
                  </w:r>
                </w:p>
              </w:tc>
              <w:tc>
                <w:tcPr>
                  <w:tcW w:w="757" w:type="pct"/>
                  <w:gridSpan w:val="2"/>
                  <w:noWrap w:val="0"/>
                  <w:vAlign w:val="center"/>
                </w:tcPr>
                <w:p w14:paraId="7C3DB42B">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护岸工程</w:t>
                  </w:r>
                </w:p>
              </w:tc>
              <w:tc>
                <w:tcPr>
                  <w:tcW w:w="3908" w:type="pct"/>
                  <w:noWrap w:val="0"/>
                  <w:vAlign w:val="top"/>
                </w:tcPr>
                <w:p w14:paraId="1B58C202">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新建护岸</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段，总长度</w:t>
                  </w:r>
                  <w:r>
                    <w:rPr>
                      <w:rFonts w:hint="default" w:ascii="Times New Roman" w:hAnsi="Times New Roman" w:cs="Times New Roman"/>
                      <w:color w:val="auto"/>
                      <w:szCs w:val="21"/>
                      <w:highlight w:val="none"/>
                      <w:lang w:val="en-US" w:eastAsia="zh-CN"/>
                    </w:rPr>
                    <w:t>4.97k</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lang w:val="en-US" w:eastAsia="zh-CN"/>
                    </w:rPr>
                    <w:t>护岸工程均位于欧根河左岸</w:t>
                  </w:r>
                  <w:r>
                    <w:rPr>
                      <w:rFonts w:hint="default" w:ascii="Times New Roman" w:hAnsi="Times New Roman" w:cs="Times New Roman"/>
                      <w:color w:val="auto"/>
                      <w:szCs w:val="21"/>
                      <w:highlight w:val="none"/>
                      <w:lang w:eastAsia="zh-CN"/>
                    </w:rPr>
                    <w:t>。</w:t>
                  </w:r>
                </w:p>
                <w:p w14:paraId="2B240125">
                  <w:pPr>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每段工程量相对不大且可分段施工，各段均可在一个枯水期施工完成，根据水文资料、水面线及工程设计情况，该工程施工时水位低于工程设计护脚高程，无需修筑围堰，不涉及涉水工程。</w:t>
                  </w:r>
                </w:p>
                <w:p w14:paraId="0BCBF0A0">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1号护岸，欧根河左岸，桩号0+000～0+419，长度419 m；</w:t>
                  </w:r>
                </w:p>
                <w:p w14:paraId="3EC3DA80">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2号护岸，欧根河左岸，桩号0+000～0+409，长度409 m；</w:t>
                  </w:r>
                </w:p>
                <w:p w14:paraId="3EA1A12F">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3号护岸，欧根河左岸，桩号0+000～0+505，长度505m；</w:t>
                  </w:r>
                </w:p>
                <w:p w14:paraId="0AF91D1C">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4</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4号护岸，欧根河左岸，桩号0+000～0+370，长度370 m；</w:t>
                  </w:r>
                </w:p>
                <w:p w14:paraId="43D9F306">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5号护岸，欧根河左岸，桩号0+000～0+561，长度561 m；</w:t>
                  </w:r>
                </w:p>
                <w:p w14:paraId="0DB3F399">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6</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6号护岸，欧根河左岸，桩号0+000～0+400，长度400 m；</w:t>
                  </w:r>
                </w:p>
                <w:p w14:paraId="54FE8FE1">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7</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7号护岸，欧根河左岸，桩号0+000～0+237，长度237 m；</w:t>
                  </w:r>
                </w:p>
                <w:p w14:paraId="34610B7B">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8</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8号护岸，欧根河左岸，桩号0+000～0+447，长度447 m；</w:t>
                  </w:r>
                </w:p>
                <w:p w14:paraId="53F8DBD6">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9</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9号护岸，欧根河左岸，桩号0+000～0+340，长度340 m；</w:t>
                  </w:r>
                </w:p>
                <w:p w14:paraId="121CF778">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10</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10号护岸，欧根河左岸，桩号0+000～0+356，长度356 m；</w:t>
                  </w:r>
                </w:p>
                <w:p w14:paraId="3A10AFA3">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11</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11号护岸，欧根河左岸，桩号0+000～0+295，长度295 m；</w:t>
                  </w:r>
                </w:p>
                <w:p w14:paraId="5A0524B9">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12号护岸，欧根河左岸，桩号0+000～0+230，长度230 m；</w:t>
                  </w:r>
                </w:p>
                <w:p w14:paraId="3AA405AB">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13</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13号护岸，欧根河左岸，桩号0+000～0+115，长度100 m；</w:t>
                  </w:r>
                </w:p>
                <w:p w14:paraId="656A7165">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15号护岸，欧根河左岸，桩号0+000～0+150，长度150 m。</w:t>
                  </w:r>
                </w:p>
                <w:p w14:paraId="76DED36F">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护岸采用格宾</w:t>
                  </w:r>
                  <w:r>
                    <w:rPr>
                      <w:rFonts w:hint="default" w:ascii="Times New Roman" w:hAnsi="Times New Roman" w:cs="Times New Roman"/>
                      <w:color w:val="auto"/>
                      <w:szCs w:val="21"/>
                      <w:highlight w:val="none"/>
                      <w:lang w:val="en-US" w:eastAsia="zh-CN"/>
                    </w:rPr>
                    <w:t>石笼</w:t>
                  </w:r>
                  <w:r>
                    <w:rPr>
                      <w:rFonts w:hint="default" w:ascii="Times New Roman" w:hAnsi="Times New Roman" w:cs="Times New Roman"/>
                      <w:color w:val="auto"/>
                      <w:szCs w:val="21"/>
                      <w:highlight w:val="none"/>
                    </w:rPr>
                    <w:t>挡墙型式，格宾石笼厚度50</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rPr>
                    <w:t>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，下设碎石垫层10c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，下铺无纺布一层，护脚采用3.0</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格宾护脚。</w:t>
                  </w:r>
                </w:p>
              </w:tc>
            </w:tr>
            <w:tr w14:paraId="3A369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2814B523">
                  <w:pPr>
                    <w:adjustRightInd w:val="0"/>
                    <w:snapToGrid w:val="0"/>
                    <w:spacing w:line="276" w:lineRule="auto"/>
                    <w:rPr>
                      <w:rFonts w:hint="default" w:ascii="Times New Roman" w:hAnsi="Times New Roman" w:cs="Times New Roman"/>
                      <w:color w:val="auto"/>
                      <w:highlight w:val="none"/>
                    </w:rPr>
                  </w:pPr>
                </w:p>
              </w:tc>
              <w:tc>
                <w:tcPr>
                  <w:tcW w:w="757" w:type="pct"/>
                  <w:gridSpan w:val="2"/>
                  <w:vMerge w:val="restart"/>
                  <w:noWrap w:val="0"/>
                  <w:vAlign w:val="center"/>
                </w:tcPr>
                <w:p w14:paraId="63B380B6">
                  <w:pPr>
                    <w:adjustRightInd w:val="0"/>
                    <w:snapToGrid w:val="0"/>
                    <w:spacing w:line="276"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堤防工程</w:t>
                  </w:r>
                </w:p>
              </w:tc>
              <w:tc>
                <w:tcPr>
                  <w:tcW w:w="3908" w:type="pct"/>
                  <w:noWrap w:val="0"/>
                  <w:vAlign w:val="top"/>
                </w:tcPr>
                <w:p w14:paraId="5C2E305B">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新建</w:t>
                  </w:r>
                  <w:r>
                    <w:rPr>
                      <w:rFonts w:hint="default" w:ascii="Times New Roman" w:hAnsi="Times New Roman" w:cs="Times New Roman"/>
                      <w:color w:val="auto"/>
                      <w:szCs w:val="21"/>
                      <w:highlight w:val="none"/>
                      <w:lang w:val="en-US" w:eastAsia="zh-CN"/>
                    </w:rPr>
                    <w:t>堤防5</w:t>
                  </w:r>
                  <w:r>
                    <w:rPr>
                      <w:rFonts w:hint="default" w:ascii="Times New Roman" w:hAnsi="Times New Roman" w:cs="Times New Roman"/>
                      <w:color w:val="auto"/>
                      <w:szCs w:val="21"/>
                      <w:highlight w:val="none"/>
                    </w:rPr>
                    <w:t>段，总长度</w:t>
                  </w:r>
                  <w:r>
                    <w:rPr>
                      <w:rFonts w:hint="default" w:ascii="Times New Roman" w:hAnsi="Times New Roman" w:cs="Times New Roman"/>
                      <w:color w:val="auto"/>
                      <w:szCs w:val="21"/>
                      <w:highlight w:val="none"/>
                      <w:lang w:val="en-US" w:eastAsia="zh-CN"/>
                    </w:rPr>
                    <w:t>25.94k</w:t>
                  </w:r>
                  <w:r>
                    <w:rPr>
                      <w:rFonts w:hint="default" w:ascii="Times New Roman" w:hAnsi="Times New Roman" w:cs="Times New Roman"/>
                      <w:color w:val="auto"/>
                      <w:szCs w:val="21"/>
                      <w:highlight w:val="none"/>
                      <w:lang w:eastAsia="zh-CN"/>
                    </w:rPr>
                    <w:t>m。</w:t>
                  </w:r>
                </w:p>
                <w:p w14:paraId="0B12EB84">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1号堤防，欧根河左岸，桩号0+000～0+940，长度940m，堤体类型为防洪墙；桩号0+940～3+890，长度940m，堤体类型为土堤。</w:t>
                  </w:r>
                </w:p>
                <w:p w14:paraId="31B36E2E">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2号堤防，欧根河左岸，桩号0+000～0+810、4+460～5+380，长度1730m，堤体类型为防洪墙；桩号0+810～4+460，长度940 m，堤体类型为土堤。</w:t>
                  </w:r>
                </w:p>
                <w:p w14:paraId="2F995991">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3号堤防，欧根河左岸，桩号3+660～4+380，长度720 m，堤体类型为防洪墙；桩号0+000～3+660，长度3660 m，堤体类型为土堤。</w:t>
                  </w:r>
                </w:p>
                <w:p w14:paraId="40BB1FAD">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4</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4号堤防，欧根河左岸，桩号0+000～7+620，长度7620 m，堤体类型为土堤。</w:t>
                  </w:r>
                </w:p>
                <w:p w14:paraId="57F5BCDC">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5号堤防，欧根河左岸，桩号0+000～4+670，长度4670m，堤体类型为土堤。</w:t>
                  </w:r>
                </w:p>
                <w:p w14:paraId="02222FED">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堤防迎水侧采用23</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rPr>
                    <w:t>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厚雷诺护垫防护，下设10</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rPr>
                    <w:t>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碎石垫层及一层无纺布。护坡顶部设23</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rPr>
                    <w:t>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厚宽0.5</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雷诺护垫封顶，下部采用宽1.0</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、高1.0</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格宾石笼固脚。堤防背水侧采用草籽护坡。</w:t>
                  </w:r>
                </w:p>
                <w:p w14:paraId="405EA1EE">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采用钢筋混凝土防洪墙形式，为悬臂式挡土墙，墙高3.5</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，底宽2.8</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，墙体基础高0.6</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，挡墙墙身顶宽0.4</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，防洪墙前设置50c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格宾石笼护砌，护砌边坡1</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1.0，边坡处采用复合土工膜防渗，护砌底部采用无纺布反滤，护脚处采用50c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格宾石笼，下设10c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碎石垫层和无纺布一层。</w:t>
                  </w:r>
                </w:p>
              </w:tc>
            </w:tr>
            <w:tr w14:paraId="3160C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5DE77F18">
                  <w:pPr>
                    <w:adjustRightInd w:val="0"/>
                    <w:snapToGrid w:val="0"/>
                    <w:spacing w:line="276" w:lineRule="auto"/>
                    <w:jc w:val="center"/>
                    <w:rPr>
                      <w:rFonts w:hint="default" w:ascii="Times New Roman" w:hAnsi="Times New Roman" w:cs="Times New Roman"/>
                      <w:color w:val="auto"/>
                      <w:szCs w:val="21"/>
                      <w:highlight w:val="none"/>
                    </w:rPr>
                  </w:pPr>
                </w:p>
              </w:tc>
              <w:tc>
                <w:tcPr>
                  <w:tcW w:w="757" w:type="pct"/>
                  <w:gridSpan w:val="2"/>
                  <w:noWrap w:val="0"/>
                  <w:vAlign w:val="center"/>
                </w:tcPr>
                <w:p w14:paraId="14C90F56">
                  <w:pPr>
                    <w:adjustRightInd w:val="0"/>
                    <w:snapToGrid w:val="0"/>
                    <w:spacing w:line="276"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穿堤建筑物</w:t>
                  </w:r>
                </w:p>
              </w:tc>
              <w:tc>
                <w:tcPr>
                  <w:tcW w:w="3908" w:type="pct"/>
                  <w:noWrap w:val="0"/>
                  <w:vAlign w:val="top"/>
                </w:tcPr>
                <w:p w14:paraId="68908763">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规划布置建筑物12座，其中新建排水闸11座，新建排水闸站1座；其中1号堤防布置建筑物1座，2号堤防布置建筑物3座，3号堤防布置建筑物3座，4号堤防布置建筑物3座，5号堤防布置建筑物2座。</w:t>
                  </w:r>
                </w:p>
              </w:tc>
            </w:tr>
            <w:tr w14:paraId="12EB7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restart"/>
                  <w:noWrap w:val="0"/>
                  <w:vAlign w:val="center"/>
                </w:tcPr>
                <w:p w14:paraId="3C797474">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辅助工程</w:t>
                  </w:r>
                </w:p>
              </w:tc>
              <w:tc>
                <w:tcPr>
                  <w:tcW w:w="757" w:type="pct"/>
                  <w:gridSpan w:val="2"/>
                  <w:noWrap w:val="0"/>
                  <w:vAlign w:val="center"/>
                </w:tcPr>
                <w:p w14:paraId="5781B3E9">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施工生产生活区</w:t>
                  </w:r>
                </w:p>
              </w:tc>
              <w:tc>
                <w:tcPr>
                  <w:tcW w:w="3908" w:type="pct"/>
                  <w:noWrap w:val="0"/>
                  <w:vAlign w:val="top"/>
                </w:tcPr>
                <w:p w14:paraId="51FF8886">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 1 \* GB3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color w:val="auto"/>
                      <w:szCs w:val="21"/>
                      <w:highlight w:val="none"/>
                    </w:rPr>
                    <w:fldChar w:fldCharType="end"/>
                  </w:r>
                  <w:r>
                    <w:rPr>
                      <w:rFonts w:hint="default" w:ascii="Times New Roman" w:hAnsi="Times New Roman" w:cs="Times New Roman"/>
                      <w:color w:val="auto"/>
                      <w:szCs w:val="21"/>
                      <w:highlight w:val="none"/>
                    </w:rPr>
                    <w:t>生产生活区</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设置</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处生产生活区，</w:t>
                  </w:r>
                  <w:r>
                    <w:rPr>
                      <w:rFonts w:hint="default" w:ascii="Times New Roman" w:hAnsi="Times New Roman" w:cs="Times New Roman"/>
                      <w:color w:val="auto"/>
                      <w:szCs w:val="21"/>
                      <w:highlight w:val="none"/>
                      <w:lang w:val="en-US" w:eastAsia="zh-CN"/>
                    </w:rPr>
                    <w:t>分别位于发展乡发达村、发富村、县马场。1）发达村施工生产生活区占地面积4.05亩，占地类型为耕地；2）发富村施工生产生活区占地面积2.70亩，占地类型为耕地；3）县马场施工生产生活区占地面积6.75亩，占地类型为耕地。</w:t>
                  </w:r>
                </w:p>
                <w:p w14:paraId="6D972FEA">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每处施工生活生产区均包括办公室、临时休息室等，不设食堂；</w:t>
                  </w:r>
                  <w:r>
                    <w:rPr>
                      <w:rFonts w:hint="default" w:ascii="Times New Roman" w:hAnsi="Times New Roman" w:cs="Times New Roman"/>
                      <w:color w:val="auto"/>
                      <w:szCs w:val="21"/>
                      <w:highlight w:val="none"/>
                    </w:rPr>
                    <w:t>生产区由施工仓库、</w:t>
                  </w:r>
                  <w:r>
                    <w:rPr>
                      <w:rFonts w:hint="default" w:ascii="Times New Roman" w:hAnsi="Times New Roman" w:cs="Times New Roman"/>
                      <w:color w:val="auto"/>
                      <w:szCs w:val="21"/>
                      <w:highlight w:val="none"/>
                      <w:lang w:val="en-US" w:eastAsia="zh-CN"/>
                    </w:rPr>
                    <w:t>混凝土拌和站</w:t>
                  </w:r>
                  <w:r>
                    <w:rPr>
                      <w:rFonts w:hint="default" w:ascii="Times New Roman" w:hAnsi="Times New Roman" w:cs="Times New Roman"/>
                      <w:color w:val="auto"/>
                      <w:szCs w:val="21"/>
                      <w:highlight w:val="none"/>
                    </w:rPr>
                    <w:t>组成</w:t>
                  </w:r>
                  <w:r>
                    <w:rPr>
                      <w:rFonts w:hint="default" w:ascii="Times New Roman" w:hAnsi="Times New Roman" w:cs="Times New Roman"/>
                      <w:color w:val="auto"/>
                      <w:highlight w:val="none"/>
                    </w:rPr>
                    <w:t>。</w:t>
                  </w:r>
                  <w:r>
                    <w:rPr>
                      <w:rFonts w:hint="default" w:ascii="Times New Roman" w:hAnsi="Times New Roman" w:cs="Times New Roman"/>
                      <w:color w:val="auto"/>
                      <w:szCs w:val="21"/>
                      <w:highlight w:val="none"/>
                    </w:rPr>
                    <w:t>施工区不设集中的大型机械修配厂，大型的维修以</w:t>
                  </w:r>
                  <w:r>
                    <w:rPr>
                      <w:rFonts w:hint="default" w:ascii="Times New Roman" w:hAnsi="Times New Roman" w:cs="Times New Roman"/>
                      <w:color w:val="auto"/>
                      <w:szCs w:val="21"/>
                      <w:highlight w:val="none"/>
                      <w:lang w:val="en-US" w:eastAsia="zh-CN"/>
                    </w:rPr>
                    <w:t>庆安县</w:t>
                  </w:r>
                  <w:r>
                    <w:rPr>
                      <w:rFonts w:hint="default" w:ascii="Times New Roman" w:hAnsi="Times New Roman" w:cs="Times New Roman"/>
                      <w:color w:val="auto"/>
                      <w:szCs w:val="21"/>
                      <w:highlight w:val="none"/>
                    </w:rPr>
                    <w:t>为中心，大修理业务可以外协委托，在工地</w:t>
                  </w: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设置机械维修站或车间</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不设储油库</w:t>
                  </w:r>
                  <w:r>
                    <w:rPr>
                      <w:rFonts w:hint="default" w:ascii="Times New Roman" w:hAnsi="Times New Roman" w:cs="Times New Roman"/>
                      <w:color w:val="auto"/>
                      <w:szCs w:val="21"/>
                      <w:highlight w:val="none"/>
                      <w:lang w:eastAsia="zh-CN"/>
                    </w:rPr>
                    <w:t>和油桶</w:t>
                  </w:r>
                  <w:r>
                    <w:rPr>
                      <w:rFonts w:hint="default" w:ascii="Times New Roman" w:hAnsi="Times New Roman" w:cs="Times New Roman"/>
                      <w:color w:val="auto"/>
                      <w:szCs w:val="21"/>
                      <w:highlight w:val="none"/>
                    </w:rPr>
                    <w:t>，柴油随用随</w:t>
                  </w:r>
                  <w:r>
                    <w:rPr>
                      <w:rFonts w:hint="default" w:ascii="Times New Roman" w:hAnsi="Times New Roman" w:cs="Times New Roman"/>
                      <w:color w:val="auto"/>
                      <w:szCs w:val="21"/>
                      <w:highlight w:val="none"/>
                      <w:lang w:eastAsia="zh-CN"/>
                    </w:rPr>
                    <w:t>加</w:t>
                  </w:r>
                  <w:r>
                    <w:rPr>
                      <w:rFonts w:hint="default" w:ascii="Times New Roman" w:hAnsi="Times New Roman" w:cs="Times New Roman"/>
                      <w:color w:val="auto"/>
                      <w:szCs w:val="21"/>
                      <w:highlight w:val="none"/>
                    </w:rPr>
                    <w:t>，所有机械设备的燃油补充在附近加油站</w:t>
                  </w:r>
                  <w:r>
                    <w:rPr>
                      <w:rFonts w:hint="default" w:ascii="Times New Roman" w:hAnsi="Times New Roman" w:cs="Times New Roman"/>
                      <w:color w:val="auto"/>
                      <w:szCs w:val="21"/>
                      <w:highlight w:val="none"/>
                      <w:lang w:eastAsia="zh-CN"/>
                    </w:rPr>
                    <w:t>进行</w:t>
                  </w:r>
                  <w:r>
                    <w:rPr>
                      <w:rFonts w:hint="default" w:ascii="Times New Roman" w:hAnsi="Times New Roman" w:cs="Times New Roman"/>
                      <w:color w:val="auto"/>
                      <w:szCs w:val="21"/>
                      <w:highlight w:val="none"/>
                    </w:rPr>
                    <w:t>。</w:t>
                  </w:r>
                </w:p>
              </w:tc>
            </w:tr>
            <w:tr w14:paraId="597A3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71C72709">
                  <w:pPr>
                    <w:adjustRightInd w:val="0"/>
                    <w:snapToGrid w:val="0"/>
                    <w:spacing w:line="276" w:lineRule="auto"/>
                    <w:jc w:val="center"/>
                    <w:rPr>
                      <w:rFonts w:hint="default" w:ascii="Times New Roman" w:hAnsi="Times New Roman" w:cs="Times New Roman"/>
                      <w:color w:val="auto"/>
                      <w:szCs w:val="21"/>
                      <w:highlight w:val="none"/>
                    </w:rPr>
                  </w:pPr>
                </w:p>
              </w:tc>
              <w:tc>
                <w:tcPr>
                  <w:tcW w:w="757" w:type="pct"/>
                  <w:gridSpan w:val="2"/>
                  <w:noWrap w:val="0"/>
                  <w:vAlign w:val="center"/>
                </w:tcPr>
                <w:p w14:paraId="433C4E35">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弃渣场</w:t>
                  </w:r>
                </w:p>
              </w:tc>
              <w:tc>
                <w:tcPr>
                  <w:tcW w:w="3908" w:type="pct"/>
                  <w:noWrap w:val="0"/>
                  <w:vAlign w:val="top"/>
                </w:tcPr>
                <w:p w14:paraId="0819151F">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不设弃渣场</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本工程弃渣为土方开挖弃料，共</w:t>
                  </w:r>
                  <w:r>
                    <w:rPr>
                      <w:rFonts w:hint="default" w:ascii="Times New Roman" w:hAnsi="Times New Roman" w:cs="Times New Roman"/>
                      <w:color w:val="auto"/>
                      <w:szCs w:val="21"/>
                      <w:highlight w:val="none"/>
                      <w:lang w:val="en-US" w:eastAsia="zh-CN"/>
                    </w:rPr>
                    <w:t>1.04</w:t>
                  </w:r>
                  <w:r>
                    <w:rPr>
                      <w:rFonts w:hint="default" w:ascii="Times New Roman" w:hAnsi="Times New Roman" w:cs="Times New Roman"/>
                      <w:color w:val="auto"/>
                      <w:szCs w:val="21"/>
                      <w:highlight w:val="none"/>
                    </w:rPr>
                    <w:t>万</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弃土中土方临时堆放在工程沿线的凹地内，就近填塘</w:t>
                  </w:r>
                  <w:r>
                    <w:rPr>
                      <w:rFonts w:hint="default" w:ascii="Times New Roman" w:hAnsi="Times New Roman" w:cs="Times New Roman"/>
                      <w:color w:val="auto"/>
                      <w:szCs w:val="21"/>
                      <w:highlight w:val="none"/>
                      <w:lang w:eastAsia="zh-CN"/>
                    </w:rPr>
                    <w:t>。</w:t>
                  </w:r>
                </w:p>
              </w:tc>
            </w:tr>
            <w:tr w14:paraId="601C0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04702ECA">
                  <w:pPr>
                    <w:adjustRightInd w:val="0"/>
                    <w:snapToGrid w:val="0"/>
                    <w:spacing w:line="276" w:lineRule="auto"/>
                    <w:jc w:val="center"/>
                    <w:rPr>
                      <w:rFonts w:hint="default" w:ascii="Times New Roman" w:hAnsi="Times New Roman" w:cs="Times New Roman"/>
                      <w:color w:val="auto"/>
                      <w:szCs w:val="21"/>
                      <w:highlight w:val="none"/>
                    </w:rPr>
                  </w:pPr>
                </w:p>
              </w:tc>
              <w:tc>
                <w:tcPr>
                  <w:tcW w:w="757" w:type="pct"/>
                  <w:gridSpan w:val="2"/>
                  <w:noWrap w:val="0"/>
                  <w:vAlign w:val="center"/>
                </w:tcPr>
                <w:p w14:paraId="284734FC">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临时道路</w:t>
                  </w:r>
                </w:p>
              </w:tc>
              <w:tc>
                <w:tcPr>
                  <w:tcW w:w="3908" w:type="pct"/>
                  <w:noWrap w:val="0"/>
                  <w:vAlign w:val="top"/>
                </w:tcPr>
                <w:p w14:paraId="0A3628A9">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临时道路长度26.72</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eastAsia="宋体" w:cs="Times New Roman"/>
                      <w:color w:val="auto"/>
                      <w:szCs w:val="21"/>
                      <w:highlight w:val="none"/>
                      <w:lang w:val="en-US" w:eastAsia="zh-CN"/>
                    </w:rPr>
                    <w:t>k</w:t>
                  </w:r>
                  <w:r>
                    <w:rPr>
                      <w:rFonts w:hint="default" w:ascii="Times New Roman" w:hAnsi="Times New Roman" w:cs="Times New Roman"/>
                      <w:color w:val="auto"/>
                      <w:szCs w:val="21"/>
                      <w:highlight w:val="none"/>
                      <w:lang w:val="en-US" w:eastAsia="zh-CN"/>
                    </w:rPr>
                    <w:t>m</w:t>
                  </w:r>
                  <w:r>
                    <w:rPr>
                      <w:rFonts w:hint="default" w:ascii="Times New Roman" w:hAnsi="Times New Roman" w:eastAsia="宋体" w:cs="Times New Roman"/>
                      <w:color w:val="auto"/>
                      <w:szCs w:val="21"/>
                      <w:highlight w:val="none"/>
                      <w:lang w:val="en-US" w:eastAsia="zh-CN"/>
                    </w:rPr>
                    <w:t>、路面宽度为5.0</w:t>
                  </w:r>
                  <w:r>
                    <w:rPr>
                      <w:rFonts w:hint="default" w:ascii="Times New Roman" w:hAnsi="Times New Roman" w:cs="Times New Roman"/>
                      <w:color w:val="auto"/>
                      <w:szCs w:val="21"/>
                      <w:highlight w:val="none"/>
                      <w:lang w:val="en-US" w:eastAsia="zh-CN"/>
                    </w:rPr>
                    <w:t xml:space="preserve"> m</w:t>
                  </w:r>
                  <w:r>
                    <w:rPr>
                      <w:rFonts w:hint="default" w:ascii="Times New Roman" w:hAnsi="Times New Roman" w:eastAsia="宋体" w:cs="Times New Roman"/>
                      <w:color w:val="auto"/>
                      <w:szCs w:val="21"/>
                      <w:highlight w:val="none"/>
                      <w:lang w:val="en-US" w:eastAsia="zh-CN"/>
                    </w:rPr>
                    <w:t>，占地面积13.36公顷，占地类型为耕地</w:t>
                  </w:r>
                  <w:r>
                    <w:rPr>
                      <w:rFonts w:hint="default" w:ascii="Times New Roman" w:hAnsi="Times New Roman" w:cs="Times New Roman"/>
                      <w:color w:val="auto"/>
                      <w:szCs w:val="21"/>
                      <w:highlight w:val="none"/>
                    </w:rPr>
                    <w:t>。</w:t>
                  </w:r>
                </w:p>
              </w:tc>
            </w:tr>
            <w:tr w14:paraId="7AFAE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4" w:type="pct"/>
                  <w:vMerge w:val="continue"/>
                  <w:noWrap w:val="0"/>
                  <w:vAlign w:val="center"/>
                </w:tcPr>
                <w:p w14:paraId="706F62ED">
                  <w:pPr>
                    <w:adjustRightInd w:val="0"/>
                    <w:snapToGrid w:val="0"/>
                    <w:spacing w:line="276" w:lineRule="auto"/>
                    <w:jc w:val="center"/>
                    <w:rPr>
                      <w:rFonts w:hint="default" w:ascii="Times New Roman" w:hAnsi="Times New Roman" w:cs="Times New Roman"/>
                      <w:color w:val="auto"/>
                      <w:szCs w:val="21"/>
                      <w:highlight w:val="none"/>
                    </w:rPr>
                  </w:pPr>
                </w:p>
              </w:tc>
              <w:tc>
                <w:tcPr>
                  <w:tcW w:w="757" w:type="pct"/>
                  <w:gridSpan w:val="2"/>
                  <w:noWrap w:val="0"/>
                  <w:vAlign w:val="center"/>
                </w:tcPr>
                <w:p w14:paraId="49D76162">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表土暂存场</w:t>
                  </w:r>
                </w:p>
              </w:tc>
              <w:tc>
                <w:tcPr>
                  <w:tcW w:w="3908" w:type="pct"/>
                  <w:noWrap w:val="0"/>
                  <w:vAlign w:val="top"/>
                </w:tcPr>
                <w:p w14:paraId="0ABC6E7F">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设置</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处</w:t>
                  </w:r>
                  <w:r>
                    <w:rPr>
                      <w:rFonts w:hint="default" w:ascii="Times New Roman" w:hAnsi="Times New Roman" w:cs="Times New Roman"/>
                      <w:color w:val="auto"/>
                      <w:szCs w:val="21"/>
                      <w:highlight w:val="none"/>
                      <w:lang w:eastAsia="zh-CN"/>
                    </w:rPr>
                    <w:t>表土暂存场</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分别位于发展乡发达村、发富村、县马场。1）发达村</w:t>
                  </w:r>
                  <w:r>
                    <w:rPr>
                      <w:rFonts w:hint="default" w:ascii="Times New Roman" w:hAnsi="Times New Roman" w:cs="Times New Roman"/>
                      <w:color w:val="auto"/>
                      <w:szCs w:val="21"/>
                      <w:highlight w:val="none"/>
                      <w:lang w:eastAsia="zh-CN"/>
                    </w:rPr>
                    <w:t>表土暂存场</w:t>
                  </w:r>
                  <w:r>
                    <w:rPr>
                      <w:rFonts w:hint="default" w:ascii="Times New Roman" w:hAnsi="Times New Roman" w:cs="Times New Roman"/>
                      <w:color w:val="auto"/>
                      <w:szCs w:val="21"/>
                      <w:highlight w:val="none"/>
                      <w:lang w:val="en-US" w:eastAsia="zh-CN"/>
                    </w:rPr>
                    <w:t>占地面积8.78亩，占地类型为耕地；2）发富村</w:t>
                  </w:r>
                  <w:r>
                    <w:rPr>
                      <w:rFonts w:hint="default" w:ascii="Times New Roman" w:hAnsi="Times New Roman" w:cs="Times New Roman"/>
                      <w:color w:val="auto"/>
                      <w:szCs w:val="21"/>
                      <w:highlight w:val="none"/>
                      <w:lang w:eastAsia="zh-CN"/>
                    </w:rPr>
                    <w:t>表土暂存场</w:t>
                  </w:r>
                  <w:r>
                    <w:rPr>
                      <w:rFonts w:hint="default" w:ascii="Times New Roman" w:hAnsi="Times New Roman" w:cs="Times New Roman"/>
                      <w:color w:val="auto"/>
                      <w:szCs w:val="21"/>
                      <w:highlight w:val="none"/>
                      <w:lang w:val="en-US" w:eastAsia="zh-CN"/>
                    </w:rPr>
                    <w:t>占地面积14.63亩，占地类型为耕地；3）县马场</w:t>
                  </w:r>
                  <w:r>
                    <w:rPr>
                      <w:rFonts w:hint="default" w:ascii="Times New Roman" w:hAnsi="Times New Roman" w:cs="Times New Roman"/>
                      <w:color w:val="auto"/>
                      <w:szCs w:val="21"/>
                      <w:highlight w:val="none"/>
                      <w:lang w:eastAsia="zh-CN"/>
                    </w:rPr>
                    <w:t>表土暂存场</w:t>
                  </w:r>
                  <w:r>
                    <w:rPr>
                      <w:rFonts w:hint="default" w:ascii="Times New Roman" w:hAnsi="Times New Roman" w:cs="Times New Roman"/>
                      <w:color w:val="auto"/>
                      <w:szCs w:val="21"/>
                      <w:highlight w:val="none"/>
                      <w:lang w:val="en-US" w:eastAsia="zh-CN"/>
                    </w:rPr>
                    <w:t>占地面积29.25亩，占地类型为耕地。表土暂存场位于发展乡发达村，占地面积5亩，占地类型为耕地；表土</w:t>
                  </w:r>
                  <w:r>
                    <w:rPr>
                      <w:rFonts w:hint="default" w:ascii="Times New Roman" w:hAnsi="Times New Roman" w:cs="Times New Roman"/>
                      <w:color w:val="auto"/>
                      <w:szCs w:val="21"/>
                      <w:highlight w:val="none"/>
                    </w:rPr>
                    <w:t>全部由</w:t>
                  </w:r>
                  <w:r>
                    <w:rPr>
                      <w:rFonts w:hint="default" w:ascii="Times New Roman" w:hAnsi="Times New Roman" w:cs="Times New Roman"/>
                      <w:color w:val="auto"/>
                      <w:szCs w:val="21"/>
                      <w:highlight w:val="none"/>
                      <w:lang w:val="en-US" w:eastAsia="zh-CN"/>
                    </w:rPr>
                    <w:t>庆安县庆禾农业发展有限公司</w:t>
                  </w:r>
                  <w:r>
                    <w:rPr>
                      <w:rFonts w:hint="default" w:ascii="Times New Roman" w:hAnsi="Times New Roman" w:cs="Times New Roman"/>
                      <w:color w:val="auto"/>
                      <w:szCs w:val="21"/>
                      <w:highlight w:val="none"/>
                    </w:rPr>
                    <w:t>外运并进行综合利用，重点用于</w:t>
                  </w:r>
                  <w:r>
                    <w:rPr>
                      <w:rFonts w:hint="default" w:ascii="Times New Roman" w:hAnsi="Times New Roman" w:cs="Times New Roman"/>
                      <w:color w:val="auto"/>
                      <w:szCs w:val="21"/>
                      <w:highlight w:val="none"/>
                      <w:lang w:val="en-US" w:eastAsia="zh-CN"/>
                    </w:rPr>
                    <w:t>土地改良</w:t>
                  </w:r>
                  <w:r>
                    <w:rPr>
                      <w:rFonts w:hint="default" w:ascii="Times New Roman" w:hAnsi="Times New Roman" w:cs="Times New Roman"/>
                      <w:color w:val="auto"/>
                      <w:szCs w:val="21"/>
                      <w:highlight w:val="none"/>
                      <w:lang w:eastAsia="zh-CN"/>
                    </w:rPr>
                    <w:t>，弃土的运输、储存、利用等环节的安全、环保及水土保持由</w:t>
                  </w:r>
                  <w:r>
                    <w:rPr>
                      <w:rFonts w:hint="default" w:ascii="Times New Roman" w:hAnsi="Times New Roman" w:cs="Times New Roman"/>
                      <w:color w:val="auto"/>
                      <w:szCs w:val="21"/>
                      <w:highlight w:val="none"/>
                      <w:lang w:val="en-US" w:eastAsia="zh-CN"/>
                    </w:rPr>
                    <w:t>庆安县庆禾农业发展有限公司</w:t>
                  </w:r>
                  <w:r>
                    <w:rPr>
                      <w:rFonts w:hint="default" w:ascii="Times New Roman" w:hAnsi="Times New Roman" w:cs="Times New Roman"/>
                      <w:color w:val="auto"/>
                      <w:szCs w:val="21"/>
                      <w:highlight w:val="none"/>
                      <w:lang w:eastAsia="zh-CN"/>
                    </w:rPr>
                    <w:t>承担。</w:t>
                  </w:r>
                </w:p>
                <w:p w14:paraId="7C0B555E">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p>
              </w:tc>
            </w:tr>
            <w:tr w14:paraId="08050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3447A2F9">
                  <w:pPr>
                    <w:adjustRightInd w:val="0"/>
                    <w:snapToGrid w:val="0"/>
                    <w:spacing w:line="276" w:lineRule="auto"/>
                    <w:jc w:val="center"/>
                    <w:rPr>
                      <w:rFonts w:hint="default" w:ascii="Times New Roman" w:hAnsi="Times New Roman" w:cs="Times New Roman"/>
                      <w:color w:val="auto"/>
                      <w:szCs w:val="21"/>
                      <w:highlight w:val="none"/>
                    </w:rPr>
                  </w:pPr>
                </w:p>
              </w:tc>
              <w:tc>
                <w:tcPr>
                  <w:tcW w:w="757" w:type="pct"/>
                  <w:gridSpan w:val="2"/>
                  <w:noWrap w:val="0"/>
                  <w:vAlign w:val="center"/>
                </w:tcPr>
                <w:p w14:paraId="23505895">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取土场</w:t>
                  </w:r>
                </w:p>
              </w:tc>
              <w:tc>
                <w:tcPr>
                  <w:tcW w:w="3908" w:type="pct"/>
                  <w:noWrap w:val="0"/>
                  <w:vAlign w:val="top"/>
                </w:tcPr>
                <w:p w14:paraId="2A3F1E19">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yellow"/>
                      <w:lang w:val="en-US" w:eastAsia="zh-CN"/>
                    </w:rPr>
                    <w:t>设置1处取土场，位于十六道岗水库，占用720亩</w:t>
                  </w:r>
                  <w:r>
                    <w:rPr>
                      <w:rFonts w:hint="eastAsia" w:cs="Times New Roman"/>
                      <w:color w:val="auto"/>
                      <w:szCs w:val="21"/>
                      <w:highlight w:val="yellow"/>
                      <w:lang w:val="en-US" w:eastAsia="zh-CN"/>
                    </w:rPr>
                    <w:t>闲置</w:t>
                  </w:r>
                  <w:r>
                    <w:rPr>
                      <w:rFonts w:hint="default" w:ascii="Times New Roman" w:hAnsi="Times New Roman" w:cs="Times New Roman"/>
                      <w:color w:val="auto"/>
                      <w:sz w:val="21"/>
                      <w:szCs w:val="21"/>
                      <w:highlight w:val="yellow"/>
                      <w:lang w:val="en-US" w:eastAsia="zh-CN"/>
                    </w:rPr>
                    <w:t>坑塘</w:t>
                  </w:r>
                  <w:r>
                    <w:rPr>
                      <w:rFonts w:hint="eastAsia" w:cs="Times New Roman"/>
                      <w:color w:val="auto"/>
                      <w:sz w:val="21"/>
                      <w:szCs w:val="21"/>
                      <w:highlight w:val="yellow"/>
                      <w:lang w:val="en-US" w:eastAsia="zh-CN"/>
                    </w:rPr>
                    <w:t>，现状无水，挖深4~5m，</w:t>
                  </w:r>
                  <w:r>
                    <w:rPr>
                      <w:rFonts w:hint="default" w:ascii="Times New Roman" w:hAnsi="Times New Roman" w:cs="Times New Roman"/>
                      <w:color w:val="auto"/>
                      <w:sz w:val="21"/>
                      <w:szCs w:val="21"/>
                      <w:highlight w:val="yellow"/>
                      <w:lang w:val="en-US" w:eastAsia="zh-CN"/>
                    </w:rPr>
                    <w:t>可取土量200万</w:t>
                  </w:r>
                  <w:r>
                    <w:rPr>
                      <w:rFonts w:hint="default" w:ascii="Times New Roman" w:hAnsi="Times New Roman" w:cs="Times New Roman"/>
                      <w:color w:val="auto"/>
                      <w:kern w:val="0"/>
                      <w:sz w:val="21"/>
                      <w:szCs w:val="21"/>
                      <w:highlight w:val="yellow"/>
                      <w:lang w:eastAsia="zh-CN"/>
                    </w:rPr>
                    <w:t>m</w:t>
                  </w:r>
                  <w:r>
                    <w:rPr>
                      <w:rFonts w:hint="default" w:ascii="Times New Roman" w:hAnsi="Times New Roman" w:cs="Times New Roman"/>
                      <w:color w:val="auto"/>
                      <w:kern w:val="0"/>
                      <w:sz w:val="21"/>
                      <w:szCs w:val="21"/>
                      <w:highlight w:val="yellow"/>
                      <w:vertAlign w:val="superscript"/>
                    </w:rPr>
                    <w:t>3</w:t>
                  </w:r>
                  <w:r>
                    <w:rPr>
                      <w:rFonts w:hint="default" w:ascii="Times New Roman" w:hAnsi="Times New Roman" w:cs="Times New Roman"/>
                      <w:color w:val="auto"/>
                      <w:kern w:val="0"/>
                      <w:sz w:val="21"/>
                      <w:szCs w:val="21"/>
                      <w:highlight w:val="yellow"/>
                    </w:rPr>
                    <w:t>，</w:t>
                  </w:r>
                  <w:r>
                    <w:rPr>
                      <w:rFonts w:hint="default" w:ascii="Times New Roman" w:hAnsi="Times New Roman" w:cs="Times New Roman"/>
                      <w:color w:val="auto"/>
                      <w:sz w:val="21"/>
                      <w:szCs w:val="21"/>
                      <w:highlight w:val="yellow"/>
                      <w:lang w:val="en-US" w:eastAsia="zh-CN"/>
                    </w:rPr>
                    <w:t>可满足本项目土方782108</w:t>
                  </w:r>
                  <w:r>
                    <w:rPr>
                      <w:rFonts w:hint="default" w:ascii="Times New Roman" w:hAnsi="Times New Roman" w:cs="Times New Roman"/>
                      <w:color w:val="auto"/>
                      <w:kern w:val="0"/>
                      <w:sz w:val="21"/>
                      <w:szCs w:val="21"/>
                      <w:highlight w:val="yellow"/>
                      <w:lang w:eastAsia="zh-CN"/>
                    </w:rPr>
                    <w:t>m</w:t>
                  </w:r>
                  <w:r>
                    <w:rPr>
                      <w:rFonts w:hint="default" w:ascii="Times New Roman" w:hAnsi="Times New Roman" w:cs="Times New Roman"/>
                      <w:color w:val="auto"/>
                      <w:kern w:val="0"/>
                      <w:sz w:val="21"/>
                      <w:szCs w:val="21"/>
                      <w:highlight w:val="yellow"/>
                      <w:vertAlign w:val="superscript"/>
                    </w:rPr>
                    <w:t>3</w:t>
                  </w:r>
                  <w:r>
                    <w:rPr>
                      <w:rFonts w:hint="default" w:ascii="Times New Roman" w:hAnsi="Times New Roman" w:cs="Times New Roman"/>
                      <w:color w:val="auto"/>
                      <w:kern w:val="0"/>
                      <w:sz w:val="21"/>
                      <w:szCs w:val="21"/>
                      <w:highlight w:val="yellow"/>
                      <w:lang w:val="en-US" w:eastAsia="zh-CN"/>
                    </w:rPr>
                    <w:t>的需求。</w:t>
                  </w:r>
                </w:p>
              </w:tc>
            </w:tr>
            <w:tr w14:paraId="75CAC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32022B32">
                  <w:pPr>
                    <w:adjustRightInd w:val="0"/>
                    <w:snapToGrid w:val="0"/>
                    <w:spacing w:line="276" w:lineRule="auto"/>
                    <w:jc w:val="center"/>
                    <w:rPr>
                      <w:rFonts w:hint="default" w:ascii="Times New Roman" w:hAnsi="Times New Roman" w:cs="Times New Roman"/>
                      <w:color w:val="auto"/>
                      <w:szCs w:val="21"/>
                      <w:highlight w:val="none"/>
                    </w:rPr>
                  </w:pPr>
                </w:p>
              </w:tc>
              <w:tc>
                <w:tcPr>
                  <w:tcW w:w="757" w:type="pct"/>
                  <w:gridSpan w:val="2"/>
                  <w:noWrap w:val="0"/>
                  <w:vAlign w:val="center"/>
                </w:tcPr>
                <w:p w14:paraId="59647487">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建筑材料</w:t>
                  </w:r>
                </w:p>
              </w:tc>
              <w:tc>
                <w:tcPr>
                  <w:tcW w:w="3908" w:type="pct"/>
                  <w:noWrap w:val="0"/>
                  <w:vAlign w:val="top"/>
                </w:tcPr>
                <w:p w14:paraId="1C5D4F46">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块石、碎石、毛石土从嘎达山石场采购，运距50k</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；水泥、钢筋、风化砂从庆安县采购，运距45k</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；柴油、汽油从发展乡采购，运距15k</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。材料全部用汽车运输到工地。建设实施所需要的建筑材料储量和质量完全能满足需要。</w:t>
                  </w:r>
                </w:p>
              </w:tc>
            </w:tr>
            <w:tr w14:paraId="52A7F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1B8ECDAD">
                  <w:pPr>
                    <w:adjustRightInd w:val="0"/>
                    <w:snapToGrid w:val="0"/>
                    <w:spacing w:line="276" w:lineRule="auto"/>
                    <w:jc w:val="center"/>
                    <w:rPr>
                      <w:rFonts w:hint="default" w:ascii="Times New Roman" w:hAnsi="Times New Roman" w:cs="Times New Roman"/>
                      <w:color w:val="auto"/>
                      <w:szCs w:val="21"/>
                      <w:highlight w:val="none"/>
                    </w:rPr>
                  </w:pPr>
                </w:p>
              </w:tc>
              <w:tc>
                <w:tcPr>
                  <w:tcW w:w="757" w:type="pct"/>
                  <w:gridSpan w:val="2"/>
                  <w:noWrap w:val="0"/>
                  <w:vAlign w:val="center"/>
                </w:tcPr>
                <w:p w14:paraId="7941C00A">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风水电系统</w:t>
                  </w:r>
                </w:p>
              </w:tc>
              <w:tc>
                <w:tcPr>
                  <w:tcW w:w="3908" w:type="pct"/>
                  <w:noWrap w:val="0"/>
                  <w:vAlign w:val="top"/>
                </w:tcPr>
                <w:p w14:paraId="2367383E">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生产用水</w:t>
                  </w:r>
                  <w:r>
                    <w:rPr>
                      <w:rFonts w:hint="default" w:ascii="Times New Roman" w:hAnsi="Times New Roman" w:cs="Times New Roman"/>
                      <w:color w:val="auto"/>
                      <w:szCs w:val="21"/>
                      <w:highlight w:val="none"/>
                      <w:lang w:val="en-US" w:eastAsia="zh-CN"/>
                    </w:rPr>
                    <w:t>采用水泵抽取欧根河河水</w:t>
                  </w:r>
                  <w:r>
                    <w:rPr>
                      <w:rFonts w:hint="default" w:ascii="Times New Roman" w:hAnsi="Times New Roman" w:cs="Times New Roman"/>
                      <w:color w:val="auto"/>
                      <w:szCs w:val="21"/>
                      <w:highlight w:val="none"/>
                    </w:rPr>
                    <w:t>，生活用水采用桶装水；施工用电采用自发电，采用移动柴油发电机组为主。</w:t>
                  </w:r>
                </w:p>
              </w:tc>
            </w:tr>
            <w:tr w14:paraId="5A5CE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restart"/>
                  <w:noWrap w:val="0"/>
                  <w:vAlign w:val="center"/>
                </w:tcPr>
                <w:p w14:paraId="4D6E69BC">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工程占地</w:t>
                  </w:r>
                </w:p>
              </w:tc>
              <w:tc>
                <w:tcPr>
                  <w:tcW w:w="757" w:type="pct"/>
                  <w:gridSpan w:val="2"/>
                  <w:noWrap w:val="0"/>
                  <w:vAlign w:val="center"/>
                </w:tcPr>
                <w:p w14:paraId="12849C66">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永久占地</w:t>
                  </w:r>
                </w:p>
              </w:tc>
              <w:tc>
                <w:tcPr>
                  <w:tcW w:w="3908" w:type="pct"/>
                  <w:noWrap w:val="0"/>
                  <w:vAlign w:val="top"/>
                </w:tcPr>
                <w:p w14:paraId="14DA5EB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本次新增永久征收土地面积为875.63亩，其中耕地290.85亩（其中旱地147.09亩，水田143.75亩）、林地172.36亩（其中乔木林地70.45亩，灌木林地71.66亩，其他林地30.25亩）、草地44.74亩（其中沼泽草地16.91亩，其他草地27.83亩）、住宅用地0.47亩（其中农村宅基地0.47亩）、交通运输用地15.68亩（农村道路15.68亩）、水域及水利设施用地319.15亩（其中河流水面54.76亩，坑塘水面205.60亩，养殖坑塘0.97亩，内陆滩涂6.01亩，沟渠51.80亩）、其他土地32.39亩（设施农用地32.39亩）。本工程不涉及占用永久基本农田。</w:t>
                  </w:r>
                </w:p>
              </w:tc>
            </w:tr>
            <w:tr w14:paraId="0F4B1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26B10E79">
                  <w:pPr>
                    <w:adjustRightInd w:val="0"/>
                    <w:snapToGrid w:val="0"/>
                    <w:spacing w:line="276" w:lineRule="auto"/>
                    <w:jc w:val="center"/>
                    <w:rPr>
                      <w:rFonts w:hint="default" w:ascii="Times New Roman" w:hAnsi="Times New Roman" w:cs="Times New Roman"/>
                      <w:color w:val="auto"/>
                      <w:szCs w:val="21"/>
                      <w:highlight w:val="none"/>
                    </w:rPr>
                  </w:pPr>
                </w:p>
              </w:tc>
              <w:tc>
                <w:tcPr>
                  <w:tcW w:w="757" w:type="pct"/>
                  <w:gridSpan w:val="2"/>
                  <w:noWrap w:val="0"/>
                  <w:vAlign w:val="center"/>
                </w:tcPr>
                <w:p w14:paraId="6D647FD5">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临时占地</w:t>
                  </w:r>
                </w:p>
              </w:tc>
              <w:tc>
                <w:tcPr>
                  <w:tcW w:w="3908" w:type="pct"/>
                  <w:noWrap w:val="0"/>
                  <w:vAlign w:val="top"/>
                </w:tcPr>
                <w:p w14:paraId="0419BAE7">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临时占地面积983.55亩，其中临时占用耕地263.55亩，水利及水域设施用地720亩。不占用基本农田。</w:t>
                  </w:r>
                </w:p>
                <w:p w14:paraId="76584493">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其中施工生产生活区临时占用耕地占地面积13.50亩，临时施工道路区临时占用耕地占地面积200.40亩，表土暂存场临时占用耕地占地面积29.25亩，防洪墙施工临时占用耕地占地20.40亩，取土场临时占用水利及属于设施用地占地720亩。</w:t>
                  </w:r>
                </w:p>
              </w:tc>
            </w:tr>
            <w:tr w14:paraId="41CF7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1" w:type="pct"/>
                  <w:gridSpan w:val="3"/>
                  <w:noWrap w:val="0"/>
                  <w:vAlign w:val="center"/>
                </w:tcPr>
                <w:p w14:paraId="130DF484">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土石方工程</w:t>
                  </w:r>
                </w:p>
              </w:tc>
              <w:tc>
                <w:tcPr>
                  <w:tcW w:w="3908" w:type="pct"/>
                  <w:noWrap w:val="0"/>
                  <w:vAlign w:val="top"/>
                </w:tcPr>
                <w:p w14:paraId="398A4D2E">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开挖方</w:t>
                  </w:r>
                  <w:r>
                    <w:rPr>
                      <w:rFonts w:hint="default" w:ascii="Times New Roman" w:hAnsi="Times New Roman" w:cs="Times New Roman"/>
                      <w:color w:val="auto"/>
                      <w:sz w:val="21"/>
                      <w:szCs w:val="21"/>
                      <w:highlight w:val="none"/>
                      <w:lang w:val="en-US" w:eastAsia="zh-CN"/>
                    </w:rPr>
                    <w:t>256062</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lang w:val="en-US" w:eastAsia="zh-CN"/>
                    </w:rPr>
                    <w:t>利用</w:t>
                  </w:r>
                  <w:r>
                    <w:rPr>
                      <w:rFonts w:hint="default" w:ascii="Times New Roman" w:hAnsi="Times New Roman" w:cs="Times New Roman"/>
                      <w:color w:val="auto"/>
                      <w:sz w:val="21"/>
                      <w:szCs w:val="21"/>
                      <w:highlight w:val="none"/>
                    </w:rPr>
                    <w:t>方</w:t>
                  </w:r>
                  <w:r>
                    <w:rPr>
                      <w:rFonts w:hint="default" w:ascii="Times New Roman" w:hAnsi="Times New Roman" w:cs="Times New Roman"/>
                      <w:color w:val="auto"/>
                      <w:sz w:val="21"/>
                      <w:szCs w:val="21"/>
                      <w:highlight w:val="none"/>
                      <w:lang w:val="en-US" w:eastAsia="zh-CN"/>
                    </w:rPr>
                    <w:t>187394</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，回填方</w:t>
                  </w:r>
                  <w:r>
                    <w:rPr>
                      <w:rFonts w:hint="default" w:ascii="Times New Roman" w:hAnsi="Times New Roman" w:cs="Times New Roman"/>
                      <w:color w:val="auto"/>
                      <w:sz w:val="21"/>
                      <w:szCs w:val="21"/>
                      <w:highlight w:val="none"/>
                      <w:lang w:val="en-US" w:eastAsia="zh-CN"/>
                    </w:rPr>
                    <w:t xml:space="preserve">782108 </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，借</w:t>
                  </w:r>
                  <w:r>
                    <w:rPr>
                      <w:rFonts w:hint="default" w:ascii="Times New Roman" w:hAnsi="Times New Roman" w:cs="Times New Roman"/>
                      <w:color w:val="auto"/>
                      <w:sz w:val="21"/>
                      <w:szCs w:val="21"/>
                      <w:highlight w:val="none"/>
                      <w:lang w:val="en-US" w:eastAsia="zh-CN"/>
                    </w:rPr>
                    <w:t xml:space="preserve">方735494 </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，工程产生弃</w:t>
                  </w:r>
                  <w:r>
                    <w:rPr>
                      <w:rFonts w:hint="default" w:ascii="Times New Roman" w:hAnsi="Times New Roman" w:cs="Times New Roman"/>
                      <w:color w:val="auto"/>
                      <w:sz w:val="21"/>
                      <w:szCs w:val="21"/>
                      <w:highlight w:val="none"/>
                      <w:lang w:val="en-US" w:eastAsia="zh-CN"/>
                    </w:rPr>
                    <w:t>方68668</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其中土方余方10977 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就近填塘；表土57691 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临时堆存在表土暂存场，</w:t>
                  </w:r>
                  <w:r>
                    <w:rPr>
                      <w:rFonts w:hint="default" w:ascii="Times New Roman" w:hAnsi="Times New Roman" w:cs="Times New Roman"/>
                      <w:color w:val="auto"/>
                      <w:sz w:val="21"/>
                      <w:szCs w:val="21"/>
                      <w:highlight w:val="none"/>
                    </w:rPr>
                    <w:t>全部由</w:t>
                  </w:r>
                  <w:r>
                    <w:rPr>
                      <w:rFonts w:hint="default" w:ascii="Times New Roman" w:hAnsi="Times New Roman" w:cs="Times New Roman"/>
                      <w:color w:val="auto"/>
                      <w:sz w:val="21"/>
                      <w:szCs w:val="21"/>
                      <w:highlight w:val="none"/>
                      <w:lang w:val="en-US" w:eastAsia="zh-CN"/>
                    </w:rPr>
                    <w:t>庆安县庆禾农业发展有限公司</w:t>
                  </w:r>
                  <w:r>
                    <w:rPr>
                      <w:rFonts w:hint="default" w:ascii="Times New Roman" w:hAnsi="Times New Roman" w:cs="Times New Roman"/>
                      <w:color w:val="auto"/>
                      <w:sz w:val="21"/>
                      <w:szCs w:val="21"/>
                      <w:highlight w:val="none"/>
                    </w:rPr>
                    <w:t>外运并进行综合利用，重点用于</w:t>
                  </w:r>
                  <w:r>
                    <w:rPr>
                      <w:rFonts w:hint="default" w:ascii="Times New Roman" w:hAnsi="Times New Roman" w:cs="Times New Roman"/>
                      <w:color w:val="auto"/>
                      <w:sz w:val="21"/>
                      <w:szCs w:val="21"/>
                      <w:highlight w:val="none"/>
                      <w:lang w:val="en-US" w:eastAsia="zh-CN"/>
                    </w:rPr>
                    <w:t>土地改良。</w:t>
                  </w:r>
                </w:p>
                <w:p w14:paraId="6B9AD8BA">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临时工程表土暂存148800 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临时工程占地范围内，施工结束后用于临时占地生态修复。</w:t>
                  </w:r>
                </w:p>
              </w:tc>
            </w:tr>
            <w:tr w14:paraId="0F47F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restart"/>
                  <w:noWrap w:val="0"/>
                  <w:vAlign w:val="center"/>
                </w:tcPr>
                <w:p w14:paraId="497A7419">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w:t>
                  </w:r>
                </w:p>
                <w:p w14:paraId="72E9BC34">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w:t>
                  </w:r>
                </w:p>
              </w:tc>
              <w:tc>
                <w:tcPr>
                  <w:tcW w:w="632" w:type="pct"/>
                  <w:noWrap w:val="0"/>
                  <w:vAlign w:val="center"/>
                </w:tcPr>
                <w:p w14:paraId="3CEAB747">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供水</w:t>
                  </w:r>
                </w:p>
              </w:tc>
              <w:tc>
                <w:tcPr>
                  <w:tcW w:w="3908" w:type="pct"/>
                  <w:noWrap w:val="0"/>
                  <w:vAlign w:val="top"/>
                </w:tcPr>
                <w:p w14:paraId="10A0383E">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yellow"/>
                    </w:rPr>
                    <w:t>生产用水</w:t>
                  </w:r>
                  <w:r>
                    <w:rPr>
                      <w:rFonts w:hint="default" w:ascii="Times New Roman" w:hAnsi="Times New Roman" w:cs="Times New Roman"/>
                      <w:color w:val="auto"/>
                      <w:sz w:val="21"/>
                      <w:szCs w:val="21"/>
                      <w:highlight w:val="yellow"/>
                      <w:lang w:val="en-US" w:eastAsia="zh-CN"/>
                    </w:rPr>
                    <w:t>抽取欧根河河水</w:t>
                  </w:r>
                  <w:r>
                    <w:rPr>
                      <w:rFonts w:hint="default" w:ascii="Times New Roman" w:hAnsi="Times New Roman" w:cs="Times New Roman"/>
                      <w:color w:val="auto"/>
                      <w:sz w:val="21"/>
                      <w:szCs w:val="21"/>
                      <w:highlight w:val="yellow"/>
                    </w:rPr>
                    <w:t>，上游河段河道河床起伏不大，坡度较缓，河道稳定性较好</w:t>
                  </w:r>
                  <w:r>
                    <w:rPr>
                      <w:rFonts w:hint="eastAsia" w:cs="Times New Roman"/>
                      <w:color w:val="auto"/>
                      <w:sz w:val="21"/>
                      <w:szCs w:val="21"/>
                      <w:highlight w:val="yellow"/>
                      <w:lang w:eastAsia="zh-CN"/>
                    </w:rPr>
                    <w:t>，</w:t>
                  </w:r>
                  <w:r>
                    <w:rPr>
                      <w:rFonts w:hint="eastAsia" w:cs="Times New Roman"/>
                      <w:color w:val="auto"/>
                      <w:sz w:val="21"/>
                      <w:szCs w:val="21"/>
                      <w:highlight w:val="yellow"/>
                      <w:lang w:val="en-US" w:eastAsia="zh-CN"/>
                    </w:rPr>
                    <w:t>枯水期取水不会影响生态流量</w:t>
                  </w:r>
                  <w:r>
                    <w:rPr>
                      <w:rFonts w:hint="default" w:ascii="Times New Roman" w:hAnsi="Times New Roman" w:cs="Times New Roman"/>
                      <w:color w:val="auto"/>
                      <w:sz w:val="21"/>
                      <w:szCs w:val="21"/>
                      <w:highlight w:val="none"/>
                    </w:rPr>
                    <w:t>。</w:t>
                  </w:r>
                </w:p>
                <w:p w14:paraId="3AC7BFFB">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生活用水采用饮用桶装水。</w:t>
                  </w:r>
                </w:p>
              </w:tc>
            </w:tr>
            <w:tr w14:paraId="649C4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326C974C">
                  <w:pPr>
                    <w:adjustRightInd w:val="0"/>
                    <w:snapToGrid w:val="0"/>
                    <w:spacing w:line="276" w:lineRule="auto"/>
                    <w:jc w:val="center"/>
                    <w:rPr>
                      <w:rFonts w:hint="default" w:ascii="Times New Roman" w:hAnsi="Times New Roman" w:cs="Times New Roman"/>
                      <w:color w:val="auto"/>
                      <w:sz w:val="21"/>
                      <w:szCs w:val="21"/>
                      <w:highlight w:val="none"/>
                    </w:rPr>
                  </w:pPr>
                </w:p>
              </w:tc>
              <w:tc>
                <w:tcPr>
                  <w:tcW w:w="632" w:type="pct"/>
                  <w:noWrap w:val="0"/>
                  <w:vAlign w:val="center"/>
                </w:tcPr>
                <w:p w14:paraId="58429AAF">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排水</w:t>
                  </w:r>
                </w:p>
              </w:tc>
              <w:tc>
                <w:tcPr>
                  <w:tcW w:w="3908" w:type="pct"/>
                  <w:noWrap w:val="0"/>
                  <w:vAlign w:val="top"/>
                </w:tcPr>
                <w:p w14:paraId="3C5A71AE">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生活污水设置临时防渗厕所，定期清掏，外运堆肥；</w:t>
                  </w:r>
                  <w:r>
                    <w:rPr>
                      <w:rFonts w:hint="default" w:ascii="Times New Roman" w:hAnsi="Times New Roman" w:cs="Times New Roman"/>
                      <w:color w:val="auto"/>
                      <w:sz w:val="21"/>
                      <w:szCs w:val="21"/>
                      <w:highlight w:val="none"/>
                      <w:lang w:val="en-US" w:eastAsia="zh-CN"/>
                    </w:rPr>
                    <w:t>施工期机械不冲洗，无冲洗废水，混凝土拌和废水经沉淀池沉淀后用于施工区洒水降尘，不外排；基坑废水收集沉淀后回用于周边洒水降尘，不外排；</w:t>
                  </w:r>
                  <w:r>
                    <w:rPr>
                      <w:rFonts w:hint="default" w:ascii="Times New Roman" w:hAnsi="Times New Roman" w:cs="Times New Roman"/>
                      <w:color w:val="auto"/>
                      <w:sz w:val="21"/>
                      <w:szCs w:val="21"/>
                      <w:highlight w:val="none"/>
                      <w:lang w:eastAsia="zh-CN"/>
                    </w:rPr>
                    <w:t>运行期</w:t>
                  </w:r>
                  <w:r>
                    <w:rPr>
                      <w:rFonts w:hint="default" w:ascii="Times New Roman" w:hAnsi="Times New Roman" w:cs="Times New Roman"/>
                      <w:color w:val="auto"/>
                      <w:sz w:val="21"/>
                      <w:szCs w:val="21"/>
                      <w:highlight w:val="none"/>
                    </w:rPr>
                    <w:t>无废水排放。</w:t>
                  </w:r>
                </w:p>
              </w:tc>
            </w:tr>
            <w:tr w14:paraId="73DF0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48DD17D6">
                  <w:pPr>
                    <w:adjustRightInd w:val="0"/>
                    <w:snapToGrid w:val="0"/>
                    <w:spacing w:line="276" w:lineRule="auto"/>
                    <w:jc w:val="center"/>
                    <w:rPr>
                      <w:rFonts w:hint="default" w:ascii="Times New Roman" w:hAnsi="Times New Roman" w:cs="Times New Roman"/>
                      <w:color w:val="auto"/>
                      <w:sz w:val="21"/>
                      <w:szCs w:val="21"/>
                      <w:highlight w:val="none"/>
                    </w:rPr>
                  </w:pPr>
                </w:p>
              </w:tc>
              <w:tc>
                <w:tcPr>
                  <w:tcW w:w="632" w:type="pct"/>
                  <w:noWrap w:val="0"/>
                  <w:vAlign w:val="center"/>
                </w:tcPr>
                <w:p w14:paraId="15728DE7">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w:t>
                  </w:r>
                </w:p>
              </w:tc>
              <w:tc>
                <w:tcPr>
                  <w:tcW w:w="3908" w:type="pct"/>
                  <w:noWrap w:val="0"/>
                  <w:vAlign w:val="top"/>
                </w:tcPr>
                <w:p w14:paraId="16DC2EB3">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生产生活用电采用自发电。</w:t>
                  </w:r>
                </w:p>
              </w:tc>
            </w:tr>
            <w:tr w14:paraId="2F9BF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restart"/>
                  <w:noWrap w:val="0"/>
                  <w:vAlign w:val="center"/>
                </w:tcPr>
                <w:p w14:paraId="483DF91B">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w:t>
                  </w:r>
                </w:p>
                <w:p w14:paraId="74860555">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w:t>
                  </w:r>
                </w:p>
              </w:tc>
              <w:tc>
                <w:tcPr>
                  <w:tcW w:w="632" w:type="pct"/>
                  <w:noWrap w:val="0"/>
                  <w:vAlign w:val="center"/>
                </w:tcPr>
                <w:p w14:paraId="4E05D210">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废气治理</w:t>
                  </w:r>
                </w:p>
              </w:tc>
              <w:tc>
                <w:tcPr>
                  <w:tcW w:w="3908" w:type="pct"/>
                  <w:noWrap w:val="0"/>
                  <w:vAlign w:val="top"/>
                </w:tcPr>
                <w:p w14:paraId="5342BBF7">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施工期易散落材料采取封闭运输，整齐堆放，用苫布苫盖；施工场地周边设置围挡，洒水车定期洒水降尘；运输</w:t>
                  </w:r>
                  <w:r>
                    <w:rPr>
                      <w:rFonts w:hint="default" w:ascii="Times New Roman" w:hAnsi="Times New Roman" w:cs="Times New Roman"/>
                      <w:color w:val="auto"/>
                      <w:sz w:val="21"/>
                      <w:szCs w:val="21"/>
                      <w:highlight w:val="none"/>
                      <w:lang w:val="en-US" w:eastAsia="zh-CN"/>
                    </w:rPr>
                    <w:t>车辆</w:t>
                  </w:r>
                  <w:r>
                    <w:rPr>
                      <w:rFonts w:hint="default" w:ascii="Times New Roman" w:hAnsi="Times New Roman" w:cs="Times New Roman"/>
                      <w:color w:val="auto"/>
                      <w:sz w:val="21"/>
                      <w:szCs w:val="21"/>
                      <w:highlight w:val="none"/>
                    </w:rPr>
                    <w:t>减速慢行，运输车辆和施工机械应选用高质量燃油。混凝土</w:t>
                  </w:r>
                  <w:r>
                    <w:rPr>
                      <w:rFonts w:hint="default" w:ascii="Times New Roman" w:hAnsi="Times New Roman" w:cs="Times New Roman"/>
                      <w:color w:val="auto"/>
                      <w:sz w:val="21"/>
                      <w:szCs w:val="21"/>
                      <w:highlight w:val="none"/>
                      <w:lang w:eastAsia="zh-CN"/>
                    </w:rPr>
                    <w:t>拌和</w:t>
                  </w:r>
                  <w:r>
                    <w:rPr>
                      <w:rFonts w:hint="default" w:ascii="Times New Roman" w:hAnsi="Times New Roman" w:cs="Times New Roman"/>
                      <w:color w:val="auto"/>
                      <w:sz w:val="21"/>
                      <w:szCs w:val="21"/>
                      <w:highlight w:val="none"/>
                    </w:rPr>
                    <w:t>系统设置简易罩棚，周边洒水降尘，</w:t>
                  </w:r>
                  <w:r>
                    <w:rPr>
                      <w:rFonts w:hint="default" w:ascii="Times New Roman" w:hAnsi="Times New Roman" w:cs="Times New Roman"/>
                      <w:color w:val="auto"/>
                      <w:sz w:val="21"/>
                      <w:szCs w:val="21"/>
                      <w:highlight w:val="none"/>
                      <w:lang w:eastAsia="zh-CN"/>
                    </w:rPr>
                    <w:t>拌和</w:t>
                  </w:r>
                  <w:r>
                    <w:rPr>
                      <w:rFonts w:hint="default" w:ascii="Times New Roman" w:hAnsi="Times New Roman" w:cs="Times New Roman"/>
                      <w:color w:val="auto"/>
                      <w:sz w:val="21"/>
                      <w:szCs w:val="21"/>
                      <w:highlight w:val="none"/>
                    </w:rPr>
                    <w:t>废气经系统自带除尘设施处理后排放</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水泥料仓顶部自带除尘设施处理后经仓顶排放</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施工期废气排放可满足《大气污染物综合排放标准》（GB16297—1996）无组织排放控制限值。</w:t>
                  </w:r>
                </w:p>
              </w:tc>
            </w:tr>
            <w:tr w14:paraId="79D30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7754C184">
                  <w:pPr>
                    <w:widowControl/>
                    <w:adjustRightInd w:val="0"/>
                    <w:snapToGrid w:val="0"/>
                    <w:spacing w:line="276" w:lineRule="auto"/>
                    <w:jc w:val="center"/>
                    <w:rPr>
                      <w:rFonts w:hint="default" w:ascii="Times New Roman" w:hAnsi="Times New Roman" w:cs="Times New Roman"/>
                      <w:color w:val="auto"/>
                      <w:sz w:val="21"/>
                      <w:szCs w:val="21"/>
                      <w:highlight w:val="none"/>
                    </w:rPr>
                  </w:pPr>
                </w:p>
              </w:tc>
              <w:tc>
                <w:tcPr>
                  <w:tcW w:w="632" w:type="pct"/>
                  <w:noWrap w:val="0"/>
                  <w:vAlign w:val="center"/>
                </w:tcPr>
                <w:p w14:paraId="1991A485">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废水治理</w:t>
                  </w:r>
                </w:p>
              </w:tc>
              <w:tc>
                <w:tcPr>
                  <w:tcW w:w="3908" w:type="pct"/>
                  <w:noWrap w:val="0"/>
                  <w:vAlign w:val="top"/>
                </w:tcPr>
                <w:p w14:paraId="5C5A8919">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生活污水设置临时防渗厕所，定期清掏，外运堆肥；</w:t>
                  </w:r>
                  <w:r>
                    <w:rPr>
                      <w:rFonts w:hint="default" w:ascii="Times New Roman" w:hAnsi="Times New Roman" w:cs="Times New Roman"/>
                      <w:color w:val="auto"/>
                      <w:sz w:val="21"/>
                      <w:szCs w:val="21"/>
                      <w:highlight w:val="none"/>
                      <w:lang w:val="en-US" w:eastAsia="zh-CN"/>
                    </w:rPr>
                    <w:t>施工期机械不冲洗，无冲洗废水，混凝土拌和废水经沉淀池沉淀后用于施工区洒水降尘，不外排；基坑废水收集沉淀后回用于周边洒水降尘，不外排；</w:t>
                  </w:r>
                  <w:r>
                    <w:rPr>
                      <w:rFonts w:hint="default" w:ascii="Times New Roman" w:hAnsi="Times New Roman" w:cs="Times New Roman"/>
                      <w:color w:val="auto"/>
                      <w:sz w:val="21"/>
                      <w:szCs w:val="21"/>
                      <w:highlight w:val="none"/>
                      <w:lang w:eastAsia="zh-CN"/>
                    </w:rPr>
                    <w:t>运行期</w:t>
                  </w:r>
                  <w:r>
                    <w:rPr>
                      <w:rFonts w:hint="default" w:ascii="Times New Roman" w:hAnsi="Times New Roman" w:cs="Times New Roman"/>
                      <w:color w:val="auto"/>
                      <w:sz w:val="21"/>
                      <w:szCs w:val="21"/>
                      <w:highlight w:val="none"/>
                    </w:rPr>
                    <w:t>无废水排放。</w:t>
                  </w:r>
                </w:p>
              </w:tc>
            </w:tr>
            <w:tr w14:paraId="2BA86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0FCAC35F">
                  <w:pPr>
                    <w:adjustRightInd w:val="0"/>
                    <w:snapToGrid w:val="0"/>
                    <w:spacing w:line="276" w:lineRule="auto"/>
                    <w:jc w:val="center"/>
                    <w:rPr>
                      <w:rFonts w:hint="default" w:ascii="Times New Roman" w:hAnsi="Times New Roman" w:cs="Times New Roman"/>
                      <w:color w:val="auto"/>
                      <w:sz w:val="21"/>
                      <w:szCs w:val="21"/>
                      <w:highlight w:val="none"/>
                    </w:rPr>
                  </w:pPr>
                </w:p>
              </w:tc>
              <w:tc>
                <w:tcPr>
                  <w:tcW w:w="632" w:type="pct"/>
                  <w:noWrap w:val="0"/>
                  <w:vAlign w:val="center"/>
                </w:tcPr>
                <w:p w14:paraId="599ADEA6">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3908" w:type="pct"/>
                  <w:noWrap w:val="0"/>
                  <w:vAlign w:val="top"/>
                </w:tcPr>
                <w:p w14:paraId="54C5EDA9">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1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护岸</w:t>
                  </w:r>
                  <w:r>
                    <w:rPr>
                      <w:rFonts w:hint="default" w:ascii="Times New Roman" w:hAnsi="Times New Roman" w:cs="Times New Roman"/>
                      <w:color w:val="auto"/>
                      <w:sz w:val="21"/>
                      <w:szCs w:val="21"/>
                      <w:highlight w:val="none"/>
                      <w:lang w:val="en-US" w:eastAsia="zh-CN"/>
                    </w:rPr>
                    <w:t>工程和堤防工程</w:t>
                  </w:r>
                  <w:r>
                    <w:rPr>
                      <w:rFonts w:hint="default" w:ascii="Times New Roman" w:hAnsi="Times New Roman" w:cs="Times New Roman"/>
                      <w:color w:val="auto"/>
                      <w:sz w:val="21"/>
                      <w:szCs w:val="21"/>
                      <w:highlight w:val="none"/>
                    </w:rPr>
                    <w:t>开挖产生的土方，</w:t>
                  </w:r>
                  <w:r>
                    <w:rPr>
                      <w:rFonts w:hint="default" w:ascii="Times New Roman" w:hAnsi="Times New Roman" w:cs="Times New Roman"/>
                      <w:color w:val="auto"/>
                      <w:sz w:val="21"/>
                      <w:szCs w:val="21"/>
                      <w:highlight w:val="none"/>
                      <w:lang w:val="en-US" w:eastAsia="zh-CN"/>
                    </w:rPr>
                    <w:t>开挖后堆置于主体工程占地范围内，</w:t>
                  </w:r>
                  <w:r>
                    <w:rPr>
                      <w:rFonts w:hint="default" w:ascii="Times New Roman" w:hAnsi="Times New Roman" w:cs="Times New Roman"/>
                      <w:bCs/>
                      <w:color w:val="auto"/>
                      <w:sz w:val="21"/>
                      <w:szCs w:val="21"/>
                      <w:highlight w:val="none"/>
                    </w:rPr>
                    <w:t>土方堆置时加强防护，坡脚用编织袋填筑土埂压盖并拦挡，表面密目网覆盖</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避免施工期间水土流失。</w:t>
                  </w:r>
                </w:p>
                <w:p w14:paraId="1179973D">
                  <w:pPr>
                    <w:adjustRightInd w:val="0"/>
                    <w:snapToGrid w:val="0"/>
                    <w:spacing w:line="276"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工程为河道护岸工程，弃渣不含有毒有害物质、不含工业废渣、不含建筑垃圾，属于一般土石方，土质均匀、性质稳定，适宜作为回填材料，不产生淋溶污染，不影响河道水质与周边生态。工程沿线存在天然低洼地带、冲沟、岸线凹塘，地形起伏不平，弃渣直接就近回填、分层压实、整平坡面，无需长距离运输，无中转堆放，回填后恢复平缓地形，减少水土流失隐患，有利于后期植被恢复。</w:t>
                  </w:r>
                </w:p>
                <w:p w14:paraId="23988160">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2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②</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lang w:val="en-US" w:eastAsia="zh-CN"/>
                    </w:rPr>
                    <w:t>表土全部由</w:t>
                  </w:r>
                  <w:r>
                    <w:rPr>
                      <w:rFonts w:hint="default" w:ascii="Times New Roman" w:hAnsi="Times New Roman" w:cs="Times New Roman"/>
                      <w:color w:val="auto"/>
                      <w:szCs w:val="21"/>
                      <w:highlight w:val="none"/>
                      <w:lang w:val="en-US" w:eastAsia="zh-CN"/>
                    </w:rPr>
                    <w:t>庆安县庆禾农业发展有限公司</w:t>
                  </w:r>
                  <w:r>
                    <w:rPr>
                      <w:rFonts w:hint="default" w:ascii="Times New Roman" w:hAnsi="Times New Roman" w:cs="Times New Roman"/>
                      <w:color w:val="auto"/>
                      <w:sz w:val="21"/>
                      <w:szCs w:val="21"/>
                      <w:highlight w:val="none"/>
                      <w:lang w:val="en-US" w:eastAsia="zh-CN"/>
                    </w:rPr>
                    <w:t>外运并进行综合利用。</w:t>
                  </w:r>
                </w:p>
                <w:p w14:paraId="436AAD5F">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3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③</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在临时生活区布设垃圾箱，运输垃圾的设施要</w:t>
                  </w:r>
                  <w:r>
                    <w:rPr>
                      <w:rFonts w:hint="default" w:ascii="Times New Roman" w:hAnsi="Times New Roman" w:cs="Times New Roman"/>
                      <w:color w:val="auto"/>
                      <w:sz w:val="21"/>
                      <w:szCs w:val="21"/>
                      <w:highlight w:val="none"/>
                      <w:lang w:eastAsia="zh-CN"/>
                    </w:rPr>
                    <w:t>密闭</w:t>
                  </w:r>
                  <w:r>
                    <w:rPr>
                      <w:rFonts w:hint="default" w:ascii="Times New Roman" w:hAnsi="Times New Roman" w:cs="Times New Roman"/>
                      <w:color w:val="auto"/>
                      <w:sz w:val="21"/>
                      <w:szCs w:val="21"/>
                      <w:highlight w:val="none"/>
                    </w:rPr>
                    <w:t>，以免对环境造成二次污染。</w:t>
                  </w:r>
                </w:p>
                <w:p w14:paraId="340F73F3">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 4 \* GB3 \* MERGEFORMAT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rPr>
                    <w:t>④</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rPr>
                    <w:t>定期收集清运建筑垃圾，能够回收利用的送交废旧物资回收站处理，其余的送市政部门指定地点堆存，以保护施工区环境卫生。</w:t>
                  </w:r>
                </w:p>
                <w:p w14:paraId="26A2F214">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 5 \* GB3 \* MERGEFORMAT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highlight w:val="none"/>
                    </w:rPr>
                    <w:t>⑤</w:t>
                  </w:r>
                  <w:r>
                    <w:rPr>
                      <w:rFonts w:hint="default" w:ascii="Times New Roman" w:hAnsi="Times New Roman" w:cs="Times New Roman"/>
                      <w:color w:val="auto"/>
                      <w:szCs w:val="21"/>
                      <w:highlight w:val="none"/>
                    </w:rPr>
                    <w:fldChar w:fldCharType="end"/>
                  </w:r>
                  <w:r>
                    <w:rPr>
                      <w:rFonts w:hint="default" w:ascii="Times New Roman" w:hAnsi="Times New Roman" w:cs="Times New Roman"/>
                      <w:color w:val="auto"/>
                      <w:sz w:val="21"/>
                      <w:szCs w:val="21"/>
                      <w:highlight w:val="none"/>
                      <w:lang w:val="en-US" w:eastAsia="zh-CN"/>
                    </w:rPr>
                    <w:t>沉淀池污泥施工结束后统一清出与弃土一同处置。</w:t>
                  </w:r>
                </w:p>
              </w:tc>
            </w:tr>
            <w:tr w14:paraId="07B83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3FC4D309">
                  <w:pPr>
                    <w:adjustRightInd w:val="0"/>
                    <w:snapToGrid w:val="0"/>
                    <w:spacing w:line="276" w:lineRule="auto"/>
                    <w:jc w:val="center"/>
                    <w:rPr>
                      <w:rFonts w:hint="default" w:ascii="Times New Roman" w:hAnsi="Times New Roman" w:cs="Times New Roman"/>
                      <w:color w:val="auto"/>
                      <w:szCs w:val="21"/>
                      <w:highlight w:val="none"/>
                    </w:rPr>
                  </w:pPr>
                </w:p>
              </w:tc>
              <w:tc>
                <w:tcPr>
                  <w:tcW w:w="632" w:type="pct"/>
                  <w:noWrap w:val="0"/>
                  <w:vAlign w:val="center"/>
                </w:tcPr>
                <w:p w14:paraId="069A4A3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3908" w:type="pct"/>
                  <w:noWrap w:val="0"/>
                  <w:vAlign w:val="top"/>
                </w:tcPr>
                <w:p w14:paraId="1A3E693E">
                  <w:pPr>
                    <w:adjustRightInd w:val="0"/>
                    <w:snapToGrid w:val="0"/>
                    <w:spacing w:line="276"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①</w:t>
                  </w:r>
                  <w:r>
                    <w:rPr>
                      <w:rFonts w:hint="default" w:ascii="Times New Roman" w:hAnsi="Times New Roman" w:cs="Times New Roman"/>
                      <w:color w:val="auto"/>
                      <w:szCs w:val="21"/>
                      <w:highlight w:val="none"/>
                    </w:rPr>
                    <w:t>机械设备安装基础减振，运输</w:t>
                  </w:r>
                  <w:r>
                    <w:rPr>
                      <w:rFonts w:hint="default" w:ascii="Times New Roman" w:hAnsi="Times New Roman" w:cs="Times New Roman"/>
                      <w:color w:val="auto"/>
                      <w:szCs w:val="21"/>
                      <w:highlight w:val="none"/>
                      <w:lang w:eastAsia="zh-CN"/>
                    </w:rPr>
                    <w:t>车辆</w:t>
                  </w:r>
                  <w:r>
                    <w:rPr>
                      <w:rFonts w:hint="default" w:ascii="Times New Roman" w:hAnsi="Times New Roman" w:cs="Times New Roman"/>
                      <w:color w:val="auto"/>
                      <w:szCs w:val="21"/>
                      <w:highlight w:val="none"/>
                    </w:rPr>
                    <w:t>减速慢行，夜间（22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00时至次日6</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00时）禁止施工</w:t>
                  </w:r>
                  <w:r>
                    <w:rPr>
                      <w:rFonts w:hint="default" w:ascii="Times New Roman" w:hAnsi="Times New Roman" w:eastAsia="宋体" w:cs="Times New Roman"/>
                      <w:color w:val="auto"/>
                      <w:szCs w:val="21"/>
                      <w:highlight w:val="none"/>
                    </w:rPr>
                    <w:t>。运输路线路过居民区时减速慢行，禁止鸣笛。</w:t>
                  </w:r>
                </w:p>
                <w:p w14:paraId="690C8B6D">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②</w:t>
                  </w:r>
                  <w:r>
                    <w:rPr>
                      <w:rFonts w:hint="default" w:ascii="Times New Roman" w:hAnsi="Times New Roman" w:eastAsia="宋体" w:cs="Times New Roman"/>
                      <w:color w:val="auto"/>
                      <w:szCs w:val="21"/>
                      <w:highlight w:val="none"/>
                    </w:rPr>
                    <w:t>施工车辆在临时道路行驶产生交通噪声，噪声源强较低，仅对道路沿线近距离产生短期、间歇性影响，无长期噪声影响，施工结束后影响消除</w:t>
                  </w:r>
                  <w:r>
                    <w:rPr>
                      <w:rFonts w:hint="default" w:ascii="Times New Roman" w:hAnsi="Times New Roman" w:eastAsia="宋体" w:cs="Times New Roman"/>
                      <w:color w:val="auto"/>
                      <w:szCs w:val="21"/>
                      <w:highlight w:val="none"/>
                      <w:lang w:eastAsia="zh-CN"/>
                    </w:rPr>
                    <w:t>，合理安排运输时间，禁止夜间运输；车辆减速慢行、禁止鸣笛，降低噪声影响。</w:t>
                  </w:r>
                </w:p>
                <w:p w14:paraId="2406260F">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eastAsia="zh-CN"/>
                    </w:rPr>
                    <w:t>施工期噪声</w:t>
                  </w:r>
                  <w:r>
                    <w:rPr>
                      <w:rFonts w:hint="default" w:ascii="Times New Roman" w:hAnsi="Times New Roman" w:cs="Times New Roman"/>
                      <w:color w:val="auto"/>
                      <w:sz w:val="21"/>
                      <w:szCs w:val="21"/>
                      <w:highlight w:val="none"/>
                      <w:lang w:val="en-US" w:eastAsia="zh-CN"/>
                    </w:rPr>
                    <w:t>满足</w:t>
                  </w:r>
                  <w:r>
                    <w:rPr>
                      <w:rFonts w:hint="default" w:ascii="Times New Roman" w:hAnsi="Times New Roman" w:eastAsia="宋体" w:cs="Times New Roman"/>
                      <w:color w:val="auto"/>
                      <w:sz w:val="21"/>
                      <w:szCs w:val="21"/>
                      <w:highlight w:val="none"/>
                      <w:lang w:eastAsia="zh-CN"/>
                    </w:rPr>
                    <w:t>《建筑施工噪声排放标准》（GB12523</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2025）。</w:t>
                  </w:r>
                </w:p>
              </w:tc>
            </w:tr>
            <w:tr w14:paraId="282BD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0DCDC694">
                  <w:pPr>
                    <w:adjustRightInd w:val="0"/>
                    <w:snapToGrid w:val="0"/>
                    <w:spacing w:line="276" w:lineRule="auto"/>
                    <w:jc w:val="center"/>
                    <w:rPr>
                      <w:rFonts w:hint="default" w:ascii="Times New Roman" w:hAnsi="Times New Roman" w:cs="Times New Roman"/>
                      <w:color w:val="auto"/>
                      <w:szCs w:val="21"/>
                      <w:highlight w:val="none"/>
                    </w:rPr>
                  </w:pPr>
                </w:p>
              </w:tc>
              <w:tc>
                <w:tcPr>
                  <w:tcW w:w="632" w:type="pct"/>
                  <w:noWrap w:val="0"/>
                  <w:vAlign w:val="center"/>
                </w:tcPr>
                <w:p w14:paraId="5587426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w:t>
                  </w:r>
                </w:p>
              </w:tc>
              <w:tc>
                <w:tcPr>
                  <w:tcW w:w="3908" w:type="pct"/>
                  <w:noWrap w:val="0"/>
                  <w:vAlign w:val="top"/>
                </w:tcPr>
                <w:p w14:paraId="2DB2F380">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避让</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加强施工期</w:t>
                  </w:r>
                  <w:r>
                    <w:rPr>
                      <w:rFonts w:hint="default" w:ascii="Times New Roman" w:hAnsi="Times New Roman" w:cs="Times New Roman"/>
                      <w:color w:val="auto"/>
                      <w:szCs w:val="21"/>
                      <w:highlight w:val="none"/>
                      <w:lang w:val="en-US" w:eastAsia="zh-CN"/>
                    </w:rPr>
                    <w:t>间</w:t>
                  </w:r>
                  <w:r>
                    <w:rPr>
                      <w:rFonts w:hint="default" w:ascii="Times New Roman" w:hAnsi="Times New Roman" w:cs="Times New Roman"/>
                      <w:color w:val="auto"/>
                      <w:szCs w:val="21"/>
                      <w:highlight w:val="none"/>
                    </w:rPr>
                    <w:t>的环境管理，严格按征地进行占地，临时占地尽量少占，减少植被破坏；在施工期间，要禁止捕鱼、破坏占地外的植被；</w:t>
                  </w:r>
                  <w:r>
                    <w:rPr>
                      <w:rFonts w:hint="default" w:ascii="Times New Roman" w:hAnsi="Times New Roman" w:cs="Times New Roman"/>
                      <w:color w:val="auto"/>
                      <w:szCs w:val="21"/>
                      <w:highlight w:val="none"/>
                      <w:lang w:val="en-US" w:eastAsia="zh-CN"/>
                    </w:rPr>
                    <w:t>避开鱼类产卵期进行施工，施工采用低噪声设备。</w:t>
                  </w:r>
                </w:p>
                <w:p w14:paraId="3A35F660">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减缓</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优化施工工艺，缩短施工工期；</w:t>
                  </w:r>
                  <w:r>
                    <w:rPr>
                      <w:rFonts w:hint="default" w:ascii="Times New Roman" w:hAnsi="Times New Roman" w:cs="Times New Roman"/>
                      <w:color w:val="auto"/>
                      <w:szCs w:val="21"/>
                      <w:highlight w:val="none"/>
                    </w:rPr>
                    <w:t>施工开始前，进行表土剥离，耕地剥离厚度30c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草地和林地剥离厚度30cm，</w:t>
                  </w:r>
                  <w:r>
                    <w:rPr>
                      <w:rFonts w:hint="default" w:ascii="Times New Roman" w:hAnsi="Times New Roman" w:cs="Times New Roman"/>
                      <w:color w:val="auto"/>
                      <w:szCs w:val="21"/>
                      <w:highlight w:val="none"/>
                    </w:rPr>
                    <w:t>周边设置排水沟，堆置表土外表面采取密目网覆盖措施，布置编织袋土埂拦挡，施工结束后表土回填。施工结束后，临时占地全部恢复为原地类。施工中凡是土石方开采量大的项目应该避开暴雨期，减少暴雨冲刷，减轻水土流失。</w:t>
                  </w:r>
                </w:p>
                <w:p w14:paraId="19E3A719">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补偿:对于项目临时所占的耕地缴纳土地复垦费、林地缴纳林地补偿费、植被缴纳植被恢复费。</w:t>
                  </w:r>
                </w:p>
                <w:p w14:paraId="40347AAE">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恢复:施工结束后对临时占地进行植被恢复和土地复垦。</w:t>
                  </w:r>
                </w:p>
                <w:p w14:paraId="543F6DFC">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管理</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施工单位应配备专业环保人员，生态恢复主体为建设单位</w:t>
                  </w:r>
                  <w:r>
                    <w:rPr>
                      <w:rFonts w:hint="default" w:ascii="Times New Roman" w:hAnsi="Times New Roman" w:cs="Times New Roman"/>
                      <w:color w:val="auto"/>
                      <w:szCs w:val="21"/>
                      <w:highlight w:val="none"/>
                      <w:lang w:eastAsia="zh-CN"/>
                    </w:rPr>
                    <w:t>庆安县中小型水利工程建设管理中心</w:t>
                  </w:r>
                  <w:r>
                    <w:rPr>
                      <w:rFonts w:hint="default" w:ascii="Times New Roman" w:hAnsi="Times New Roman" w:cs="Times New Roman"/>
                      <w:color w:val="auto"/>
                      <w:szCs w:val="21"/>
                      <w:highlight w:val="none"/>
                    </w:rPr>
                    <w:t>。</w:t>
                  </w:r>
                </w:p>
                <w:p w14:paraId="588298AC">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施工结束后一年内进行生态监测，监测植被恢复情况。</w:t>
                  </w:r>
                </w:p>
              </w:tc>
            </w:tr>
            <w:bookmarkEnd w:id="12"/>
          </w:tbl>
          <w:p w14:paraId="33738010">
            <w:pPr>
              <w:adjustRightInd w:val="0"/>
              <w:snapToGrid w:val="0"/>
              <w:ind w:firstLine="480"/>
              <w:rPr>
                <w:rFonts w:hint="default" w:ascii="Times New Roman" w:hAnsi="Times New Roman" w:cs="Times New Roman"/>
                <w:color w:val="auto"/>
                <w:kern w:val="0"/>
                <w:sz w:val="24"/>
                <w:highlight w:val="none"/>
              </w:rPr>
            </w:pPr>
          </w:p>
          <w:p w14:paraId="2B710571">
            <w:pPr>
              <w:pStyle w:val="34"/>
              <w:rPr>
                <w:rFonts w:hint="default" w:ascii="Times New Roman" w:hAnsi="Times New Roman" w:cs="Times New Roman"/>
                <w:color w:val="auto"/>
                <w:kern w:val="0"/>
                <w:sz w:val="24"/>
                <w:highlight w:val="none"/>
              </w:rPr>
            </w:pPr>
          </w:p>
          <w:p w14:paraId="268CFC81">
            <w:pPr>
              <w:pStyle w:val="34"/>
              <w:rPr>
                <w:rFonts w:hint="default" w:ascii="Times New Roman" w:hAnsi="Times New Roman" w:cs="Times New Roman"/>
                <w:color w:val="auto"/>
                <w:kern w:val="0"/>
                <w:sz w:val="24"/>
                <w:highlight w:val="none"/>
              </w:rPr>
            </w:pPr>
          </w:p>
          <w:p w14:paraId="2E971BDF">
            <w:pPr>
              <w:pStyle w:val="34"/>
              <w:rPr>
                <w:rFonts w:hint="default" w:ascii="Times New Roman" w:hAnsi="Times New Roman" w:cs="Times New Roman"/>
                <w:color w:val="auto"/>
                <w:kern w:val="0"/>
                <w:sz w:val="24"/>
                <w:highlight w:val="none"/>
              </w:rPr>
            </w:pPr>
          </w:p>
          <w:p w14:paraId="78E403C6">
            <w:pPr>
              <w:pStyle w:val="34"/>
              <w:rPr>
                <w:rFonts w:hint="default" w:ascii="Times New Roman" w:hAnsi="Times New Roman" w:cs="Times New Roman"/>
                <w:color w:val="auto"/>
                <w:kern w:val="0"/>
                <w:sz w:val="24"/>
                <w:highlight w:val="none"/>
              </w:rPr>
            </w:pPr>
          </w:p>
          <w:p w14:paraId="6B7EAF9B">
            <w:pPr>
              <w:pStyle w:val="34"/>
              <w:rPr>
                <w:rFonts w:hint="default" w:ascii="Times New Roman" w:hAnsi="Times New Roman" w:cs="Times New Roman"/>
                <w:color w:val="auto"/>
                <w:kern w:val="0"/>
                <w:sz w:val="24"/>
                <w:highlight w:val="none"/>
              </w:rPr>
            </w:pPr>
          </w:p>
          <w:p w14:paraId="007347F5">
            <w:pPr>
              <w:pStyle w:val="34"/>
              <w:rPr>
                <w:rFonts w:hint="default" w:ascii="Times New Roman" w:hAnsi="Times New Roman" w:cs="Times New Roman"/>
                <w:color w:val="auto"/>
                <w:kern w:val="0"/>
                <w:sz w:val="24"/>
                <w:highlight w:val="none"/>
              </w:rPr>
            </w:pPr>
          </w:p>
          <w:p w14:paraId="01D58BCF">
            <w:pPr>
              <w:pStyle w:val="34"/>
              <w:rPr>
                <w:rFonts w:hint="default" w:ascii="Times New Roman" w:hAnsi="Times New Roman" w:cs="Times New Roman"/>
                <w:color w:val="auto"/>
                <w:kern w:val="0"/>
                <w:sz w:val="24"/>
                <w:highlight w:val="none"/>
              </w:rPr>
            </w:pPr>
          </w:p>
          <w:p w14:paraId="20046A26">
            <w:pPr>
              <w:pStyle w:val="34"/>
              <w:rPr>
                <w:rFonts w:hint="default" w:ascii="Times New Roman" w:hAnsi="Times New Roman" w:cs="Times New Roman"/>
                <w:color w:val="auto"/>
                <w:kern w:val="0"/>
                <w:sz w:val="24"/>
                <w:highlight w:val="none"/>
              </w:rPr>
            </w:pPr>
          </w:p>
          <w:p w14:paraId="174D708D">
            <w:pPr>
              <w:pStyle w:val="34"/>
              <w:rPr>
                <w:rFonts w:hint="default" w:ascii="Times New Roman" w:hAnsi="Times New Roman" w:cs="Times New Roman"/>
                <w:color w:val="auto"/>
                <w:kern w:val="0"/>
                <w:sz w:val="24"/>
                <w:highlight w:val="none"/>
              </w:rPr>
            </w:pPr>
          </w:p>
          <w:p w14:paraId="44F74580">
            <w:pPr>
              <w:pStyle w:val="34"/>
              <w:rPr>
                <w:rFonts w:hint="default" w:ascii="Times New Roman" w:hAnsi="Times New Roman" w:cs="Times New Roman"/>
                <w:color w:val="auto"/>
                <w:kern w:val="0"/>
                <w:sz w:val="24"/>
                <w:highlight w:val="none"/>
              </w:rPr>
            </w:pPr>
          </w:p>
          <w:p w14:paraId="1C8ADD3A">
            <w:pPr>
              <w:pStyle w:val="34"/>
              <w:rPr>
                <w:rFonts w:hint="default" w:ascii="Times New Roman" w:hAnsi="Times New Roman" w:cs="Times New Roman"/>
                <w:color w:val="auto"/>
                <w:kern w:val="0"/>
                <w:sz w:val="24"/>
                <w:highlight w:val="none"/>
              </w:rPr>
            </w:pPr>
          </w:p>
          <w:p w14:paraId="2A7844C9">
            <w:pPr>
              <w:pStyle w:val="34"/>
              <w:rPr>
                <w:rFonts w:hint="default" w:ascii="Times New Roman" w:hAnsi="Times New Roman" w:cs="Times New Roman"/>
                <w:color w:val="auto"/>
                <w:kern w:val="0"/>
                <w:sz w:val="24"/>
                <w:highlight w:val="none"/>
              </w:rPr>
            </w:pPr>
          </w:p>
          <w:p w14:paraId="4D4917DE">
            <w:pPr>
              <w:pStyle w:val="34"/>
              <w:rPr>
                <w:rFonts w:hint="default" w:ascii="Times New Roman" w:hAnsi="Times New Roman" w:cs="Times New Roman"/>
                <w:color w:val="auto"/>
                <w:kern w:val="0"/>
                <w:sz w:val="24"/>
                <w:highlight w:val="none"/>
              </w:rPr>
            </w:pPr>
          </w:p>
          <w:p w14:paraId="0EB607E5">
            <w:pPr>
              <w:pStyle w:val="34"/>
              <w:rPr>
                <w:rFonts w:hint="default" w:ascii="Times New Roman" w:hAnsi="Times New Roman" w:cs="Times New Roman"/>
                <w:color w:val="auto"/>
                <w:kern w:val="0"/>
                <w:sz w:val="24"/>
                <w:highlight w:val="none"/>
              </w:rPr>
            </w:pPr>
          </w:p>
          <w:p w14:paraId="3F2232AA">
            <w:pPr>
              <w:pStyle w:val="34"/>
              <w:rPr>
                <w:rFonts w:hint="default" w:ascii="Times New Roman" w:hAnsi="Times New Roman" w:cs="Times New Roman"/>
                <w:color w:val="auto"/>
                <w:kern w:val="0"/>
                <w:sz w:val="24"/>
                <w:highlight w:val="none"/>
              </w:rPr>
            </w:pPr>
          </w:p>
          <w:p w14:paraId="2A9DF59D">
            <w:pPr>
              <w:pStyle w:val="34"/>
              <w:rPr>
                <w:rFonts w:hint="default" w:ascii="Times New Roman" w:hAnsi="Times New Roman" w:cs="Times New Roman"/>
                <w:color w:val="auto"/>
                <w:kern w:val="0"/>
                <w:sz w:val="24"/>
                <w:highlight w:val="none"/>
              </w:rPr>
            </w:pPr>
          </w:p>
          <w:p w14:paraId="74E32635">
            <w:pPr>
              <w:pStyle w:val="34"/>
              <w:rPr>
                <w:rFonts w:hint="default" w:ascii="Times New Roman" w:hAnsi="Times New Roman" w:cs="Times New Roman"/>
                <w:color w:val="auto"/>
                <w:kern w:val="0"/>
                <w:sz w:val="24"/>
                <w:highlight w:val="none"/>
              </w:rPr>
            </w:pPr>
          </w:p>
          <w:p w14:paraId="301E8BB4">
            <w:pPr>
              <w:pStyle w:val="34"/>
              <w:rPr>
                <w:rFonts w:hint="default" w:ascii="Times New Roman" w:hAnsi="Times New Roman" w:cs="Times New Roman"/>
                <w:color w:val="auto"/>
                <w:kern w:val="0"/>
                <w:sz w:val="24"/>
                <w:highlight w:val="none"/>
              </w:rPr>
            </w:pPr>
          </w:p>
          <w:p w14:paraId="40653419">
            <w:pPr>
              <w:pStyle w:val="34"/>
              <w:rPr>
                <w:rFonts w:hint="default" w:ascii="Times New Roman" w:hAnsi="Times New Roman" w:cs="Times New Roman"/>
                <w:color w:val="auto"/>
                <w:kern w:val="0"/>
                <w:sz w:val="24"/>
                <w:highlight w:val="none"/>
              </w:rPr>
            </w:pPr>
          </w:p>
          <w:p w14:paraId="2B44C037">
            <w:pPr>
              <w:pStyle w:val="34"/>
              <w:rPr>
                <w:rFonts w:hint="default" w:ascii="Times New Roman" w:hAnsi="Times New Roman" w:cs="Times New Roman"/>
                <w:color w:val="auto"/>
                <w:kern w:val="0"/>
                <w:sz w:val="24"/>
                <w:highlight w:val="none"/>
              </w:rPr>
            </w:pPr>
          </w:p>
          <w:p w14:paraId="4B97407B">
            <w:pPr>
              <w:pStyle w:val="34"/>
              <w:rPr>
                <w:rFonts w:hint="default" w:ascii="Times New Roman" w:hAnsi="Times New Roman" w:cs="Times New Roman"/>
                <w:color w:val="auto"/>
                <w:kern w:val="0"/>
                <w:sz w:val="24"/>
                <w:highlight w:val="none"/>
              </w:rPr>
            </w:pPr>
          </w:p>
          <w:p w14:paraId="7EC5E3FC">
            <w:pPr>
              <w:pStyle w:val="34"/>
              <w:rPr>
                <w:rFonts w:hint="default" w:ascii="Times New Roman" w:hAnsi="Times New Roman" w:cs="Times New Roman"/>
                <w:color w:val="auto"/>
                <w:kern w:val="0"/>
                <w:sz w:val="24"/>
                <w:highlight w:val="none"/>
              </w:rPr>
            </w:pPr>
          </w:p>
          <w:p w14:paraId="1270B87F">
            <w:pPr>
              <w:pStyle w:val="34"/>
              <w:rPr>
                <w:rFonts w:hint="default" w:ascii="Times New Roman" w:hAnsi="Times New Roman" w:cs="Times New Roman"/>
                <w:color w:val="auto"/>
                <w:kern w:val="0"/>
                <w:sz w:val="24"/>
                <w:highlight w:val="none"/>
              </w:rPr>
            </w:pPr>
          </w:p>
          <w:p w14:paraId="363AC75D">
            <w:pPr>
              <w:pStyle w:val="34"/>
              <w:rPr>
                <w:rFonts w:hint="default" w:ascii="Times New Roman" w:hAnsi="Times New Roman" w:cs="Times New Roman"/>
                <w:color w:val="auto"/>
                <w:kern w:val="0"/>
                <w:sz w:val="24"/>
                <w:highlight w:val="none"/>
              </w:rPr>
            </w:pPr>
          </w:p>
          <w:p w14:paraId="19C867E1">
            <w:pPr>
              <w:pStyle w:val="34"/>
              <w:rPr>
                <w:rFonts w:hint="default" w:ascii="Times New Roman" w:hAnsi="Times New Roman" w:cs="Times New Roman"/>
                <w:color w:val="auto"/>
                <w:kern w:val="0"/>
                <w:sz w:val="24"/>
                <w:highlight w:val="none"/>
              </w:rPr>
            </w:pPr>
          </w:p>
          <w:p w14:paraId="76BAD25A">
            <w:pPr>
              <w:pStyle w:val="34"/>
              <w:rPr>
                <w:rFonts w:hint="default" w:ascii="Times New Roman" w:hAnsi="Times New Roman" w:cs="Times New Roman"/>
                <w:color w:val="auto"/>
                <w:kern w:val="0"/>
                <w:sz w:val="24"/>
                <w:highlight w:val="none"/>
              </w:rPr>
            </w:pPr>
          </w:p>
          <w:p w14:paraId="4901DC4E">
            <w:pPr>
              <w:pStyle w:val="34"/>
              <w:rPr>
                <w:rFonts w:hint="default" w:ascii="Times New Roman" w:hAnsi="Times New Roman" w:cs="Times New Roman"/>
                <w:color w:val="auto"/>
                <w:kern w:val="0"/>
                <w:sz w:val="24"/>
                <w:highlight w:val="none"/>
              </w:rPr>
            </w:pPr>
          </w:p>
          <w:p w14:paraId="55EC90E7">
            <w:pPr>
              <w:pStyle w:val="34"/>
              <w:rPr>
                <w:rFonts w:hint="default" w:ascii="Times New Roman" w:hAnsi="Times New Roman" w:cs="Times New Roman"/>
                <w:color w:val="auto"/>
                <w:kern w:val="0"/>
                <w:sz w:val="24"/>
                <w:highlight w:val="none"/>
              </w:rPr>
            </w:pPr>
          </w:p>
          <w:p w14:paraId="3619B9C0">
            <w:pPr>
              <w:pStyle w:val="34"/>
              <w:rPr>
                <w:rFonts w:hint="default" w:ascii="Times New Roman" w:hAnsi="Times New Roman" w:cs="Times New Roman"/>
                <w:color w:val="auto"/>
                <w:kern w:val="0"/>
                <w:sz w:val="24"/>
                <w:highlight w:val="none"/>
              </w:rPr>
            </w:pPr>
          </w:p>
          <w:p w14:paraId="40EFE894">
            <w:pPr>
              <w:pStyle w:val="34"/>
              <w:rPr>
                <w:rFonts w:hint="default" w:ascii="Times New Roman" w:hAnsi="Times New Roman" w:cs="Times New Roman"/>
                <w:color w:val="auto"/>
                <w:kern w:val="0"/>
                <w:sz w:val="24"/>
                <w:highlight w:val="none"/>
              </w:rPr>
            </w:pPr>
          </w:p>
          <w:p w14:paraId="192617C4">
            <w:pPr>
              <w:pStyle w:val="34"/>
              <w:rPr>
                <w:rFonts w:hint="default" w:ascii="Times New Roman" w:hAnsi="Times New Roman" w:cs="Times New Roman"/>
                <w:color w:val="auto"/>
                <w:kern w:val="0"/>
                <w:sz w:val="24"/>
                <w:highlight w:val="none"/>
              </w:rPr>
            </w:pPr>
          </w:p>
          <w:p w14:paraId="6C0AE568">
            <w:pPr>
              <w:pStyle w:val="34"/>
              <w:rPr>
                <w:rFonts w:hint="default" w:ascii="Times New Roman" w:hAnsi="Times New Roman" w:cs="Times New Roman"/>
                <w:color w:val="auto"/>
                <w:kern w:val="0"/>
                <w:sz w:val="24"/>
                <w:highlight w:val="none"/>
              </w:rPr>
            </w:pPr>
          </w:p>
          <w:p w14:paraId="64414154">
            <w:pPr>
              <w:pStyle w:val="34"/>
              <w:rPr>
                <w:rFonts w:hint="default" w:ascii="Times New Roman" w:hAnsi="Times New Roman" w:cs="Times New Roman"/>
                <w:color w:val="auto"/>
                <w:kern w:val="0"/>
                <w:sz w:val="24"/>
                <w:highlight w:val="none"/>
              </w:rPr>
            </w:pPr>
          </w:p>
          <w:p w14:paraId="660C6D5F">
            <w:pPr>
              <w:pStyle w:val="34"/>
              <w:rPr>
                <w:rFonts w:hint="default" w:ascii="Times New Roman" w:hAnsi="Times New Roman" w:cs="Times New Roman"/>
                <w:color w:val="auto"/>
                <w:kern w:val="0"/>
                <w:sz w:val="24"/>
                <w:highlight w:val="none"/>
              </w:rPr>
            </w:pPr>
          </w:p>
          <w:p w14:paraId="6C58D1A3">
            <w:pPr>
              <w:pStyle w:val="34"/>
              <w:rPr>
                <w:rFonts w:hint="default" w:ascii="Times New Roman" w:hAnsi="Times New Roman" w:cs="Times New Roman"/>
                <w:color w:val="auto"/>
                <w:kern w:val="0"/>
                <w:sz w:val="24"/>
                <w:highlight w:val="none"/>
              </w:rPr>
            </w:pPr>
          </w:p>
          <w:p w14:paraId="3E9145B5">
            <w:pPr>
              <w:pStyle w:val="34"/>
              <w:rPr>
                <w:rFonts w:hint="default" w:ascii="Times New Roman" w:hAnsi="Times New Roman" w:cs="Times New Roman"/>
                <w:color w:val="auto"/>
                <w:kern w:val="0"/>
                <w:sz w:val="24"/>
                <w:highlight w:val="none"/>
              </w:rPr>
            </w:pPr>
          </w:p>
          <w:p w14:paraId="7C0C09B0">
            <w:pPr>
              <w:pStyle w:val="34"/>
              <w:rPr>
                <w:rFonts w:hint="default" w:ascii="Times New Roman" w:hAnsi="Times New Roman" w:cs="Times New Roman"/>
                <w:color w:val="auto"/>
                <w:kern w:val="0"/>
                <w:sz w:val="24"/>
                <w:highlight w:val="none"/>
              </w:rPr>
            </w:pPr>
          </w:p>
          <w:p w14:paraId="30C2F9F7">
            <w:pPr>
              <w:pStyle w:val="34"/>
              <w:rPr>
                <w:rFonts w:hint="default" w:ascii="Times New Roman" w:hAnsi="Times New Roman" w:cs="Times New Roman"/>
                <w:color w:val="auto"/>
                <w:kern w:val="0"/>
                <w:sz w:val="24"/>
                <w:highlight w:val="none"/>
              </w:rPr>
            </w:pPr>
          </w:p>
          <w:p w14:paraId="0426EE29">
            <w:pPr>
              <w:pStyle w:val="34"/>
              <w:rPr>
                <w:rFonts w:hint="default" w:ascii="Times New Roman" w:hAnsi="Times New Roman" w:cs="Times New Roman"/>
                <w:color w:val="auto"/>
                <w:kern w:val="0"/>
                <w:sz w:val="24"/>
                <w:highlight w:val="none"/>
              </w:rPr>
            </w:pPr>
          </w:p>
        </w:tc>
      </w:tr>
    </w:tbl>
    <w:p w14:paraId="0FBFA003">
      <w:pPr>
        <w:adjustRightInd w:val="0"/>
        <w:snapToGrid w:val="0"/>
        <w:jc w:val="center"/>
        <w:rPr>
          <w:rFonts w:hint="default" w:ascii="Times New Roman" w:hAnsi="Times New Roman" w:cs="Times New Roman"/>
          <w:color w:val="auto"/>
          <w:kern w:val="0"/>
          <w:sz w:val="24"/>
          <w:highlight w:val="none"/>
        </w:rPr>
        <w:sectPr>
          <w:headerReference r:id="rId6" w:type="default"/>
          <w:pgSz w:w="11906" w:h="16838"/>
          <w:pgMar w:top="1440" w:right="1800" w:bottom="1440" w:left="1800" w:header="851" w:footer="1077" w:gutter="0"/>
          <w:cols w:space="720" w:num="1"/>
        </w:sectPr>
      </w:pPr>
    </w:p>
    <w:tbl>
      <w:tblPr>
        <w:tblStyle w:val="25"/>
        <w:tblW w:w="563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5"/>
        <w:gridCol w:w="9148"/>
      </w:tblGrid>
      <w:tr w14:paraId="18BED2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7" w:type="pct"/>
            <w:noWrap w:val="0"/>
            <w:vAlign w:val="center"/>
          </w:tcPr>
          <w:p w14:paraId="59FCE0B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总平面及现场布置</w:t>
            </w:r>
          </w:p>
        </w:tc>
        <w:tc>
          <w:tcPr>
            <w:tcW w:w="4762" w:type="pct"/>
            <w:noWrap w:val="0"/>
            <w:vAlign w:val="center"/>
          </w:tcPr>
          <w:p w14:paraId="1751B68F">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一、工程总布置</w:t>
            </w:r>
          </w:p>
          <w:p w14:paraId="7A5ED6A6">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黑龙江省庆安县欧根河治理工程主要由堤防工程、护岸工程和建筑物工程组成。本工程综合治理河长39.57k</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，主要为新建堤防5段，长度为25.94k</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；新建护岸15段，总长4.97k</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；新建穿堤建筑物12座。</w:t>
            </w:r>
          </w:p>
          <w:p w14:paraId="55D6FF8D">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1、堤防布置</w:t>
            </w:r>
          </w:p>
          <w:p w14:paraId="57060A45">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新建堤防5段，总长度25.94km，全部位于欧根河左岸。</w:t>
            </w:r>
          </w:p>
          <w:p w14:paraId="04B5956E">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表2—2  堤防工程位置统计表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8"/>
              <w:gridCol w:w="664"/>
              <w:gridCol w:w="1105"/>
              <w:gridCol w:w="1387"/>
              <w:gridCol w:w="789"/>
              <w:gridCol w:w="795"/>
              <w:gridCol w:w="1387"/>
              <w:gridCol w:w="789"/>
              <w:gridCol w:w="908"/>
            </w:tblGrid>
            <w:tr w14:paraId="2A569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vMerge w:val="restart"/>
                  <w:noWrap w:val="0"/>
                  <w:vAlign w:val="center"/>
                </w:tcPr>
                <w:p w14:paraId="58A68E9B">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堤防名称</w:t>
                  </w:r>
                </w:p>
              </w:tc>
              <w:tc>
                <w:tcPr>
                  <w:tcW w:w="372" w:type="pct"/>
                  <w:vMerge w:val="restart"/>
                  <w:noWrap w:val="0"/>
                  <w:vAlign w:val="center"/>
                </w:tcPr>
                <w:p w14:paraId="7075BEE0">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岸别</w:t>
                  </w:r>
                </w:p>
              </w:tc>
              <w:tc>
                <w:tcPr>
                  <w:tcW w:w="619" w:type="pct"/>
                  <w:vMerge w:val="restart"/>
                  <w:noWrap w:val="0"/>
                  <w:vAlign w:val="center"/>
                </w:tcPr>
                <w:p w14:paraId="3D09E732">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建设类型</w:t>
                  </w:r>
                </w:p>
              </w:tc>
              <w:tc>
                <w:tcPr>
                  <w:tcW w:w="1664" w:type="pct"/>
                  <w:gridSpan w:val="3"/>
                  <w:noWrap w:val="0"/>
                  <w:vAlign w:val="center"/>
                </w:tcPr>
                <w:p w14:paraId="038D7DF4">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土堤堤防长度</w:t>
                  </w:r>
                </w:p>
              </w:tc>
              <w:tc>
                <w:tcPr>
                  <w:tcW w:w="1727" w:type="pct"/>
                  <w:gridSpan w:val="3"/>
                  <w:noWrap w:val="0"/>
                  <w:vAlign w:val="center"/>
                </w:tcPr>
                <w:p w14:paraId="50132D4A">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防洪墙堤防长度</w:t>
                  </w:r>
                </w:p>
              </w:tc>
            </w:tr>
            <w:tr w14:paraId="1A9FE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vMerge w:val="continue"/>
                  <w:noWrap w:val="0"/>
                  <w:vAlign w:val="center"/>
                </w:tcPr>
                <w:p w14:paraId="07A5CB24">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p>
              </w:tc>
              <w:tc>
                <w:tcPr>
                  <w:tcW w:w="372" w:type="pct"/>
                  <w:vMerge w:val="continue"/>
                  <w:noWrap w:val="0"/>
                  <w:vAlign w:val="center"/>
                </w:tcPr>
                <w:p w14:paraId="190BEAD4">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p>
              </w:tc>
              <w:tc>
                <w:tcPr>
                  <w:tcW w:w="619" w:type="pct"/>
                  <w:vMerge w:val="continue"/>
                  <w:noWrap w:val="0"/>
                  <w:vAlign w:val="center"/>
                </w:tcPr>
                <w:p w14:paraId="5C115093">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p>
              </w:tc>
              <w:tc>
                <w:tcPr>
                  <w:tcW w:w="777" w:type="pct"/>
                  <w:noWrap w:val="0"/>
                  <w:vAlign w:val="center"/>
                </w:tcPr>
                <w:p w14:paraId="3BECD59F">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长度（k</w:t>
                  </w:r>
                  <w:r>
                    <w:rPr>
                      <w:rFonts w:hint="default" w:ascii="Times New Roman" w:hAnsi="Times New Roman" w:cs="Times New Roman"/>
                      <w:b w:val="0"/>
                      <w:bCs w:val="0"/>
                      <w:sz w:val="21"/>
                      <w:highlight w:val="none"/>
                      <w:lang w:eastAsia="zh-CN"/>
                    </w:rPr>
                    <w:t>m</w:t>
                  </w:r>
                  <w:r>
                    <w:rPr>
                      <w:rFonts w:hint="default" w:ascii="Times New Roman" w:hAnsi="Times New Roman" w:cs="Times New Roman"/>
                      <w:b w:val="0"/>
                      <w:bCs w:val="0"/>
                      <w:sz w:val="21"/>
                      <w:highlight w:val="none"/>
                    </w:rPr>
                    <w:t>）</w:t>
                  </w:r>
                </w:p>
              </w:tc>
              <w:tc>
                <w:tcPr>
                  <w:tcW w:w="442" w:type="pct"/>
                  <w:noWrap w:val="0"/>
                  <w:vAlign w:val="center"/>
                </w:tcPr>
                <w:p w14:paraId="39331A8A">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起点</w:t>
                  </w:r>
                </w:p>
              </w:tc>
              <w:tc>
                <w:tcPr>
                  <w:tcW w:w="445" w:type="pct"/>
                  <w:noWrap w:val="0"/>
                  <w:vAlign w:val="center"/>
                </w:tcPr>
                <w:p w14:paraId="5DA18C17">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终点</w:t>
                  </w:r>
                </w:p>
              </w:tc>
              <w:tc>
                <w:tcPr>
                  <w:tcW w:w="777" w:type="pct"/>
                  <w:noWrap w:val="0"/>
                  <w:vAlign w:val="center"/>
                </w:tcPr>
                <w:p w14:paraId="6BF16086">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长度（k</w:t>
                  </w:r>
                  <w:r>
                    <w:rPr>
                      <w:rFonts w:hint="default" w:ascii="Times New Roman" w:hAnsi="Times New Roman" w:cs="Times New Roman"/>
                      <w:b w:val="0"/>
                      <w:bCs w:val="0"/>
                      <w:sz w:val="21"/>
                      <w:highlight w:val="none"/>
                      <w:lang w:eastAsia="zh-CN"/>
                    </w:rPr>
                    <w:t>m</w:t>
                  </w:r>
                  <w:r>
                    <w:rPr>
                      <w:rFonts w:hint="default" w:ascii="Times New Roman" w:hAnsi="Times New Roman" w:cs="Times New Roman"/>
                      <w:b w:val="0"/>
                      <w:bCs w:val="0"/>
                      <w:sz w:val="21"/>
                      <w:highlight w:val="none"/>
                    </w:rPr>
                    <w:t>）</w:t>
                  </w:r>
                </w:p>
              </w:tc>
              <w:tc>
                <w:tcPr>
                  <w:tcW w:w="442" w:type="pct"/>
                  <w:noWrap w:val="0"/>
                  <w:vAlign w:val="center"/>
                </w:tcPr>
                <w:p w14:paraId="677CAA4A">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起点</w:t>
                  </w:r>
                </w:p>
              </w:tc>
              <w:tc>
                <w:tcPr>
                  <w:tcW w:w="508" w:type="pct"/>
                  <w:noWrap w:val="0"/>
                  <w:vAlign w:val="center"/>
                </w:tcPr>
                <w:p w14:paraId="547094C7">
                  <w:pPr>
                    <w:shd w:val="clear" w:color="auto" w:fill="auto"/>
                    <w:spacing w:line="240" w:lineRule="auto"/>
                    <w:jc w:val="center"/>
                    <w:rPr>
                      <w:rFonts w:hint="default" w:ascii="Times New Roman" w:hAnsi="Times New Roman" w:cs="Times New Roman"/>
                      <w:b w:val="0"/>
                      <w:bCs w:val="0"/>
                      <w:kern w:val="2"/>
                      <w:sz w:val="21"/>
                      <w:szCs w:val="24"/>
                      <w:highlight w:val="none"/>
                      <w:lang w:val="en-US" w:eastAsia="zh-CN" w:bidi="ar-SA"/>
                    </w:rPr>
                  </w:pPr>
                  <w:r>
                    <w:rPr>
                      <w:rFonts w:hint="default" w:ascii="Times New Roman" w:hAnsi="Times New Roman" w:cs="Times New Roman"/>
                      <w:b w:val="0"/>
                      <w:bCs w:val="0"/>
                      <w:sz w:val="21"/>
                      <w:highlight w:val="none"/>
                    </w:rPr>
                    <w:t>终点</w:t>
                  </w:r>
                </w:p>
              </w:tc>
            </w:tr>
            <w:tr w14:paraId="272B2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noWrap w:val="0"/>
                  <w:vAlign w:val="center"/>
                </w:tcPr>
                <w:p w14:paraId="41210873">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lang w:val="en-US" w:eastAsia="zh-CN"/>
                    </w:rPr>
                    <w:t>1</w:t>
                  </w:r>
                  <w:r>
                    <w:rPr>
                      <w:rFonts w:hint="default" w:ascii="Times New Roman" w:hAnsi="Times New Roman" w:cs="Times New Roman"/>
                      <w:sz w:val="21"/>
                      <w:highlight w:val="none"/>
                    </w:rPr>
                    <w:t>号堤防</w:t>
                  </w:r>
                </w:p>
              </w:tc>
              <w:tc>
                <w:tcPr>
                  <w:tcW w:w="372" w:type="pct"/>
                  <w:noWrap w:val="0"/>
                  <w:vAlign w:val="center"/>
                </w:tcPr>
                <w:p w14:paraId="542BD940">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w:t>
                  </w:r>
                </w:p>
              </w:tc>
              <w:tc>
                <w:tcPr>
                  <w:tcW w:w="619" w:type="pct"/>
                  <w:noWrap w:val="0"/>
                  <w:vAlign w:val="center"/>
                </w:tcPr>
                <w:p w14:paraId="17493F0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新建</w:t>
                  </w:r>
                </w:p>
              </w:tc>
              <w:tc>
                <w:tcPr>
                  <w:tcW w:w="777" w:type="pct"/>
                  <w:noWrap w:val="0"/>
                  <w:vAlign w:val="center"/>
                </w:tcPr>
                <w:p w14:paraId="2A4B121E">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sz w:val="21"/>
                      <w:highlight w:val="none"/>
                    </w:rPr>
                    <w:t>2.</w:t>
                  </w:r>
                  <w:r>
                    <w:rPr>
                      <w:rFonts w:hint="default" w:ascii="Times New Roman" w:hAnsi="Times New Roman" w:cs="Times New Roman"/>
                      <w:sz w:val="21"/>
                      <w:highlight w:val="none"/>
                      <w:lang w:val="en-US" w:eastAsia="zh-CN"/>
                    </w:rPr>
                    <w:t>95</w:t>
                  </w:r>
                </w:p>
              </w:tc>
              <w:tc>
                <w:tcPr>
                  <w:tcW w:w="442" w:type="pct"/>
                  <w:noWrap w:val="0"/>
                  <w:vAlign w:val="center"/>
                </w:tcPr>
                <w:p w14:paraId="475B9617">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0+940</w:t>
                  </w:r>
                </w:p>
              </w:tc>
              <w:tc>
                <w:tcPr>
                  <w:tcW w:w="445" w:type="pct"/>
                  <w:noWrap w:val="0"/>
                  <w:vAlign w:val="center"/>
                </w:tcPr>
                <w:p w14:paraId="39ED1BE8">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sz w:val="21"/>
                      <w:highlight w:val="none"/>
                      <w:lang w:eastAsia="zh-CN"/>
                    </w:rPr>
                    <w:t>3+890</w:t>
                  </w:r>
                </w:p>
              </w:tc>
              <w:tc>
                <w:tcPr>
                  <w:tcW w:w="777" w:type="pct"/>
                  <w:noWrap w:val="0"/>
                  <w:vAlign w:val="center"/>
                </w:tcPr>
                <w:p w14:paraId="5A0E4FC3">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0.94</w:t>
                  </w:r>
                </w:p>
              </w:tc>
              <w:tc>
                <w:tcPr>
                  <w:tcW w:w="442" w:type="pct"/>
                  <w:noWrap w:val="0"/>
                  <w:vAlign w:val="center"/>
                </w:tcPr>
                <w:p w14:paraId="0C7F968E">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0+000</w:t>
                  </w:r>
                </w:p>
              </w:tc>
              <w:tc>
                <w:tcPr>
                  <w:tcW w:w="508" w:type="pct"/>
                  <w:noWrap w:val="0"/>
                  <w:vAlign w:val="center"/>
                </w:tcPr>
                <w:p w14:paraId="4CC76B73">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0+940</w:t>
                  </w:r>
                </w:p>
              </w:tc>
            </w:tr>
            <w:tr w14:paraId="24A05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vMerge w:val="restart"/>
                  <w:noWrap w:val="0"/>
                  <w:vAlign w:val="center"/>
                </w:tcPr>
                <w:p w14:paraId="51A7747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lang w:val="en-US" w:eastAsia="zh-CN"/>
                    </w:rPr>
                    <w:t>2</w:t>
                  </w:r>
                  <w:r>
                    <w:rPr>
                      <w:rFonts w:hint="default" w:ascii="Times New Roman" w:hAnsi="Times New Roman" w:cs="Times New Roman"/>
                      <w:sz w:val="21"/>
                      <w:highlight w:val="none"/>
                    </w:rPr>
                    <w:t>号堤防</w:t>
                  </w:r>
                </w:p>
              </w:tc>
              <w:tc>
                <w:tcPr>
                  <w:tcW w:w="372" w:type="pct"/>
                  <w:vMerge w:val="restart"/>
                  <w:noWrap w:val="0"/>
                  <w:vAlign w:val="center"/>
                </w:tcPr>
                <w:p w14:paraId="6364D36C">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w:t>
                  </w:r>
                </w:p>
              </w:tc>
              <w:tc>
                <w:tcPr>
                  <w:tcW w:w="619" w:type="pct"/>
                  <w:vMerge w:val="restart"/>
                  <w:noWrap w:val="0"/>
                  <w:vAlign w:val="center"/>
                </w:tcPr>
                <w:p w14:paraId="33757860">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新建</w:t>
                  </w:r>
                </w:p>
              </w:tc>
              <w:tc>
                <w:tcPr>
                  <w:tcW w:w="777" w:type="pct"/>
                  <w:vMerge w:val="restart"/>
                  <w:noWrap w:val="0"/>
                  <w:vAlign w:val="center"/>
                </w:tcPr>
                <w:p w14:paraId="4532B480">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3.65</w:t>
                  </w:r>
                </w:p>
              </w:tc>
              <w:tc>
                <w:tcPr>
                  <w:tcW w:w="442" w:type="pct"/>
                  <w:vMerge w:val="restart"/>
                  <w:noWrap w:val="0"/>
                  <w:vAlign w:val="center"/>
                </w:tcPr>
                <w:p w14:paraId="69811B3F">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0+810</w:t>
                  </w:r>
                </w:p>
              </w:tc>
              <w:tc>
                <w:tcPr>
                  <w:tcW w:w="445" w:type="pct"/>
                  <w:vMerge w:val="restart"/>
                  <w:noWrap w:val="0"/>
                  <w:vAlign w:val="center"/>
                </w:tcPr>
                <w:p w14:paraId="05970DC1">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4+460</w:t>
                  </w:r>
                </w:p>
              </w:tc>
              <w:tc>
                <w:tcPr>
                  <w:tcW w:w="777" w:type="pct"/>
                  <w:noWrap w:val="0"/>
                  <w:vAlign w:val="center"/>
                </w:tcPr>
                <w:p w14:paraId="26951D07">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0.81</w:t>
                  </w:r>
                </w:p>
              </w:tc>
              <w:tc>
                <w:tcPr>
                  <w:tcW w:w="442" w:type="pct"/>
                  <w:noWrap w:val="0"/>
                  <w:vAlign w:val="center"/>
                </w:tcPr>
                <w:p w14:paraId="2D9F046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0+000</w:t>
                  </w:r>
                </w:p>
              </w:tc>
              <w:tc>
                <w:tcPr>
                  <w:tcW w:w="508" w:type="pct"/>
                  <w:noWrap w:val="0"/>
                  <w:vAlign w:val="center"/>
                </w:tcPr>
                <w:p w14:paraId="79522F4C">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0+810</w:t>
                  </w:r>
                </w:p>
              </w:tc>
            </w:tr>
            <w:tr w14:paraId="073F1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vMerge w:val="continue"/>
                  <w:noWrap w:val="0"/>
                  <w:vAlign w:val="center"/>
                </w:tcPr>
                <w:p w14:paraId="09B014D1">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372" w:type="pct"/>
                  <w:vMerge w:val="continue"/>
                  <w:noWrap w:val="0"/>
                  <w:vAlign w:val="center"/>
                </w:tcPr>
                <w:p w14:paraId="29B4C635">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619" w:type="pct"/>
                  <w:vMerge w:val="continue"/>
                  <w:noWrap w:val="0"/>
                  <w:vAlign w:val="center"/>
                </w:tcPr>
                <w:p w14:paraId="7A7F1F11">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777" w:type="pct"/>
                  <w:vMerge w:val="continue"/>
                  <w:noWrap w:val="0"/>
                  <w:vAlign w:val="center"/>
                </w:tcPr>
                <w:p w14:paraId="66E0B588">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442" w:type="pct"/>
                  <w:vMerge w:val="continue"/>
                  <w:noWrap w:val="0"/>
                  <w:vAlign w:val="center"/>
                </w:tcPr>
                <w:p w14:paraId="06B24C8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445" w:type="pct"/>
                  <w:vMerge w:val="continue"/>
                  <w:noWrap w:val="0"/>
                  <w:vAlign w:val="center"/>
                </w:tcPr>
                <w:p w14:paraId="484BFA2B">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777" w:type="pct"/>
                  <w:noWrap w:val="0"/>
                  <w:vAlign w:val="center"/>
                </w:tcPr>
                <w:p w14:paraId="2C76774D">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0.92</w:t>
                  </w:r>
                </w:p>
              </w:tc>
              <w:tc>
                <w:tcPr>
                  <w:tcW w:w="442" w:type="pct"/>
                  <w:noWrap w:val="0"/>
                  <w:vAlign w:val="center"/>
                </w:tcPr>
                <w:p w14:paraId="62A5BE8F">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4+460</w:t>
                  </w:r>
                </w:p>
              </w:tc>
              <w:tc>
                <w:tcPr>
                  <w:tcW w:w="508" w:type="pct"/>
                  <w:noWrap w:val="0"/>
                  <w:vAlign w:val="center"/>
                </w:tcPr>
                <w:p w14:paraId="54FE549A">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5+380</w:t>
                  </w:r>
                </w:p>
              </w:tc>
            </w:tr>
            <w:tr w14:paraId="3BBB0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noWrap w:val="0"/>
                  <w:vAlign w:val="center"/>
                </w:tcPr>
                <w:p w14:paraId="4789D29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3号堤防</w:t>
                  </w:r>
                </w:p>
              </w:tc>
              <w:tc>
                <w:tcPr>
                  <w:tcW w:w="372" w:type="pct"/>
                  <w:noWrap w:val="0"/>
                  <w:vAlign w:val="center"/>
                </w:tcPr>
                <w:p w14:paraId="4783ED44">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w:t>
                  </w:r>
                </w:p>
              </w:tc>
              <w:tc>
                <w:tcPr>
                  <w:tcW w:w="619" w:type="pct"/>
                  <w:noWrap w:val="0"/>
                  <w:vAlign w:val="center"/>
                </w:tcPr>
                <w:p w14:paraId="6C32A74D">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新建</w:t>
                  </w:r>
                </w:p>
              </w:tc>
              <w:tc>
                <w:tcPr>
                  <w:tcW w:w="777" w:type="pct"/>
                  <w:noWrap w:val="0"/>
                  <w:vAlign w:val="center"/>
                </w:tcPr>
                <w:p w14:paraId="40CC0791">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3.66</w:t>
                  </w:r>
                </w:p>
              </w:tc>
              <w:tc>
                <w:tcPr>
                  <w:tcW w:w="442" w:type="pct"/>
                  <w:noWrap w:val="0"/>
                  <w:vAlign w:val="center"/>
                </w:tcPr>
                <w:p w14:paraId="1621134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0+000</w:t>
                  </w:r>
                </w:p>
              </w:tc>
              <w:tc>
                <w:tcPr>
                  <w:tcW w:w="445" w:type="pct"/>
                  <w:noWrap w:val="0"/>
                  <w:vAlign w:val="center"/>
                </w:tcPr>
                <w:p w14:paraId="6E43B205">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3+660</w:t>
                  </w:r>
                </w:p>
              </w:tc>
              <w:tc>
                <w:tcPr>
                  <w:tcW w:w="777" w:type="pct"/>
                  <w:noWrap w:val="0"/>
                  <w:vAlign w:val="center"/>
                </w:tcPr>
                <w:p w14:paraId="26417A5F">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0.72</w:t>
                  </w:r>
                </w:p>
              </w:tc>
              <w:tc>
                <w:tcPr>
                  <w:tcW w:w="442" w:type="pct"/>
                  <w:noWrap w:val="0"/>
                  <w:vAlign w:val="center"/>
                </w:tcPr>
                <w:p w14:paraId="63623348">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3+660</w:t>
                  </w:r>
                </w:p>
              </w:tc>
              <w:tc>
                <w:tcPr>
                  <w:tcW w:w="508" w:type="pct"/>
                  <w:noWrap w:val="0"/>
                  <w:vAlign w:val="center"/>
                </w:tcPr>
                <w:p w14:paraId="43729088">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4+380</w:t>
                  </w:r>
                </w:p>
              </w:tc>
            </w:tr>
            <w:tr w14:paraId="611A7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noWrap w:val="0"/>
                  <w:vAlign w:val="center"/>
                </w:tcPr>
                <w:p w14:paraId="39BF7F9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lang w:val="en-US" w:eastAsia="zh-CN"/>
                    </w:rPr>
                    <w:t>4</w:t>
                  </w:r>
                  <w:r>
                    <w:rPr>
                      <w:rFonts w:hint="default" w:ascii="Times New Roman" w:hAnsi="Times New Roman" w:cs="Times New Roman"/>
                      <w:sz w:val="21"/>
                      <w:highlight w:val="none"/>
                    </w:rPr>
                    <w:t>号堤防</w:t>
                  </w:r>
                </w:p>
              </w:tc>
              <w:tc>
                <w:tcPr>
                  <w:tcW w:w="372" w:type="pct"/>
                  <w:noWrap w:val="0"/>
                  <w:vAlign w:val="center"/>
                </w:tcPr>
                <w:p w14:paraId="3B237F65">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w:t>
                  </w:r>
                </w:p>
              </w:tc>
              <w:tc>
                <w:tcPr>
                  <w:tcW w:w="619" w:type="pct"/>
                  <w:noWrap w:val="0"/>
                  <w:vAlign w:val="center"/>
                </w:tcPr>
                <w:p w14:paraId="58D89D7C">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新建</w:t>
                  </w:r>
                </w:p>
              </w:tc>
              <w:tc>
                <w:tcPr>
                  <w:tcW w:w="777" w:type="pct"/>
                  <w:noWrap w:val="0"/>
                  <w:vAlign w:val="center"/>
                </w:tcPr>
                <w:p w14:paraId="2FCD4057">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7.62</w:t>
                  </w:r>
                </w:p>
              </w:tc>
              <w:tc>
                <w:tcPr>
                  <w:tcW w:w="442" w:type="pct"/>
                  <w:noWrap w:val="0"/>
                  <w:vAlign w:val="center"/>
                </w:tcPr>
                <w:p w14:paraId="2D9A759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0+000</w:t>
                  </w:r>
                </w:p>
              </w:tc>
              <w:tc>
                <w:tcPr>
                  <w:tcW w:w="445" w:type="pct"/>
                  <w:noWrap w:val="0"/>
                  <w:vAlign w:val="center"/>
                </w:tcPr>
                <w:p w14:paraId="4B1A8DE5">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7+620</w:t>
                  </w:r>
                </w:p>
              </w:tc>
              <w:tc>
                <w:tcPr>
                  <w:tcW w:w="777" w:type="pct"/>
                  <w:noWrap w:val="0"/>
                  <w:vAlign w:val="center"/>
                </w:tcPr>
                <w:p w14:paraId="3565858A">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442" w:type="pct"/>
                  <w:noWrap w:val="0"/>
                  <w:vAlign w:val="center"/>
                </w:tcPr>
                <w:p w14:paraId="1BDE437A">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508" w:type="pct"/>
                  <w:noWrap w:val="0"/>
                  <w:vAlign w:val="center"/>
                </w:tcPr>
                <w:p w14:paraId="69E39A40">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r>
            <w:tr w14:paraId="18F07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noWrap w:val="0"/>
                  <w:vAlign w:val="center"/>
                </w:tcPr>
                <w:p w14:paraId="77C535AB">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lang w:val="en-US" w:eastAsia="zh-CN"/>
                    </w:rPr>
                    <w:t>5</w:t>
                  </w:r>
                  <w:r>
                    <w:rPr>
                      <w:rFonts w:hint="default" w:ascii="Times New Roman" w:hAnsi="Times New Roman" w:cs="Times New Roman"/>
                      <w:sz w:val="21"/>
                      <w:highlight w:val="none"/>
                    </w:rPr>
                    <w:t>号堤防</w:t>
                  </w:r>
                </w:p>
              </w:tc>
              <w:tc>
                <w:tcPr>
                  <w:tcW w:w="372" w:type="pct"/>
                  <w:noWrap w:val="0"/>
                  <w:vAlign w:val="center"/>
                </w:tcPr>
                <w:p w14:paraId="5A666A44">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w:t>
                  </w:r>
                </w:p>
              </w:tc>
              <w:tc>
                <w:tcPr>
                  <w:tcW w:w="619" w:type="pct"/>
                  <w:noWrap w:val="0"/>
                  <w:vAlign w:val="center"/>
                </w:tcPr>
                <w:p w14:paraId="6CB40F0A">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新建</w:t>
                  </w:r>
                </w:p>
              </w:tc>
              <w:tc>
                <w:tcPr>
                  <w:tcW w:w="777" w:type="pct"/>
                  <w:noWrap w:val="0"/>
                  <w:vAlign w:val="center"/>
                </w:tcPr>
                <w:p w14:paraId="46E76F50">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sz w:val="21"/>
                      <w:highlight w:val="none"/>
                      <w:lang w:eastAsia="zh-CN"/>
                    </w:rPr>
                    <w:t>4.67</w:t>
                  </w:r>
                </w:p>
              </w:tc>
              <w:tc>
                <w:tcPr>
                  <w:tcW w:w="442" w:type="pct"/>
                  <w:noWrap w:val="0"/>
                  <w:vAlign w:val="center"/>
                </w:tcPr>
                <w:p w14:paraId="74C70A7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0+000</w:t>
                  </w:r>
                </w:p>
              </w:tc>
              <w:tc>
                <w:tcPr>
                  <w:tcW w:w="445" w:type="pct"/>
                  <w:noWrap w:val="0"/>
                  <w:vAlign w:val="center"/>
                </w:tcPr>
                <w:p w14:paraId="198FEEAE">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sz w:val="21"/>
                      <w:highlight w:val="none"/>
                      <w:lang w:eastAsia="zh-CN"/>
                    </w:rPr>
                    <w:t>4+670</w:t>
                  </w:r>
                </w:p>
              </w:tc>
              <w:tc>
                <w:tcPr>
                  <w:tcW w:w="777" w:type="pct"/>
                  <w:noWrap w:val="0"/>
                  <w:vAlign w:val="center"/>
                </w:tcPr>
                <w:p w14:paraId="7E7FA941">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442" w:type="pct"/>
                  <w:noWrap w:val="0"/>
                  <w:vAlign w:val="center"/>
                </w:tcPr>
                <w:p w14:paraId="3ABCB02F">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508" w:type="pct"/>
                  <w:noWrap w:val="0"/>
                  <w:vAlign w:val="center"/>
                </w:tcPr>
                <w:p w14:paraId="08B6B9E9">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r>
            <w:tr w14:paraId="75985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5" w:type="pct"/>
                  <w:noWrap w:val="0"/>
                  <w:vAlign w:val="center"/>
                </w:tcPr>
                <w:p w14:paraId="5E565754">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合计</w:t>
                  </w:r>
                </w:p>
              </w:tc>
              <w:tc>
                <w:tcPr>
                  <w:tcW w:w="372" w:type="pct"/>
                  <w:noWrap w:val="0"/>
                  <w:vAlign w:val="center"/>
                </w:tcPr>
                <w:p w14:paraId="74719FCF">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619" w:type="pct"/>
                  <w:noWrap w:val="0"/>
                  <w:vAlign w:val="center"/>
                </w:tcPr>
                <w:p w14:paraId="4DB662B7">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777" w:type="pct"/>
                  <w:noWrap w:val="0"/>
                  <w:vAlign w:val="center"/>
                </w:tcPr>
                <w:p w14:paraId="5A34E2E7">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sz w:val="21"/>
                      <w:highlight w:val="none"/>
                      <w:lang w:eastAsia="zh-CN"/>
                    </w:rPr>
                    <w:t>22.55</w:t>
                  </w:r>
                </w:p>
              </w:tc>
              <w:tc>
                <w:tcPr>
                  <w:tcW w:w="442" w:type="pct"/>
                  <w:noWrap w:val="0"/>
                  <w:vAlign w:val="center"/>
                </w:tcPr>
                <w:p w14:paraId="4CF32D31">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445" w:type="pct"/>
                  <w:noWrap w:val="0"/>
                  <w:vAlign w:val="center"/>
                </w:tcPr>
                <w:p w14:paraId="0E0A2AD1">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777" w:type="pct"/>
                  <w:noWrap w:val="0"/>
                  <w:vAlign w:val="center"/>
                </w:tcPr>
                <w:p w14:paraId="100454E4">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3.39</w:t>
                  </w:r>
                </w:p>
              </w:tc>
              <w:tc>
                <w:tcPr>
                  <w:tcW w:w="442" w:type="pct"/>
                  <w:noWrap w:val="0"/>
                  <w:vAlign w:val="center"/>
                </w:tcPr>
                <w:p w14:paraId="1A1B3AA9">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508" w:type="pct"/>
                  <w:noWrap w:val="0"/>
                  <w:vAlign w:val="center"/>
                </w:tcPr>
                <w:p w14:paraId="3E020A03">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r>
          </w:tbl>
          <w:p w14:paraId="591E82F6">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（1）1号堤防</w:t>
            </w:r>
          </w:p>
          <w:p w14:paraId="0E33BC28">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1号堤防起点为九道沟左岸回水堤，向西南方向布设，终点至八道沟右岸高地，全长3.89k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，为新建堤防；其中桩号0+940</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3+890段采用土堤形式，设计堤顶宽度为4.0</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，迎、背水侧坡比均为1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2.0，堤顶设砂石路面总长2.95k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w:t>
            </w:r>
          </w:p>
          <w:p w14:paraId="3FF18522">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桩号0+000</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0+940段采用钢筋混凝土防洪墙形式。</w:t>
            </w:r>
          </w:p>
          <w:p w14:paraId="7A3C5DA2">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（2）2号堤防</w:t>
            </w:r>
          </w:p>
          <w:p w14:paraId="538A24ED">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2号堤防起点为十道沟左岸回水堤，向西南方向布设，终点至九道沟右岸回水堤，全长5.38k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，为新建堤防；其中桩号0+810</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4+460段采用土堤形式，设计堤顶宽度为4.0</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，迎、背水侧坡比均为1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2.0，堤顶设砂石路面总长4.57k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。桩号0+000</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0+810段和桩号4+460</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5+380段采用钢筋混凝土防洪墙形式。</w:t>
            </w:r>
          </w:p>
          <w:p w14:paraId="76D73CCE">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（3）3号堤防</w:t>
            </w:r>
          </w:p>
          <w:p w14:paraId="36A50F3F">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3号堤防起点为十一道沟右岸回水堤，向西南方向布设，途经庆安马场，终点至十道沟左岸回水堤，全长4.38k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，为新建堤防；其中桩号0+000</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3+660段采用土堤形式，设计堤顶宽度为4.0</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，迎、背水侧坡比均为1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2.0，堤顶设砂石路面总长3.66k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。桩号3+660</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4+380段采用钢筋混凝土防洪墙形式。</w:t>
            </w:r>
          </w:p>
          <w:p w14:paraId="15E6297B">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（4）4号堤防</w:t>
            </w:r>
          </w:p>
          <w:p w14:paraId="2299AFC3">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4号堤防起点为十四道沟左岸回水堤，向西南方向布设，终点至十一道沟右岸回水堤，全长7.62k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，为新建堤防，采用土堤型式；设计堤顶宽度为4.0</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，迎、背水侧坡比均为1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2.0，堤顶设砂石路面总长7.62k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w:t>
            </w:r>
          </w:p>
          <w:p w14:paraId="00C0D0B7">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（5）5号堤防</w:t>
            </w:r>
          </w:p>
          <w:p w14:paraId="039B696F">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5号堤防起点为现状道路，向西南方向布设，终点至十四道沟右岸回水堤，全长4.67k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，为新建堤防，采用土堤型式；设计堤顶宽度为4.0</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，迎、背水侧坡比均为1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2.0，堤顶设砂石路面总长4.67k</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w:t>
            </w:r>
          </w:p>
          <w:p w14:paraId="5F188B06">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护岸布置</w:t>
            </w:r>
          </w:p>
          <w:p w14:paraId="5E26BA56">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szCs w:val="21"/>
                <w:highlight w:val="none"/>
              </w:rPr>
              <w:t>新建护岸</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段，总长度</w:t>
            </w:r>
            <w:r>
              <w:rPr>
                <w:rFonts w:hint="default" w:ascii="Times New Roman" w:hAnsi="Times New Roman" w:cs="Times New Roman"/>
                <w:color w:val="auto"/>
                <w:szCs w:val="21"/>
                <w:highlight w:val="none"/>
                <w:lang w:val="en-US" w:eastAsia="zh-CN"/>
              </w:rPr>
              <w:t>4.97k</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lang w:val="en-US" w:eastAsia="zh-CN"/>
              </w:rPr>
              <w:t>护岸工程均位于欧根河左岸</w:t>
            </w:r>
            <w:r>
              <w:rPr>
                <w:rFonts w:hint="default" w:ascii="Times New Roman" w:hAnsi="Times New Roman" w:cs="Times New Roman"/>
                <w:color w:val="auto"/>
                <w:highlight w:val="none"/>
                <w:lang w:eastAsia="zh-CN"/>
              </w:rPr>
              <w:t>。护岸采用格宾石笼挡墙型式，格宾石笼厚度50cm，下设碎石垫层10cm，下铺无纺布一层，护脚采用3.0m格宾护脚。</w:t>
            </w:r>
          </w:p>
          <w:p w14:paraId="63DBAC35">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表2—3  护岸工程位置统计表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1523"/>
              <w:gridCol w:w="1171"/>
              <w:gridCol w:w="2469"/>
              <w:gridCol w:w="1226"/>
              <w:gridCol w:w="1730"/>
            </w:tblGrid>
            <w:tr w14:paraId="47C07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3C093448">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序号</w:t>
                  </w:r>
                </w:p>
              </w:tc>
              <w:tc>
                <w:tcPr>
                  <w:tcW w:w="853" w:type="pct"/>
                  <w:noWrap w:val="0"/>
                  <w:vAlign w:val="center"/>
                </w:tcPr>
                <w:p w14:paraId="49EEB44F">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护岸名称</w:t>
                  </w:r>
                </w:p>
              </w:tc>
              <w:tc>
                <w:tcPr>
                  <w:tcW w:w="656" w:type="pct"/>
                  <w:noWrap w:val="0"/>
                  <w:vAlign w:val="center"/>
                </w:tcPr>
                <w:p w14:paraId="2515C7DE">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对应堤段</w:t>
                  </w:r>
                </w:p>
              </w:tc>
              <w:tc>
                <w:tcPr>
                  <w:tcW w:w="1383" w:type="pct"/>
                  <w:noWrap w:val="0"/>
                  <w:vAlign w:val="center"/>
                </w:tcPr>
                <w:p w14:paraId="5EB5CE34">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独立桩号</w:t>
                  </w:r>
                </w:p>
              </w:tc>
              <w:tc>
                <w:tcPr>
                  <w:tcW w:w="687" w:type="pct"/>
                  <w:noWrap w:val="0"/>
                  <w:vAlign w:val="center"/>
                </w:tcPr>
                <w:p w14:paraId="1B416725">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性质</w:t>
                  </w:r>
                </w:p>
              </w:tc>
              <w:tc>
                <w:tcPr>
                  <w:tcW w:w="969" w:type="pct"/>
                  <w:noWrap w:val="0"/>
                  <w:vAlign w:val="center"/>
                </w:tcPr>
                <w:p w14:paraId="291D9C79">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设计长度（k</w:t>
                  </w:r>
                  <w:r>
                    <w:rPr>
                      <w:rFonts w:hint="default" w:ascii="Times New Roman" w:hAnsi="Times New Roman" w:cs="Times New Roman"/>
                      <w:sz w:val="21"/>
                      <w:highlight w:val="none"/>
                      <w:lang w:eastAsia="zh-CN"/>
                    </w:rPr>
                    <w:t>m</w:t>
                  </w:r>
                  <w:r>
                    <w:rPr>
                      <w:rFonts w:hint="default" w:ascii="Times New Roman" w:hAnsi="Times New Roman" w:cs="Times New Roman"/>
                      <w:sz w:val="21"/>
                      <w:highlight w:val="none"/>
                    </w:rPr>
                    <w:t>）</w:t>
                  </w:r>
                </w:p>
              </w:tc>
            </w:tr>
            <w:tr w14:paraId="4F939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3E4A579D">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1</w:t>
                  </w:r>
                </w:p>
              </w:tc>
              <w:tc>
                <w:tcPr>
                  <w:tcW w:w="853" w:type="pct"/>
                  <w:noWrap w:val="0"/>
                  <w:vAlign w:val="center"/>
                </w:tcPr>
                <w:p w14:paraId="6093331F">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护岸1</w:t>
                  </w:r>
                </w:p>
              </w:tc>
              <w:tc>
                <w:tcPr>
                  <w:tcW w:w="656" w:type="pct"/>
                  <w:noWrap w:val="0"/>
                  <w:vAlign w:val="center"/>
                </w:tcPr>
                <w:p w14:paraId="173EC4D4">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0E2687C1">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0+419</w:t>
                  </w:r>
                </w:p>
              </w:tc>
              <w:tc>
                <w:tcPr>
                  <w:tcW w:w="687" w:type="pct"/>
                  <w:noWrap w:val="0"/>
                  <w:vAlign w:val="center"/>
                </w:tcPr>
                <w:p w14:paraId="248B776E">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3080DFC2">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0.419</w:t>
                  </w:r>
                </w:p>
              </w:tc>
            </w:tr>
            <w:tr w14:paraId="518F3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4A2F18DE">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2</w:t>
                  </w:r>
                </w:p>
              </w:tc>
              <w:tc>
                <w:tcPr>
                  <w:tcW w:w="853" w:type="pct"/>
                  <w:noWrap w:val="0"/>
                  <w:vAlign w:val="center"/>
                </w:tcPr>
                <w:p w14:paraId="5DB04E8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护岸2</w:t>
                  </w:r>
                </w:p>
              </w:tc>
              <w:tc>
                <w:tcPr>
                  <w:tcW w:w="656" w:type="pct"/>
                  <w:noWrap w:val="0"/>
                  <w:vAlign w:val="center"/>
                </w:tcPr>
                <w:p w14:paraId="5028A20B">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701D94D2">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0+409</w:t>
                  </w:r>
                </w:p>
              </w:tc>
              <w:tc>
                <w:tcPr>
                  <w:tcW w:w="687" w:type="pct"/>
                  <w:noWrap w:val="0"/>
                  <w:vAlign w:val="center"/>
                </w:tcPr>
                <w:p w14:paraId="318E499F">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203D5A0F">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0.409</w:t>
                  </w:r>
                </w:p>
              </w:tc>
            </w:tr>
            <w:tr w14:paraId="2401A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209BF9E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3</w:t>
                  </w:r>
                </w:p>
              </w:tc>
              <w:tc>
                <w:tcPr>
                  <w:tcW w:w="853" w:type="pct"/>
                  <w:noWrap w:val="0"/>
                  <w:vAlign w:val="center"/>
                </w:tcPr>
                <w:p w14:paraId="7E5C8BB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护岸3</w:t>
                  </w:r>
                </w:p>
              </w:tc>
              <w:tc>
                <w:tcPr>
                  <w:tcW w:w="656" w:type="pct"/>
                  <w:noWrap w:val="0"/>
                  <w:vAlign w:val="center"/>
                </w:tcPr>
                <w:p w14:paraId="79AE27E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1B40F201">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0+505</w:t>
                  </w:r>
                </w:p>
              </w:tc>
              <w:tc>
                <w:tcPr>
                  <w:tcW w:w="687" w:type="pct"/>
                  <w:noWrap w:val="0"/>
                  <w:vAlign w:val="center"/>
                </w:tcPr>
                <w:p w14:paraId="794D03FC">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2E8D06C4">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0.505</w:t>
                  </w:r>
                </w:p>
              </w:tc>
            </w:tr>
            <w:tr w14:paraId="46863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68C8ED85">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4</w:t>
                  </w:r>
                </w:p>
              </w:tc>
              <w:tc>
                <w:tcPr>
                  <w:tcW w:w="853" w:type="pct"/>
                  <w:noWrap w:val="0"/>
                  <w:vAlign w:val="center"/>
                </w:tcPr>
                <w:p w14:paraId="57CDE21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护岸4</w:t>
                  </w:r>
                </w:p>
              </w:tc>
              <w:tc>
                <w:tcPr>
                  <w:tcW w:w="656" w:type="pct"/>
                  <w:noWrap w:val="0"/>
                  <w:vAlign w:val="center"/>
                </w:tcPr>
                <w:p w14:paraId="04FAB98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1E397979">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0+370</w:t>
                  </w:r>
                </w:p>
              </w:tc>
              <w:tc>
                <w:tcPr>
                  <w:tcW w:w="687" w:type="pct"/>
                  <w:noWrap w:val="0"/>
                  <w:vAlign w:val="center"/>
                </w:tcPr>
                <w:p w14:paraId="0B471B3F">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6F9B45A4">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0.370</w:t>
                  </w:r>
                </w:p>
              </w:tc>
            </w:tr>
            <w:tr w14:paraId="3CBD1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7197DF0E">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5</w:t>
                  </w:r>
                </w:p>
              </w:tc>
              <w:tc>
                <w:tcPr>
                  <w:tcW w:w="853" w:type="pct"/>
                  <w:noWrap w:val="0"/>
                  <w:vAlign w:val="center"/>
                </w:tcPr>
                <w:p w14:paraId="32E6791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护岸5</w:t>
                  </w:r>
                </w:p>
              </w:tc>
              <w:tc>
                <w:tcPr>
                  <w:tcW w:w="656" w:type="pct"/>
                  <w:noWrap w:val="0"/>
                  <w:vAlign w:val="center"/>
                </w:tcPr>
                <w:p w14:paraId="63A30948">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517E646B">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0+561</w:t>
                  </w:r>
                </w:p>
              </w:tc>
              <w:tc>
                <w:tcPr>
                  <w:tcW w:w="687" w:type="pct"/>
                  <w:noWrap w:val="0"/>
                  <w:vAlign w:val="center"/>
                </w:tcPr>
                <w:p w14:paraId="36EA1360">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58DCAC39">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0.561</w:t>
                  </w:r>
                </w:p>
              </w:tc>
            </w:tr>
            <w:tr w14:paraId="5693F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41EC9F8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6</w:t>
                  </w:r>
                </w:p>
              </w:tc>
              <w:tc>
                <w:tcPr>
                  <w:tcW w:w="853" w:type="pct"/>
                  <w:noWrap w:val="0"/>
                  <w:vAlign w:val="center"/>
                </w:tcPr>
                <w:p w14:paraId="5F34769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护岸6</w:t>
                  </w:r>
                </w:p>
              </w:tc>
              <w:tc>
                <w:tcPr>
                  <w:tcW w:w="656" w:type="pct"/>
                  <w:noWrap w:val="0"/>
                  <w:vAlign w:val="center"/>
                </w:tcPr>
                <w:p w14:paraId="0551A21A">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4531A934">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0+400</w:t>
                  </w:r>
                </w:p>
              </w:tc>
              <w:tc>
                <w:tcPr>
                  <w:tcW w:w="687" w:type="pct"/>
                  <w:noWrap w:val="0"/>
                  <w:vAlign w:val="center"/>
                </w:tcPr>
                <w:p w14:paraId="7D270BA1">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676FE183">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0.400</w:t>
                  </w:r>
                </w:p>
              </w:tc>
            </w:tr>
            <w:tr w14:paraId="080D8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6CAD38E5">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7</w:t>
                  </w:r>
                </w:p>
              </w:tc>
              <w:tc>
                <w:tcPr>
                  <w:tcW w:w="853" w:type="pct"/>
                  <w:noWrap w:val="0"/>
                  <w:vAlign w:val="center"/>
                </w:tcPr>
                <w:p w14:paraId="7EE388AC">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护岸7</w:t>
                  </w:r>
                </w:p>
              </w:tc>
              <w:tc>
                <w:tcPr>
                  <w:tcW w:w="656" w:type="pct"/>
                  <w:noWrap w:val="0"/>
                  <w:vAlign w:val="center"/>
                </w:tcPr>
                <w:p w14:paraId="36C7463E">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6F4CED0C">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0+273</w:t>
                  </w:r>
                </w:p>
              </w:tc>
              <w:tc>
                <w:tcPr>
                  <w:tcW w:w="687" w:type="pct"/>
                  <w:noWrap w:val="0"/>
                  <w:vAlign w:val="center"/>
                </w:tcPr>
                <w:p w14:paraId="6CE586A8">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36BA8423">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0.273</w:t>
                  </w:r>
                </w:p>
              </w:tc>
            </w:tr>
            <w:tr w14:paraId="506E7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38D009A0">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8</w:t>
                  </w:r>
                </w:p>
              </w:tc>
              <w:tc>
                <w:tcPr>
                  <w:tcW w:w="853" w:type="pct"/>
                  <w:noWrap w:val="0"/>
                  <w:vAlign w:val="center"/>
                </w:tcPr>
                <w:p w14:paraId="3747F3E1">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护岸8</w:t>
                  </w:r>
                </w:p>
              </w:tc>
              <w:tc>
                <w:tcPr>
                  <w:tcW w:w="656" w:type="pct"/>
                  <w:noWrap w:val="0"/>
                  <w:vAlign w:val="center"/>
                </w:tcPr>
                <w:p w14:paraId="7BE00C77">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140A456F">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0+447</w:t>
                  </w:r>
                </w:p>
              </w:tc>
              <w:tc>
                <w:tcPr>
                  <w:tcW w:w="687" w:type="pct"/>
                  <w:noWrap w:val="0"/>
                  <w:vAlign w:val="center"/>
                </w:tcPr>
                <w:p w14:paraId="2C2317AE">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1A41CF68">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0.447</w:t>
                  </w:r>
                </w:p>
              </w:tc>
            </w:tr>
            <w:tr w14:paraId="793D1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75E4D8BB">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9</w:t>
                  </w:r>
                </w:p>
              </w:tc>
              <w:tc>
                <w:tcPr>
                  <w:tcW w:w="853" w:type="pct"/>
                  <w:noWrap w:val="0"/>
                  <w:vAlign w:val="center"/>
                </w:tcPr>
                <w:p w14:paraId="0280EC58">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护岸9</w:t>
                  </w:r>
                </w:p>
              </w:tc>
              <w:tc>
                <w:tcPr>
                  <w:tcW w:w="656" w:type="pct"/>
                  <w:noWrap w:val="0"/>
                  <w:vAlign w:val="center"/>
                </w:tcPr>
                <w:p w14:paraId="2B3819D7">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4C9BB926">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0+340</w:t>
                  </w:r>
                </w:p>
              </w:tc>
              <w:tc>
                <w:tcPr>
                  <w:tcW w:w="687" w:type="pct"/>
                  <w:noWrap w:val="0"/>
                  <w:vAlign w:val="center"/>
                </w:tcPr>
                <w:p w14:paraId="59810593">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46752104">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0.340</w:t>
                  </w:r>
                </w:p>
              </w:tc>
            </w:tr>
            <w:tr w14:paraId="70B91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4D90FAC7">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10</w:t>
                  </w:r>
                </w:p>
              </w:tc>
              <w:tc>
                <w:tcPr>
                  <w:tcW w:w="853" w:type="pct"/>
                  <w:noWrap w:val="0"/>
                  <w:vAlign w:val="center"/>
                </w:tcPr>
                <w:p w14:paraId="1B3F059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护岸10</w:t>
                  </w:r>
                </w:p>
              </w:tc>
              <w:tc>
                <w:tcPr>
                  <w:tcW w:w="656" w:type="pct"/>
                  <w:noWrap w:val="0"/>
                  <w:vAlign w:val="center"/>
                </w:tcPr>
                <w:p w14:paraId="2733AF27">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57D258F0">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0+356</w:t>
                  </w:r>
                </w:p>
              </w:tc>
              <w:tc>
                <w:tcPr>
                  <w:tcW w:w="687" w:type="pct"/>
                  <w:noWrap w:val="0"/>
                  <w:vAlign w:val="center"/>
                </w:tcPr>
                <w:p w14:paraId="1EED1CF4">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0196E4A6">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0.356</w:t>
                  </w:r>
                </w:p>
              </w:tc>
            </w:tr>
            <w:tr w14:paraId="4BA58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50DC7E99">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11</w:t>
                  </w:r>
                </w:p>
              </w:tc>
              <w:tc>
                <w:tcPr>
                  <w:tcW w:w="853" w:type="pct"/>
                  <w:noWrap w:val="0"/>
                  <w:vAlign w:val="center"/>
                </w:tcPr>
                <w:p w14:paraId="23481C56">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护岸11</w:t>
                  </w:r>
                </w:p>
              </w:tc>
              <w:tc>
                <w:tcPr>
                  <w:tcW w:w="656" w:type="pct"/>
                  <w:noWrap w:val="0"/>
                  <w:vAlign w:val="center"/>
                </w:tcPr>
                <w:p w14:paraId="1B440A78">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390880D8">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0+295</w:t>
                  </w:r>
                </w:p>
              </w:tc>
              <w:tc>
                <w:tcPr>
                  <w:tcW w:w="687" w:type="pct"/>
                  <w:noWrap w:val="0"/>
                  <w:vAlign w:val="center"/>
                </w:tcPr>
                <w:p w14:paraId="63BE4554">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10D86855">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0.295</w:t>
                  </w:r>
                </w:p>
              </w:tc>
            </w:tr>
            <w:tr w14:paraId="38BBB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24A7FF3D">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12</w:t>
                  </w:r>
                </w:p>
              </w:tc>
              <w:tc>
                <w:tcPr>
                  <w:tcW w:w="853" w:type="pct"/>
                  <w:noWrap w:val="0"/>
                  <w:vAlign w:val="center"/>
                </w:tcPr>
                <w:p w14:paraId="063C9C64">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护岸12</w:t>
                  </w:r>
                </w:p>
              </w:tc>
              <w:tc>
                <w:tcPr>
                  <w:tcW w:w="656" w:type="pct"/>
                  <w:noWrap w:val="0"/>
                  <w:vAlign w:val="center"/>
                </w:tcPr>
                <w:p w14:paraId="08D77E3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6C362C67">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0+230</w:t>
                  </w:r>
                </w:p>
              </w:tc>
              <w:tc>
                <w:tcPr>
                  <w:tcW w:w="687" w:type="pct"/>
                  <w:noWrap w:val="0"/>
                  <w:vAlign w:val="center"/>
                </w:tcPr>
                <w:p w14:paraId="2505BA2C">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5215B2D4">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0.230</w:t>
                  </w:r>
                </w:p>
              </w:tc>
            </w:tr>
            <w:tr w14:paraId="449BD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50E17F38">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13</w:t>
                  </w:r>
                </w:p>
              </w:tc>
              <w:tc>
                <w:tcPr>
                  <w:tcW w:w="853" w:type="pct"/>
                  <w:noWrap w:val="0"/>
                  <w:vAlign w:val="center"/>
                </w:tcPr>
                <w:p w14:paraId="77A96821">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护岸13</w:t>
                  </w:r>
                </w:p>
              </w:tc>
              <w:tc>
                <w:tcPr>
                  <w:tcW w:w="656" w:type="pct"/>
                  <w:noWrap w:val="0"/>
                  <w:vAlign w:val="center"/>
                </w:tcPr>
                <w:p w14:paraId="7ABC85A0">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78F9E18D">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0+115</w:t>
                  </w:r>
                </w:p>
              </w:tc>
              <w:tc>
                <w:tcPr>
                  <w:tcW w:w="687" w:type="pct"/>
                  <w:noWrap w:val="0"/>
                  <w:vAlign w:val="center"/>
                </w:tcPr>
                <w:p w14:paraId="2823FDC8">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67E9E7E4">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0.115</w:t>
                  </w:r>
                </w:p>
              </w:tc>
            </w:tr>
            <w:tr w14:paraId="0CC64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426545C9">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14</w:t>
                  </w:r>
                </w:p>
              </w:tc>
              <w:tc>
                <w:tcPr>
                  <w:tcW w:w="853" w:type="pct"/>
                  <w:noWrap w:val="0"/>
                  <w:vAlign w:val="center"/>
                </w:tcPr>
                <w:p w14:paraId="57B2EA49">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护岸14</w:t>
                  </w:r>
                </w:p>
              </w:tc>
              <w:tc>
                <w:tcPr>
                  <w:tcW w:w="656" w:type="pct"/>
                  <w:noWrap w:val="0"/>
                  <w:vAlign w:val="center"/>
                </w:tcPr>
                <w:p w14:paraId="253CF73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0CCCDE3B">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0+100</w:t>
                  </w:r>
                </w:p>
              </w:tc>
              <w:tc>
                <w:tcPr>
                  <w:tcW w:w="687" w:type="pct"/>
                  <w:noWrap w:val="0"/>
                  <w:vAlign w:val="center"/>
                </w:tcPr>
                <w:p w14:paraId="34513A82">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76F28A96">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0.100</w:t>
                  </w:r>
                </w:p>
              </w:tc>
            </w:tr>
            <w:tr w14:paraId="3AB82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10276D52">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15</w:t>
                  </w:r>
                </w:p>
              </w:tc>
              <w:tc>
                <w:tcPr>
                  <w:tcW w:w="853" w:type="pct"/>
                  <w:noWrap w:val="0"/>
                  <w:vAlign w:val="center"/>
                </w:tcPr>
                <w:p w14:paraId="08D1D0C7">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护岸15</w:t>
                  </w:r>
                </w:p>
              </w:tc>
              <w:tc>
                <w:tcPr>
                  <w:tcW w:w="656" w:type="pct"/>
                  <w:noWrap w:val="0"/>
                  <w:vAlign w:val="center"/>
                </w:tcPr>
                <w:p w14:paraId="7185C658">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左堤</w:t>
                  </w:r>
                </w:p>
              </w:tc>
              <w:tc>
                <w:tcPr>
                  <w:tcW w:w="1383" w:type="pct"/>
                  <w:noWrap w:val="0"/>
                  <w:vAlign w:val="center"/>
                </w:tcPr>
                <w:p w14:paraId="1FD68624">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0+000</w:t>
                  </w:r>
                  <w:r>
                    <w:rPr>
                      <w:rFonts w:hint="default" w:ascii="Times New Roman" w:hAnsi="Times New Roman" w:cs="Times New Roman"/>
                      <w:sz w:val="21"/>
                      <w:highlight w:val="none"/>
                      <w:lang w:val="en-US" w:eastAsia="zh-CN"/>
                    </w:rPr>
                    <w:t>—</w:t>
                  </w:r>
                  <w:r>
                    <w:rPr>
                      <w:rFonts w:hint="default" w:ascii="Times New Roman" w:hAnsi="Times New Roman" w:eastAsia="宋体" w:cs="Times New Roman"/>
                      <w:sz w:val="21"/>
                      <w:highlight w:val="none"/>
                      <w:lang w:val="en-US" w:eastAsia="zh-CN"/>
                    </w:rPr>
                    <w:t>0+150</w:t>
                  </w:r>
                </w:p>
              </w:tc>
              <w:tc>
                <w:tcPr>
                  <w:tcW w:w="687" w:type="pct"/>
                  <w:noWrap w:val="0"/>
                  <w:vAlign w:val="center"/>
                </w:tcPr>
                <w:p w14:paraId="1AAF77FA">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新建</w:t>
                  </w:r>
                </w:p>
              </w:tc>
              <w:tc>
                <w:tcPr>
                  <w:tcW w:w="969" w:type="pct"/>
                  <w:noWrap w:val="0"/>
                  <w:vAlign w:val="center"/>
                </w:tcPr>
                <w:p w14:paraId="128EFC22">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0.150</w:t>
                  </w:r>
                </w:p>
              </w:tc>
            </w:tr>
            <w:tr w14:paraId="6C985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0" w:type="pct"/>
                  <w:noWrap w:val="0"/>
                  <w:vAlign w:val="center"/>
                </w:tcPr>
                <w:p w14:paraId="2D7060EE">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sz w:val="21"/>
                      <w:highlight w:val="none"/>
                    </w:rPr>
                    <w:t>合计</w:t>
                  </w:r>
                </w:p>
              </w:tc>
              <w:tc>
                <w:tcPr>
                  <w:tcW w:w="853" w:type="pct"/>
                  <w:noWrap w:val="0"/>
                  <w:vAlign w:val="center"/>
                </w:tcPr>
                <w:p w14:paraId="6A11399D">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656" w:type="pct"/>
                  <w:noWrap w:val="0"/>
                  <w:vAlign w:val="center"/>
                </w:tcPr>
                <w:p w14:paraId="4A998529">
                  <w:pPr>
                    <w:shd w:val="clear" w:color="auto" w:fill="auto"/>
                    <w:spacing w:line="240" w:lineRule="auto"/>
                    <w:jc w:val="center"/>
                    <w:rPr>
                      <w:rFonts w:hint="default" w:ascii="Times New Roman" w:hAnsi="Times New Roman" w:cs="Times New Roman"/>
                      <w:kern w:val="2"/>
                      <w:sz w:val="21"/>
                      <w:szCs w:val="24"/>
                      <w:highlight w:val="none"/>
                      <w:lang w:val="en-US" w:eastAsia="zh-CN" w:bidi="ar-SA"/>
                    </w:rPr>
                  </w:pPr>
                </w:p>
              </w:tc>
              <w:tc>
                <w:tcPr>
                  <w:tcW w:w="1383" w:type="pct"/>
                  <w:noWrap w:val="0"/>
                  <w:vAlign w:val="bottom"/>
                </w:tcPr>
                <w:p w14:paraId="70AB65BE">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p>
              </w:tc>
              <w:tc>
                <w:tcPr>
                  <w:tcW w:w="687" w:type="pct"/>
                  <w:noWrap w:val="0"/>
                  <w:vAlign w:val="bottom"/>
                </w:tcPr>
                <w:p w14:paraId="12624E98">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p>
              </w:tc>
              <w:tc>
                <w:tcPr>
                  <w:tcW w:w="969" w:type="pct"/>
                  <w:noWrap w:val="0"/>
                  <w:vAlign w:val="bottom"/>
                </w:tcPr>
                <w:p w14:paraId="369CF07B">
                  <w:pPr>
                    <w:shd w:val="clear" w:color="auto" w:fill="auto"/>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lang w:val="en-US" w:eastAsia="zh-CN"/>
                    </w:rPr>
                    <w:t>4.97</w:t>
                  </w:r>
                </w:p>
              </w:tc>
            </w:tr>
          </w:tbl>
          <w:p w14:paraId="1ABB8982">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（1）1号护岸</w:t>
            </w:r>
          </w:p>
          <w:p w14:paraId="4B61E1FC">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1号护岸段分布于欧根河左岸，长度为419m，桩号为0+000～0+419，河底高程为183.05m～183.50m，自然地面高程一般为187.98m～188.23m，地面坡降较缓。</w:t>
            </w:r>
          </w:p>
          <w:p w14:paraId="08F22109">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（2）2号护岸</w:t>
            </w:r>
          </w:p>
          <w:p w14:paraId="33E87FE4">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2号护岸段分布于欧根河左岸，长度为409m，桩号为0+000～0+409，河底高程为185.24m～185.79m，自然地面高程一般为187.39m～187.52m，地面坡降较缓。</w:t>
            </w:r>
          </w:p>
          <w:p w14:paraId="2B01504D">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（3）3号护岸</w:t>
            </w:r>
          </w:p>
          <w:p w14:paraId="1CACFF8E">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3号护岸段分布于欧根河左岸，长度为505m，桩号为0+000～0+505，河底高程为185.78m～185.98m，自然地面高程一般为187.36m～188.19m，地面坡降较缓。</w:t>
            </w:r>
          </w:p>
          <w:p w14:paraId="4635E787">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（4）4号护岸</w:t>
            </w:r>
          </w:p>
          <w:p w14:paraId="0FCFB317">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4号护岸段分布于欧根河左岸，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370m，桩号为0+000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0+370，</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186.33</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～186.48m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188.08</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189.17</w:t>
            </w:r>
            <w:r>
              <w:rPr>
                <w:rFonts w:hint="default" w:ascii="Times New Roman" w:hAnsi="Times New Roman" w:cs="Times New Roman"/>
                <w:highlight w:val="none"/>
                <w:lang w:eastAsia="zh-CN"/>
              </w:rPr>
              <w:t>m</w:t>
            </w:r>
            <w:r>
              <w:rPr>
                <w:rFonts w:hint="default" w:ascii="Times New Roman" w:hAnsi="Times New Roman" w:cs="Times New Roman"/>
                <w:highlight w:val="none"/>
              </w:rPr>
              <w:t>，地面坡降较缓</w:t>
            </w:r>
            <w:r>
              <w:rPr>
                <w:rFonts w:hint="default" w:ascii="Times New Roman" w:hAnsi="Times New Roman" w:cs="Times New Roman"/>
                <w:color w:val="auto"/>
                <w:kern w:val="2"/>
                <w:sz w:val="24"/>
                <w:szCs w:val="24"/>
                <w:highlight w:val="none"/>
                <w:lang w:val="en-US" w:eastAsia="zh-CN" w:bidi="ar-SA"/>
              </w:rPr>
              <w:t>。</w:t>
            </w:r>
          </w:p>
          <w:p w14:paraId="15CAA1CA">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（5）5号护岸</w:t>
            </w:r>
          </w:p>
          <w:p w14:paraId="34AEF4FF">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5号护岸段分布于欧根河左岸，</w:t>
            </w:r>
            <w:r>
              <w:rPr>
                <w:rFonts w:hint="default" w:ascii="Times New Roman" w:hAnsi="Times New Roman" w:cs="Times New Roman"/>
                <w:highlight w:val="none"/>
                <w:lang w:eastAsia="zh-CN"/>
              </w:rPr>
              <w:t>长度为561m，桩号为0+000～0+561，河底高程为185.39m～186.89m，自然地面高程一般为188.33m～190.93m</w:t>
            </w:r>
            <w:r>
              <w:rPr>
                <w:rFonts w:hint="default" w:ascii="Times New Roman" w:hAnsi="Times New Roman" w:cs="Times New Roman"/>
                <w:color w:val="auto"/>
                <w:kern w:val="2"/>
                <w:sz w:val="24"/>
                <w:szCs w:val="24"/>
                <w:highlight w:val="none"/>
                <w:lang w:val="en-US" w:eastAsia="zh-CN" w:bidi="ar-SA"/>
              </w:rPr>
              <w:t>，地面坡降较缓。</w:t>
            </w:r>
          </w:p>
          <w:p w14:paraId="6F679ED1">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（6）6号护岸</w:t>
            </w:r>
          </w:p>
          <w:p w14:paraId="2C3EB8F2">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6号护岸段分布于欧根河左岸，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400m，桩号为0+000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0+400，</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186.78</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～187.51m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189.40</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190.59</w:t>
            </w:r>
            <w:r>
              <w:rPr>
                <w:rFonts w:hint="default" w:ascii="Times New Roman" w:hAnsi="Times New Roman" w:cs="Times New Roman"/>
                <w:highlight w:val="none"/>
                <w:lang w:eastAsia="zh-CN"/>
              </w:rPr>
              <w:t>m</w:t>
            </w:r>
            <w:r>
              <w:rPr>
                <w:rFonts w:hint="default" w:ascii="Times New Roman" w:hAnsi="Times New Roman" w:cs="Times New Roman"/>
                <w:color w:val="auto"/>
                <w:kern w:val="2"/>
                <w:sz w:val="24"/>
                <w:szCs w:val="24"/>
                <w:highlight w:val="none"/>
                <w:lang w:val="en-US" w:eastAsia="zh-CN" w:bidi="ar-SA"/>
              </w:rPr>
              <w:t>，地面坡降较缓。</w:t>
            </w:r>
          </w:p>
          <w:p w14:paraId="609F4D8D">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（7）7号护岸</w:t>
            </w:r>
          </w:p>
          <w:p w14:paraId="5714272B">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7号护岸段分布于欧根河左岸，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273m，桩号为0+000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0+273，</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188.33</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～188.61m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190.52</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190.86</w:t>
            </w:r>
            <w:r>
              <w:rPr>
                <w:rFonts w:hint="default" w:ascii="Times New Roman" w:hAnsi="Times New Roman" w:cs="Times New Roman"/>
                <w:highlight w:val="none"/>
                <w:lang w:eastAsia="zh-CN"/>
              </w:rPr>
              <w:t>m</w:t>
            </w:r>
            <w:r>
              <w:rPr>
                <w:rFonts w:hint="default" w:ascii="Times New Roman" w:hAnsi="Times New Roman" w:cs="Times New Roman"/>
                <w:color w:val="auto"/>
                <w:kern w:val="2"/>
                <w:sz w:val="24"/>
                <w:szCs w:val="24"/>
                <w:highlight w:val="none"/>
                <w:lang w:val="en-US" w:eastAsia="zh-CN" w:bidi="ar-SA"/>
              </w:rPr>
              <w:t>，地面坡降较缓。</w:t>
            </w:r>
          </w:p>
          <w:p w14:paraId="46727C2E">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（8）8号护岸</w:t>
            </w:r>
          </w:p>
          <w:p w14:paraId="6F770FFF">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8号护岸段分布于欧根河左岸，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447m，桩号为0+000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0+447，</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188.65</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～189.11m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190.51</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191.62</w:t>
            </w:r>
            <w:r>
              <w:rPr>
                <w:rFonts w:hint="default" w:ascii="Times New Roman" w:hAnsi="Times New Roman" w:cs="Times New Roman"/>
                <w:highlight w:val="none"/>
                <w:lang w:eastAsia="zh-CN"/>
              </w:rPr>
              <w:t>m</w:t>
            </w:r>
            <w:r>
              <w:rPr>
                <w:rFonts w:hint="default" w:ascii="Times New Roman" w:hAnsi="Times New Roman" w:cs="Times New Roman"/>
                <w:color w:val="auto"/>
                <w:kern w:val="2"/>
                <w:sz w:val="24"/>
                <w:szCs w:val="24"/>
                <w:highlight w:val="none"/>
                <w:lang w:val="en-US" w:eastAsia="zh-CN" w:bidi="ar-SA"/>
              </w:rPr>
              <w:t>，地面坡降较缓。</w:t>
            </w:r>
          </w:p>
          <w:p w14:paraId="3AE81C3E">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（9）9号护岸</w:t>
            </w:r>
          </w:p>
          <w:p w14:paraId="231D6445">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9号护岸段分布于欧根河左岸，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340m，桩号为0+000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0+340，</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189.09</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～189.39m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190.77</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191.30</w:t>
            </w:r>
            <w:r>
              <w:rPr>
                <w:rFonts w:hint="default" w:ascii="Times New Roman" w:hAnsi="Times New Roman" w:cs="Times New Roman"/>
                <w:highlight w:val="none"/>
                <w:lang w:eastAsia="zh-CN"/>
              </w:rPr>
              <w:t>m</w:t>
            </w:r>
            <w:r>
              <w:rPr>
                <w:rFonts w:hint="default" w:ascii="Times New Roman" w:hAnsi="Times New Roman" w:cs="Times New Roman"/>
                <w:color w:val="auto"/>
                <w:kern w:val="2"/>
                <w:sz w:val="24"/>
                <w:szCs w:val="24"/>
                <w:highlight w:val="none"/>
                <w:lang w:val="en-US" w:eastAsia="zh-CN" w:bidi="ar-SA"/>
              </w:rPr>
              <w:t>，地面坡降较缓。</w:t>
            </w:r>
          </w:p>
          <w:p w14:paraId="6B212B62">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（10）10号护岸</w:t>
            </w:r>
          </w:p>
          <w:p w14:paraId="7877A648">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10号护岸段分布于欧根河左岸，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356m，桩号为0+000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0+356，</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189.51</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～190.16m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191.37</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192.04</w:t>
            </w:r>
            <w:r>
              <w:rPr>
                <w:rFonts w:hint="default" w:ascii="Times New Roman" w:hAnsi="Times New Roman" w:cs="Times New Roman"/>
                <w:highlight w:val="none"/>
                <w:lang w:eastAsia="zh-CN"/>
              </w:rPr>
              <w:t>m</w:t>
            </w:r>
            <w:r>
              <w:rPr>
                <w:rFonts w:hint="default" w:ascii="Times New Roman" w:hAnsi="Times New Roman" w:cs="Times New Roman"/>
                <w:highlight w:val="none"/>
              </w:rPr>
              <w:t>，地面坡降较缓</w:t>
            </w:r>
            <w:r>
              <w:rPr>
                <w:rFonts w:hint="default" w:ascii="Times New Roman" w:hAnsi="Times New Roman" w:cs="Times New Roman"/>
                <w:color w:val="auto"/>
                <w:kern w:val="2"/>
                <w:sz w:val="24"/>
                <w:szCs w:val="24"/>
                <w:highlight w:val="none"/>
                <w:lang w:val="en-US" w:eastAsia="zh-CN" w:bidi="ar-SA"/>
              </w:rPr>
              <w:t>。</w:t>
            </w:r>
          </w:p>
          <w:p w14:paraId="3D1E5974">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（11）11号护岸</w:t>
            </w:r>
          </w:p>
          <w:p w14:paraId="6305A9FD">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11号护岸段分布于欧根河左岸，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295m，桩号为0+000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0+295，</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192.77</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～193.24m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194.40</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195.33</w:t>
            </w:r>
            <w:r>
              <w:rPr>
                <w:rFonts w:hint="default" w:ascii="Times New Roman" w:hAnsi="Times New Roman" w:cs="Times New Roman"/>
                <w:highlight w:val="none"/>
                <w:lang w:eastAsia="zh-CN"/>
              </w:rPr>
              <w:t>m</w:t>
            </w:r>
            <w:r>
              <w:rPr>
                <w:rFonts w:hint="default" w:ascii="Times New Roman" w:hAnsi="Times New Roman" w:cs="Times New Roman"/>
                <w:color w:val="auto"/>
                <w:kern w:val="2"/>
                <w:sz w:val="24"/>
                <w:szCs w:val="24"/>
                <w:highlight w:val="none"/>
                <w:lang w:val="en-US" w:eastAsia="zh-CN" w:bidi="ar-SA"/>
              </w:rPr>
              <w:t>，地面坡降较缓。</w:t>
            </w:r>
          </w:p>
          <w:p w14:paraId="0DF9FBD0">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（12）12号护岸</w:t>
            </w:r>
          </w:p>
          <w:p w14:paraId="56F8EA44">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12号护岸段分布于欧根河左岸，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230m，桩号为0+000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0+230，</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192.17</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～193.21m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194.55</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195.89</w:t>
            </w:r>
            <w:r>
              <w:rPr>
                <w:rFonts w:hint="default" w:ascii="Times New Roman" w:hAnsi="Times New Roman" w:cs="Times New Roman"/>
                <w:highlight w:val="none"/>
                <w:lang w:eastAsia="zh-CN"/>
              </w:rPr>
              <w:t>m</w:t>
            </w:r>
            <w:r>
              <w:rPr>
                <w:rFonts w:hint="default" w:ascii="Times New Roman" w:hAnsi="Times New Roman" w:cs="Times New Roman"/>
                <w:color w:val="auto"/>
                <w:kern w:val="2"/>
                <w:sz w:val="24"/>
                <w:szCs w:val="24"/>
                <w:highlight w:val="none"/>
                <w:lang w:val="en-US" w:eastAsia="zh-CN" w:bidi="ar-SA"/>
              </w:rPr>
              <w:t>，地面坡降较缓。</w:t>
            </w:r>
          </w:p>
          <w:p w14:paraId="1870E830">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（13）13号护岸</w:t>
            </w:r>
          </w:p>
          <w:p w14:paraId="7DD17DD7">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13号护岸段分布于欧根河左岸，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115m，桩号为0+000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0+115，</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206.70</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～206.97m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208.73</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210.55</w:t>
            </w:r>
            <w:r>
              <w:rPr>
                <w:rFonts w:hint="default" w:ascii="Times New Roman" w:hAnsi="Times New Roman" w:cs="Times New Roman"/>
                <w:highlight w:val="none"/>
                <w:lang w:eastAsia="zh-CN"/>
              </w:rPr>
              <w:t>m</w:t>
            </w:r>
            <w:r>
              <w:rPr>
                <w:rFonts w:hint="default" w:ascii="Times New Roman" w:hAnsi="Times New Roman" w:cs="Times New Roman"/>
                <w:highlight w:val="none"/>
              </w:rPr>
              <w:t>，地面坡降较缓</w:t>
            </w:r>
            <w:r>
              <w:rPr>
                <w:rFonts w:hint="default" w:ascii="Times New Roman" w:hAnsi="Times New Roman" w:cs="Times New Roman"/>
                <w:color w:val="auto"/>
                <w:kern w:val="2"/>
                <w:sz w:val="24"/>
                <w:szCs w:val="24"/>
                <w:highlight w:val="none"/>
                <w:lang w:val="en-US" w:eastAsia="zh-CN" w:bidi="ar-SA"/>
              </w:rPr>
              <w:t>。</w:t>
            </w:r>
          </w:p>
          <w:p w14:paraId="6FA1688D">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（14）14号护岸</w:t>
            </w:r>
          </w:p>
          <w:p w14:paraId="4C871BCB">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14号护岸段分布于欧根河左岸，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100m，桩号为0+000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0+100，</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208.09</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～208.27m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210.28</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211.09</w:t>
            </w:r>
            <w:r>
              <w:rPr>
                <w:rFonts w:hint="default" w:ascii="Times New Roman" w:hAnsi="Times New Roman" w:cs="Times New Roman"/>
                <w:highlight w:val="none"/>
                <w:lang w:eastAsia="zh-CN"/>
              </w:rPr>
              <w:t>m</w:t>
            </w:r>
            <w:r>
              <w:rPr>
                <w:rFonts w:hint="default" w:ascii="Times New Roman" w:hAnsi="Times New Roman" w:cs="Times New Roman"/>
                <w:color w:val="auto"/>
                <w:kern w:val="2"/>
                <w:sz w:val="24"/>
                <w:szCs w:val="24"/>
                <w:highlight w:val="none"/>
                <w:lang w:val="en-US" w:eastAsia="zh-CN" w:bidi="ar-SA"/>
              </w:rPr>
              <w:t>，地面坡降较缓。</w:t>
            </w:r>
          </w:p>
          <w:p w14:paraId="19F2DE93">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（15）15号护岸</w:t>
            </w:r>
          </w:p>
          <w:p w14:paraId="6DB256B3">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15号护岸段分布于欧根河左岸，</w:t>
            </w:r>
            <w:r>
              <w:rPr>
                <w:rFonts w:hint="default" w:ascii="Times New Roman" w:hAnsi="Times New Roman" w:cs="Times New Roman"/>
                <w:highlight w:val="none"/>
                <w:lang w:eastAsia="zh-CN"/>
              </w:rPr>
              <w:t>长度为</w:t>
            </w:r>
            <w:r>
              <w:rPr>
                <w:rFonts w:hint="default" w:ascii="Times New Roman" w:hAnsi="Times New Roman" w:cs="Times New Roman"/>
                <w:highlight w:val="none"/>
                <w:lang w:val="en-US" w:eastAsia="zh-CN"/>
              </w:rPr>
              <w:t>150m，桩号为0+000</w:t>
            </w:r>
            <w:r>
              <w:rPr>
                <w:rFonts w:hint="default" w:ascii="Times New Roman" w:hAnsi="Times New Roman" w:cs="Times New Roman"/>
                <w:highlight w:val="none"/>
              </w:rPr>
              <w:t>～</w:t>
            </w:r>
            <w:r>
              <w:rPr>
                <w:rFonts w:hint="default" w:ascii="Times New Roman" w:hAnsi="Times New Roman" w:cs="Times New Roman"/>
                <w:highlight w:val="none"/>
                <w:lang w:val="en-US" w:eastAsia="zh-CN"/>
              </w:rPr>
              <w:t>0+150，</w:t>
            </w:r>
            <w:r>
              <w:rPr>
                <w:rFonts w:hint="default" w:ascii="Times New Roman" w:hAnsi="Times New Roman" w:cs="Times New Roman"/>
                <w:highlight w:val="none"/>
                <w:lang w:eastAsia="zh-CN"/>
              </w:rPr>
              <w:t>河底</w:t>
            </w:r>
            <w:r>
              <w:rPr>
                <w:rFonts w:hint="default" w:ascii="Times New Roman" w:hAnsi="Times New Roman" w:cs="Times New Roman"/>
                <w:highlight w:val="none"/>
              </w:rPr>
              <w:t>高程为</w:t>
            </w:r>
            <w:r>
              <w:rPr>
                <w:rFonts w:hint="default" w:ascii="Times New Roman" w:hAnsi="Times New Roman" w:cs="Times New Roman"/>
                <w:highlight w:val="none"/>
                <w:lang w:val="en-US" w:eastAsia="zh-CN"/>
              </w:rPr>
              <w:t>208.45</w:t>
            </w:r>
            <w:r>
              <w:rPr>
                <w:rFonts w:hint="default" w:ascii="Times New Roman" w:hAnsi="Times New Roman" w:cs="Times New Roman"/>
                <w:highlight w:val="none"/>
                <w:lang w:eastAsia="zh-CN"/>
              </w:rPr>
              <w:t>m</w:t>
            </w:r>
            <w:r>
              <w:rPr>
                <w:rFonts w:hint="default" w:ascii="Times New Roman" w:hAnsi="Times New Roman" w:cs="Times New Roman"/>
                <w:highlight w:val="none"/>
                <w:lang w:val="en-US" w:eastAsia="zh-CN"/>
              </w:rPr>
              <w:t>～208.56m</w:t>
            </w:r>
            <w:r>
              <w:rPr>
                <w:rFonts w:hint="default" w:ascii="Times New Roman" w:hAnsi="Times New Roman" w:cs="Times New Roman"/>
                <w:highlight w:val="none"/>
              </w:rPr>
              <w:t>，自然地面高程一般为</w:t>
            </w:r>
            <w:r>
              <w:rPr>
                <w:rFonts w:hint="default" w:ascii="Times New Roman" w:hAnsi="Times New Roman" w:cs="Times New Roman"/>
                <w:highlight w:val="none"/>
                <w:lang w:val="en-US" w:eastAsia="zh-CN"/>
              </w:rPr>
              <w:t>211.49</w:t>
            </w:r>
            <w:r>
              <w:rPr>
                <w:rFonts w:hint="default" w:ascii="Times New Roman" w:hAnsi="Times New Roman" w:cs="Times New Roman"/>
                <w:highlight w:val="none"/>
                <w:lang w:eastAsia="zh-CN"/>
              </w:rPr>
              <w:t>m</w:t>
            </w:r>
            <w:r>
              <w:rPr>
                <w:rFonts w:hint="default" w:ascii="Times New Roman" w:hAnsi="Times New Roman" w:cs="Times New Roman"/>
                <w:highlight w:val="none"/>
              </w:rPr>
              <w:t>～</w:t>
            </w:r>
            <w:r>
              <w:rPr>
                <w:rFonts w:hint="default" w:ascii="Times New Roman" w:hAnsi="Times New Roman" w:cs="Times New Roman"/>
                <w:highlight w:val="none"/>
                <w:lang w:val="en-US" w:eastAsia="zh-CN"/>
              </w:rPr>
              <w:t>211.83</w:t>
            </w:r>
            <w:r>
              <w:rPr>
                <w:rFonts w:hint="default" w:ascii="Times New Roman" w:hAnsi="Times New Roman" w:cs="Times New Roman"/>
                <w:highlight w:val="none"/>
                <w:lang w:eastAsia="zh-CN"/>
              </w:rPr>
              <w:t>m</w:t>
            </w:r>
            <w:r>
              <w:rPr>
                <w:rFonts w:hint="default" w:ascii="Times New Roman" w:hAnsi="Times New Roman" w:cs="Times New Roman"/>
                <w:color w:val="auto"/>
                <w:kern w:val="2"/>
                <w:sz w:val="24"/>
                <w:szCs w:val="24"/>
                <w:highlight w:val="none"/>
                <w:lang w:val="en-US" w:eastAsia="zh-CN" w:bidi="ar-SA"/>
              </w:rPr>
              <w:t>，地面坡降较缓。</w:t>
            </w:r>
          </w:p>
          <w:p w14:paraId="7AFAFDAE">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
                <w:sz w:val="24"/>
                <w:szCs w:val="24"/>
                <w:highlight w:val="none"/>
                <w:lang w:val="en-US" w:eastAsia="zh-CN" w:bidi="ar-SA"/>
              </w:rPr>
              <w:t>3、</w:t>
            </w:r>
            <w:r>
              <w:rPr>
                <w:rFonts w:hint="default" w:ascii="Times New Roman" w:hAnsi="Times New Roman" w:cs="Times New Roman"/>
                <w:color w:val="auto"/>
                <w:highlight w:val="none"/>
                <w:lang w:val="en-US" w:eastAsia="zh-CN"/>
              </w:rPr>
              <w:t>建筑物工程布置</w:t>
            </w:r>
          </w:p>
          <w:p w14:paraId="0002FC92">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highlight w:val="none"/>
              </w:rPr>
              <w:t>本</w:t>
            </w:r>
            <w:r>
              <w:rPr>
                <w:rFonts w:hint="default" w:ascii="Times New Roman" w:hAnsi="Times New Roman" w:cs="Times New Roman"/>
                <w:highlight w:val="none"/>
                <w:lang w:val="en-US" w:eastAsia="zh-CN"/>
              </w:rPr>
              <w:t>项目</w:t>
            </w:r>
            <w:r>
              <w:rPr>
                <w:rFonts w:hint="default" w:ascii="Times New Roman" w:hAnsi="Times New Roman" w:cs="Times New Roman"/>
                <w:highlight w:val="none"/>
              </w:rPr>
              <w:t>布置建筑物12座，其中新建</w:t>
            </w:r>
            <w:r>
              <w:rPr>
                <w:rFonts w:hint="default" w:ascii="Times New Roman" w:hAnsi="Times New Roman" w:cs="Times New Roman"/>
                <w:highlight w:val="none"/>
                <w:lang w:eastAsia="zh-CN"/>
              </w:rPr>
              <w:t>排水闸</w:t>
            </w:r>
            <w:r>
              <w:rPr>
                <w:rFonts w:hint="default" w:ascii="Times New Roman" w:hAnsi="Times New Roman" w:cs="Times New Roman"/>
                <w:highlight w:val="none"/>
              </w:rPr>
              <w:t>11座，新建排水闸站1座；其中1号堤防布置建筑物</w:t>
            </w:r>
            <w:r>
              <w:rPr>
                <w:rFonts w:hint="default" w:ascii="Times New Roman" w:hAnsi="Times New Roman" w:cs="Times New Roman"/>
                <w:highlight w:val="none"/>
                <w:lang w:val="en-US" w:eastAsia="zh-CN"/>
              </w:rPr>
              <w:t>1</w:t>
            </w:r>
            <w:r>
              <w:rPr>
                <w:rFonts w:hint="default" w:ascii="Times New Roman" w:hAnsi="Times New Roman" w:cs="Times New Roman"/>
                <w:highlight w:val="none"/>
              </w:rPr>
              <w:t>座，2号堤防布置建筑物3座，3号堤防布置建筑物3座，4号堤防布置建筑物3座，5号堤防布置建筑物</w:t>
            </w:r>
            <w:r>
              <w:rPr>
                <w:rFonts w:hint="default" w:ascii="Times New Roman" w:hAnsi="Times New Roman" w:cs="Times New Roman"/>
                <w:highlight w:val="none"/>
                <w:lang w:val="en-US" w:eastAsia="zh-CN"/>
              </w:rPr>
              <w:t>2</w:t>
            </w:r>
            <w:r>
              <w:rPr>
                <w:rFonts w:hint="default" w:ascii="Times New Roman" w:hAnsi="Times New Roman" w:cs="Times New Roman"/>
                <w:highlight w:val="none"/>
              </w:rPr>
              <w:t>座。</w:t>
            </w:r>
          </w:p>
          <w:p w14:paraId="1BE987EE">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表2—4  穿堤建筑物统计表</w:t>
            </w:r>
          </w:p>
          <w:tbl>
            <w:tblPr>
              <w:tblStyle w:val="26"/>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757"/>
              <w:gridCol w:w="644"/>
              <w:gridCol w:w="755"/>
              <w:gridCol w:w="676"/>
              <w:gridCol w:w="992"/>
              <w:gridCol w:w="1085"/>
              <w:gridCol w:w="919"/>
              <w:gridCol w:w="963"/>
              <w:gridCol w:w="797"/>
              <w:gridCol w:w="441"/>
              <w:gridCol w:w="441"/>
            </w:tblGrid>
            <w:tr w14:paraId="6F840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vMerge w:val="restart"/>
                  <w:noWrap w:val="0"/>
                  <w:vAlign w:val="center"/>
                </w:tcPr>
                <w:p w14:paraId="3D92B4E3">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序号</w:t>
                  </w:r>
                </w:p>
              </w:tc>
              <w:tc>
                <w:tcPr>
                  <w:tcW w:w="425" w:type="pct"/>
                  <w:vMerge w:val="restart"/>
                  <w:noWrap w:val="0"/>
                  <w:vAlign w:val="center"/>
                </w:tcPr>
                <w:p w14:paraId="386B14E2">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建筑物名称</w:t>
                  </w:r>
                </w:p>
              </w:tc>
              <w:tc>
                <w:tcPr>
                  <w:tcW w:w="784" w:type="pct"/>
                  <w:gridSpan w:val="2"/>
                  <w:vMerge w:val="restart"/>
                  <w:noWrap w:val="0"/>
                  <w:vAlign w:val="center"/>
                </w:tcPr>
                <w:p w14:paraId="5E37FC3C">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位置</w:t>
                  </w:r>
                </w:p>
              </w:tc>
              <w:tc>
                <w:tcPr>
                  <w:tcW w:w="379" w:type="pct"/>
                  <w:vMerge w:val="restart"/>
                  <w:noWrap w:val="0"/>
                  <w:vAlign w:val="center"/>
                </w:tcPr>
                <w:p w14:paraId="5415584A">
                  <w:pPr>
                    <w:widowControl/>
                    <w:shd w:val="clear" w:color="auto" w:fill="auto"/>
                    <w:spacing w:line="240" w:lineRule="auto"/>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cs="Times New Roman"/>
                      <w:color w:val="000000"/>
                      <w:kern w:val="0"/>
                      <w:sz w:val="18"/>
                      <w:szCs w:val="18"/>
                      <w:highlight w:val="none"/>
                      <w:lang w:bidi="ar"/>
                    </w:rPr>
                    <w:t>建设</w:t>
                  </w:r>
                </w:p>
                <w:p w14:paraId="2682181E">
                  <w:pPr>
                    <w:widowControl/>
                    <w:shd w:val="clear" w:color="auto" w:fill="auto"/>
                    <w:spacing w:line="240" w:lineRule="auto"/>
                    <w:jc w:val="center"/>
                    <w:rPr>
                      <w:rFonts w:hint="default" w:ascii="Times New Roman" w:hAnsi="Times New Roman" w:eastAsia="等线"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性质</w:t>
                  </w:r>
                </w:p>
              </w:tc>
              <w:tc>
                <w:tcPr>
                  <w:tcW w:w="556" w:type="pct"/>
                  <w:vMerge w:val="restart"/>
                  <w:noWrap w:val="0"/>
                  <w:vAlign w:val="center"/>
                </w:tcPr>
                <w:p w14:paraId="2714C8E2">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流量（</w:t>
                  </w:r>
                  <w:r>
                    <w:rPr>
                      <w:rFonts w:hint="default" w:ascii="Times New Roman" w:hAnsi="Times New Roman" w:cs="Times New Roman"/>
                      <w:color w:val="000000"/>
                      <w:kern w:val="0"/>
                      <w:sz w:val="18"/>
                      <w:szCs w:val="18"/>
                      <w:highlight w:val="none"/>
                      <w:lang w:eastAsia="zh-CN" w:bidi="ar"/>
                    </w:rPr>
                    <w:t>m</w:t>
                  </w:r>
                  <w:r>
                    <w:rPr>
                      <w:rFonts w:hint="default" w:ascii="Times New Roman" w:hAnsi="Times New Roman" w:cs="Times New Roman"/>
                      <w:color w:val="000000"/>
                      <w:kern w:val="0"/>
                      <w:sz w:val="18"/>
                      <w:szCs w:val="18"/>
                      <w:highlight w:val="none"/>
                      <w:lang w:bidi="ar"/>
                    </w:rPr>
                    <w:t>³/s）</w:t>
                  </w:r>
                </w:p>
              </w:tc>
              <w:tc>
                <w:tcPr>
                  <w:tcW w:w="608" w:type="pct"/>
                  <w:vMerge w:val="restart"/>
                  <w:noWrap w:val="0"/>
                  <w:vAlign w:val="center"/>
                </w:tcPr>
                <w:p w14:paraId="0C3BFC68">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孔口尺寸</w:t>
                  </w:r>
                </w:p>
              </w:tc>
              <w:tc>
                <w:tcPr>
                  <w:tcW w:w="515" w:type="pct"/>
                  <w:noWrap w:val="0"/>
                  <w:vAlign w:val="center"/>
                </w:tcPr>
                <w:p w14:paraId="7D50DE52">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内水</w:t>
                  </w:r>
                </w:p>
              </w:tc>
              <w:tc>
                <w:tcPr>
                  <w:tcW w:w="540" w:type="pct"/>
                  <w:noWrap w:val="0"/>
                  <w:vAlign w:val="center"/>
                </w:tcPr>
                <w:p w14:paraId="554EA1D1">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欧根河</w:t>
                  </w:r>
                </w:p>
              </w:tc>
              <w:tc>
                <w:tcPr>
                  <w:tcW w:w="447" w:type="pct"/>
                  <w:noWrap w:val="0"/>
                  <w:vAlign w:val="center"/>
                </w:tcPr>
                <w:p w14:paraId="6EC060A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堤顶</w:t>
                  </w:r>
                </w:p>
              </w:tc>
              <w:tc>
                <w:tcPr>
                  <w:tcW w:w="494" w:type="pct"/>
                  <w:gridSpan w:val="2"/>
                  <w:noWrap w:val="0"/>
                  <w:vAlign w:val="center"/>
                </w:tcPr>
                <w:p w14:paraId="6DEE4042">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堤防</w:t>
                  </w:r>
                </w:p>
              </w:tc>
            </w:tr>
            <w:tr w14:paraId="44A85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vMerge w:val="continue"/>
                  <w:noWrap w:val="0"/>
                  <w:vAlign w:val="center"/>
                </w:tcPr>
                <w:p w14:paraId="03989F61">
                  <w:pPr>
                    <w:widowControl/>
                    <w:shd w:val="clear" w:color="auto" w:fill="auto"/>
                    <w:snapToGrid/>
                    <w:spacing w:line="240" w:lineRule="auto"/>
                    <w:jc w:val="center"/>
                    <w:rPr>
                      <w:rFonts w:hint="default" w:ascii="Times New Roman" w:hAnsi="Times New Roman" w:cs="Times New Roman"/>
                      <w:color w:val="000000"/>
                      <w:kern w:val="0"/>
                      <w:sz w:val="18"/>
                      <w:szCs w:val="18"/>
                      <w:highlight w:val="none"/>
                    </w:rPr>
                  </w:pPr>
                </w:p>
              </w:tc>
              <w:tc>
                <w:tcPr>
                  <w:tcW w:w="425" w:type="pct"/>
                  <w:vMerge w:val="continue"/>
                  <w:noWrap w:val="0"/>
                  <w:vAlign w:val="center"/>
                </w:tcPr>
                <w:p w14:paraId="6047D2BE">
                  <w:pPr>
                    <w:widowControl/>
                    <w:shd w:val="clear" w:color="auto" w:fill="auto"/>
                    <w:snapToGrid/>
                    <w:spacing w:line="240" w:lineRule="auto"/>
                    <w:jc w:val="center"/>
                    <w:rPr>
                      <w:rFonts w:hint="default" w:ascii="Times New Roman" w:hAnsi="Times New Roman" w:cs="Times New Roman"/>
                      <w:color w:val="000000"/>
                      <w:kern w:val="0"/>
                      <w:sz w:val="18"/>
                      <w:szCs w:val="18"/>
                      <w:highlight w:val="none"/>
                      <w:lang w:val="en-US" w:eastAsia="zh-CN"/>
                    </w:rPr>
                  </w:pPr>
                </w:p>
              </w:tc>
              <w:tc>
                <w:tcPr>
                  <w:tcW w:w="784" w:type="pct"/>
                  <w:gridSpan w:val="2"/>
                  <w:vMerge w:val="continue"/>
                  <w:noWrap w:val="0"/>
                  <w:vAlign w:val="center"/>
                </w:tcPr>
                <w:p w14:paraId="3C9980B0">
                  <w:pPr>
                    <w:widowControl/>
                    <w:shd w:val="clear" w:color="auto" w:fill="auto"/>
                    <w:spacing w:line="240" w:lineRule="auto"/>
                    <w:jc w:val="center"/>
                    <w:textAlignment w:val="center"/>
                    <w:rPr>
                      <w:rFonts w:hint="default" w:ascii="Times New Roman" w:hAnsi="Times New Roman" w:cs="Times New Roman"/>
                      <w:color w:val="000000"/>
                      <w:sz w:val="18"/>
                      <w:szCs w:val="18"/>
                      <w:highlight w:val="none"/>
                    </w:rPr>
                  </w:pPr>
                </w:p>
              </w:tc>
              <w:tc>
                <w:tcPr>
                  <w:tcW w:w="379" w:type="pct"/>
                  <w:vMerge w:val="continue"/>
                  <w:noWrap w:val="0"/>
                  <w:vAlign w:val="center"/>
                </w:tcPr>
                <w:p w14:paraId="270847A4">
                  <w:pPr>
                    <w:widowControl/>
                    <w:shd w:val="clear" w:color="auto" w:fill="auto"/>
                    <w:spacing w:line="240" w:lineRule="auto"/>
                    <w:jc w:val="center"/>
                    <w:textAlignment w:val="center"/>
                    <w:rPr>
                      <w:rFonts w:hint="default" w:ascii="Times New Roman" w:hAnsi="Times New Roman" w:cs="Times New Roman"/>
                      <w:color w:val="000000"/>
                      <w:sz w:val="18"/>
                      <w:szCs w:val="18"/>
                      <w:highlight w:val="none"/>
                    </w:rPr>
                  </w:pPr>
                </w:p>
              </w:tc>
              <w:tc>
                <w:tcPr>
                  <w:tcW w:w="556" w:type="pct"/>
                  <w:vMerge w:val="continue"/>
                  <w:noWrap w:val="0"/>
                  <w:vAlign w:val="center"/>
                </w:tcPr>
                <w:p w14:paraId="0F04E7B7">
                  <w:pPr>
                    <w:widowControl/>
                    <w:shd w:val="clear" w:color="auto" w:fill="auto"/>
                    <w:spacing w:line="240" w:lineRule="auto"/>
                    <w:jc w:val="center"/>
                    <w:textAlignment w:val="center"/>
                    <w:rPr>
                      <w:rFonts w:hint="default" w:ascii="Times New Roman" w:hAnsi="Times New Roman" w:cs="Times New Roman"/>
                      <w:color w:val="000000"/>
                      <w:sz w:val="18"/>
                      <w:szCs w:val="18"/>
                      <w:highlight w:val="none"/>
                    </w:rPr>
                  </w:pPr>
                </w:p>
              </w:tc>
              <w:tc>
                <w:tcPr>
                  <w:tcW w:w="608" w:type="pct"/>
                  <w:vMerge w:val="continue"/>
                  <w:noWrap w:val="0"/>
                  <w:vAlign w:val="center"/>
                </w:tcPr>
                <w:p w14:paraId="1CEA4F66">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p>
              </w:tc>
              <w:tc>
                <w:tcPr>
                  <w:tcW w:w="515" w:type="pct"/>
                  <w:noWrap w:val="0"/>
                  <w:vAlign w:val="center"/>
                </w:tcPr>
                <w:p w14:paraId="34AAE56E">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水位（</w:t>
                  </w:r>
                  <w:r>
                    <w:rPr>
                      <w:rFonts w:hint="default" w:ascii="Times New Roman" w:hAnsi="Times New Roman" w:cs="Times New Roman"/>
                      <w:color w:val="000000"/>
                      <w:kern w:val="0"/>
                      <w:sz w:val="18"/>
                      <w:szCs w:val="18"/>
                      <w:highlight w:val="none"/>
                      <w:lang w:eastAsia="zh-CN" w:bidi="ar"/>
                    </w:rPr>
                    <w:t>m</w:t>
                  </w:r>
                  <w:r>
                    <w:rPr>
                      <w:rFonts w:hint="default" w:ascii="Times New Roman" w:hAnsi="Times New Roman" w:cs="Times New Roman"/>
                      <w:color w:val="000000"/>
                      <w:kern w:val="0"/>
                      <w:sz w:val="18"/>
                      <w:szCs w:val="18"/>
                      <w:highlight w:val="none"/>
                      <w:lang w:bidi="ar"/>
                    </w:rPr>
                    <w:t>）</w:t>
                  </w:r>
                </w:p>
              </w:tc>
              <w:tc>
                <w:tcPr>
                  <w:tcW w:w="540" w:type="pct"/>
                  <w:noWrap w:val="0"/>
                  <w:vAlign w:val="center"/>
                </w:tcPr>
                <w:p w14:paraId="546FE165">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水位（</w:t>
                  </w:r>
                  <w:r>
                    <w:rPr>
                      <w:rFonts w:hint="default" w:ascii="Times New Roman" w:hAnsi="Times New Roman" w:cs="Times New Roman"/>
                      <w:color w:val="000000"/>
                      <w:kern w:val="0"/>
                      <w:sz w:val="18"/>
                      <w:szCs w:val="18"/>
                      <w:highlight w:val="none"/>
                      <w:lang w:eastAsia="zh-CN" w:bidi="ar"/>
                    </w:rPr>
                    <w:t>m</w:t>
                  </w:r>
                  <w:r>
                    <w:rPr>
                      <w:rFonts w:hint="default" w:ascii="Times New Roman" w:hAnsi="Times New Roman" w:cs="Times New Roman"/>
                      <w:color w:val="000000"/>
                      <w:kern w:val="0"/>
                      <w:sz w:val="18"/>
                      <w:szCs w:val="18"/>
                      <w:highlight w:val="none"/>
                      <w:lang w:bidi="ar"/>
                    </w:rPr>
                    <w:t>）</w:t>
                  </w:r>
                </w:p>
              </w:tc>
              <w:tc>
                <w:tcPr>
                  <w:tcW w:w="447" w:type="pct"/>
                  <w:noWrap w:val="0"/>
                  <w:vAlign w:val="center"/>
                </w:tcPr>
                <w:p w14:paraId="2759B64E">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宽度</w:t>
                  </w:r>
                </w:p>
              </w:tc>
              <w:tc>
                <w:tcPr>
                  <w:tcW w:w="494" w:type="pct"/>
                  <w:gridSpan w:val="2"/>
                  <w:noWrap w:val="0"/>
                  <w:vAlign w:val="center"/>
                </w:tcPr>
                <w:p w14:paraId="771D299D">
                  <w:pPr>
                    <w:widowControl/>
                    <w:shd w:val="clear" w:color="auto" w:fill="auto"/>
                    <w:spacing w:line="240" w:lineRule="auto"/>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color w:val="000000"/>
                      <w:kern w:val="0"/>
                      <w:sz w:val="18"/>
                      <w:szCs w:val="18"/>
                      <w:highlight w:val="none"/>
                      <w:lang w:bidi="ar"/>
                    </w:rPr>
                    <w:t>边坡</w:t>
                  </w:r>
                </w:p>
              </w:tc>
            </w:tr>
            <w:tr w14:paraId="7CE49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vMerge w:val="continue"/>
                  <w:noWrap w:val="0"/>
                  <w:vAlign w:val="center"/>
                </w:tcPr>
                <w:p w14:paraId="35580E00">
                  <w:pPr>
                    <w:widowControl/>
                    <w:shd w:val="clear" w:color="auto" w:fill="auto"/>
                    <w:snapToGrid/>
                    <w:spacing w:line="240" w:lineRule="auto"/>
                    <w:jc w:val="center"/>
                    <w:rPr>
                      <w:rFonts w:hint="default" w:ascii="Times New Roman" w:hAnsi="Times New Roman" w:cs="Times New Roman"/>
                      <w:color w:val="000000"/>
                      <w:kern w:val="0"/>
                      <w:sz w:val="18"/>
                      <w:szCs w:val="18"/>
                      <w:highlight w:val="none"/>
                    </w:rPr>
                  </w:pPr>
                </w:p>
              </w:tc>
              <w:tc>
                <w:tcPr>
                  <w:tcW w:w="425" w:type="pct"/>
                  <w:vMerge w:val="continue"/>
                  <w:noWrap w:val="0"/>
                  <w:vAlign w:val="center"/>
                </w:tcPr>
                <w:p w14:paraId="3F0CC92C">
                  <w:pPr>
                    <w:widowControl/>
                    <w:shd w:val="clear" w:color="auto" w:fill="auto"/>
                    <w:snapToGrid/>
                    <w:spacing w:line="240" w:lineRule="auto"/>
                    <w:jc w:val="center"/>
                    <w:rPr>
                      <w:rFonts w:hint="default" w:ascii="Times New Roman" w:hAnsi="Times New Roman" w:cs="Times New Roman"/>
                      <w:color w:val="000000"/>
                      <w:kern w:val="0"/>
                      <w:sz w:val="18"/>
                      <w:szCs w:val="18"/>
                      <w:highlight w:val="none"/>
                      <w:lang w:val="en-US" w:eastAsia="zh-CN"/>
                    </w:rPr>
                  </w:pPr>
                </w:p>
              </w:tc>
              <w:tc>
                <w:tcPr>
                  <w:tcW w:w="361" w:type="pct"/>
                  <w:noWrap w:val="0"/>
                  <w:vAlign w:val="center"/>
                </w:tcPr>
                <w:p w14:paraId="29FB01EA">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所在堤防</w:t>
                  </w:r>
                </w:p>
              </w:tc>
              <w:tc>
                <w:tcPr>
                  <w:tcW w:w="423" w:type="pct"/>
                  <w:noWrap w:val="0"/>
                  <w:vAlign w:val="center"/>
                </w:tcPr>
                <w:p w14:paraId="003624E7">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桩号</w:t>
                  </w:r>
                </w:p>
              </w:tc>
              <w:tc>
                <w:tcPr>
                  <w:tcW w:w="379" w:type="pct"/>
                  <w:vMerge w:val="continue"/>
                  <w:noWrap w:val="0"/>
                  <w:vAlign w:val="center"/>
                </w:tcPr>
                <w:p w14:paraId="0848AACE">
                  <w:pPr>
                    <w:widowControl/>
                    <w:shd w:val="clear" w:color="auto" w:fill="auto"/>
                    <w:spacing w:line="240" w:lineRule="auto"/>
                    <w:rPr>
                      <w:rFonts w:hint="default" w:ascii="Times New Roman" w:hAnsi="Times New Roman" w:eastAsia="等线" w:cs="Times New Roman"/>
                      <w:color w:val="000000"/>
                      <w:kern w:val="2"/>
                      <w:sz w:val="18"/>
                      <w:szCs w:val="18"/>
                      <w:highlight w:val="none"/>
                      <w:lang w:val="en-US" w:eastAsia="zh-CN" w:bidi="ar-SA"/>
                    </w:rPr>
                  </w:pPr>
                </w:p>
              </w:tc>
              <w:tc>
                <w:tcPr>
                  <w:tcW w:w="556" w:type="pct"/>
                  <w:noWrap w:val="0"/>
                  <w:vAlign w:val="center"/>
                </w:tcPr>
                <w:p w14:paraId="43212BDD">
                  <w:pPr>
                    <w:widowControl/>
                    <w:shd w:val="clear" w:color="auto" w:fill="auto"/>
                    <w:spacing w:line="240" w:lineRule="auto"/>
                    <w:jc w:val="center"/>
                    <w:textAlignment w:val="center"/>
                    <w:rPr>
                      <w:rFonts w:hint="default" w:ascii="Times New Roman" w:hAnsi="Times New Roman" w:eastAsia="等线" w:cs="Times New Roman"/>
                      <w:color w:val="000000"/>
                      <w:kern w:val="2"/>
                      <w:sz w:val="18"/>
                      <w:szCs w:val="18"/>
                      <w:highlight w:val="none"/>
                      <w:lang w:val="en-US" w:eastAsia="zh-CN" w:bidi="ar-SA"/>
                    </w:rPr>
                  </w:pPr>
                  <w:r>
                    <w:rPr>
                      <w:rFonts w:hint="default" w:ascii="Times New Roman" w:hAnsi="Times New Roman" w:eastAsia="等线" w:cs="Times New Roman"/>
                      <w:color w:val="000000"/>
                      <w:kern w:val="0"/>
                      <w:sz w:val="18"/>
                      <w:szCs w:val="18"/>
                      <w:highlight w:val="none"/>
                      <w:lang w:bidi="ar"/>
                    </w:rPr>
                    <w:t>Q</w:t>
                  </w:r>
                  <w:r>
                    <w:rPr>
                      <w:rFonts w:hint="default" w:ascii="Times New Roman" w:hAnsi="Times New Roman" w:eastAsia="等线" w:cs="Times New Roman"/>
                      <w:color w:val="000000"/>
                      <w:kern w:val="0"/>
                      <w:sz w:val="18"/>
                      <w:szCs w:val="18"/>
                      <w:highlight w:val="none"/>
                      <w:vertAlign w:val="subscript"/>
                      <w:lang w:bidi="ar"/>
                    </w:rPr>
                    <w:t>10%</w:t>
                  </w:r>
                </w:p>
              </w:tc>
              <w:tc>
                <w:tcPr>
                  <w:tcW w:w="608" w:type="pct"/>
                  <w:noWrap w:val="0"/>
                  <w:vAlign w:val="center"/>
                </w:tcPr>
                <w:p w14:paraId="4C114E15">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宽×高×孔</w:t>
                  </w:r>
                </w:p>
              </w:tc>
              <w:tc>
                <w:tcPr>
                  <w:tcW w:w="515" w:type="pct"/>
                  <w:noWrap w:val="0"/>
                  <w:vAlign w:val="center"/>
                </w:tcPr>
                <w:p w14:paraId="3C10C32E">
                  <w:pPr>
                    <w:widowControl/>
                    <w:shd w:val="clear" w:color="auto" w:fill="auto"/>
                    <w:spacing w:line="240" w:lineRule="auto"/>
                    <w:jc w:val="center"/>
                    <w:textAlignment w:val="center"/>
                    <w:rPr>
                      <w:rFonts w:hint="default" w:ascii="Times New Roman" w:hAnsi="Times New Roman" w:eastAsia="等线" w:cs="Times New Roman"/>
                      <w:color w:val="000000"/>
                      <w:kern w:val="2"/>
                      <w:sz w:val="18"/>
                      <w:szCs w:val="18"/>
                      <w:highlight w:val="none"/>
                      <w:lang w:val="en-US" w:eastAsia="zh-CN" w:bidi="ar-SA"/>
                    </w:rPr>
                  </w:pPr>
                  <w:r>
                    <w:rPr>
                      <w:rFonts w:hint="default" w:ascii="Times New Roman" w:hAnsi="Times New Roman" w:eastAsia="等线" w:cs="Times New Roman"/>
                      <w:color w:val="000000"/>
                      <w:kern w:val="0"/>
                      <w:sz w:val="18"/>
                      <w:szCs w:val="18"/>
                      <w:highlight w:val="none"/>
                      <w:lang w:bidi="ar"/>
                    </w:rPr>
                    <w:t>10%</w:t>
                  </w:r>
                </w:p>
              </w:tc>
              <w:tc>
                <w:tcPr>
                  <w:tcW w:w="540" w:type="pct"/>
                  <w:noWrap w:val="0"/>
                  <w:vAlign w:val="center"/>
                </w:tcPr>
                <w:p w14:paraId="379479B7">
                  <w:pPr>
                    <w:widowControl/>
                    <w:shd w:val="clear" w:color="auto" w:fill="auto"/>
                    <w:spacing w:line="240" w:lineRule="auto"/>
                    <w:jc w:val="center"/>
                    <w:textAlignment w:val="center"/>
                    <w:rPr>
                      <w:rFonts w:hint="default" w:ascii="Times New Roman" w:hAnsi="Times New Roman" w:eastAsia="等线" w:cs="Times New Roman"/>
                      <w:color w:val="000000"/>
                      <w:kern w:val="2"/>
                      <w:sz w:val="18"/>
                      <w:szCs w:val="18"/>
                      <w:highlight w:val="none"/>
                      <w:lang w:val="en-US" w:eastAsia="zh-CN" w:bidi="ar-SA"/>
                    </w:rPr>
                  </w:pPr>
                  <w:r>
                    <w:rPr>
                      <w:rFonts w:hint="default" w:ascii="Times New Roman" w:hAnsi="Times New Roman" w:eastAsia="等线" w:cs="Times New Roman"/>
                      <w:color w:val="000000"/>
                      <w:kern w:val="0"/>
                      <w:sz w:val="18"/>
                      <w:szCs w:val="18"/>
                      <w:highlight w:val="none"/>
                      <w:lang w:val="en-US" w:eastAsia="zh-CN" w:bidi="ar"/>
                    </w:rPr>
                    <w:t>1</w:t>
                  </w:r>
                  <w:r>
                    <w:rPr>
                      <w:rFonts w:hint="default" w:ascii="Times New Roman" w:hAnsi="Times New Roman" w:eastAsia="等线" w:cs="Times New Roman"/>
                      <w:color w:val="000000"/>
                      <w:kern w:val="0"/>
                      <w:sz w:val="18"/>
                      <w:szCs w:val="18"/>
                      <w:highlight w:val="none"/>
                      <w:lang w:bidi="ar"/>
                    </w:rPr>
                    <w:t>0%</w:t>
                  </w:r>
                </w:p>
              </w:tc>
              <w:tc>
                <w:tcPr>
                  <w:tcW w:w="447" w:type="pct"/>
                  <w:noWrap w:val="0"/>
                  <w:vAlign w:val="center"/>
                </w:tcPr>
                <w:p w14:paraId="125048C5">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w:t>
                  </w:r>
                  <w:r>
                    <w:rPr>
                      <w:rFonts w:hint="default" w:ascii="Times New Roman" w:hAnsi="Times New Roman" w:cs="Times New Roman"/>
                      <w:color w:val="000000"/>
                      <w:kern w:val="0"/>
                      <w:sz w:val="18"/>
                      <w:szCs w:val="18"/>
                      <w:highlight w:val="none"/>
                      <w:lang w:eastAsia="zh-CN" w:bidi="ar"/>
                    </w:rPr>
                    <w:t>m</w:t>
                  </w:r>
                  <w:r>
                    <w:rPr>
                      <w:rFonts w:hint="default" w:ascii="Times New Roman" w:hAnsi="Times New Roman" w:cs="Times New Roman"/>
                      <w:color w:val="000000"/>
                      <w:kern w:val="0"/>
                      <w:sz w:val="18"/>
                      <w:szCs w:val="18"/>
                      <w:highlight w:val="none"/>
                      <w:lang w:bidi="ar"/>
                    </w:rPr>
                    <w:t>）</w:t>
                  </w:r>
                </w:p>
              </w:tc>
              <w:tc>
                <w:tcPr>
                  <w:tcW w:w="247" w:type="pct"/>
                  <w:noWrap w:val="0"/>
                  <w:vAlign w:val="center"/>
                </w:tcPr>
                <w:p w14:paraId="31F2C9B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迎水坡</w:t>
                  </w:r>
                </w:p>
              </w:tc>
              <w:tc>
                <w:tcPr>
                  <w:tcW w:w="247" w:type="pct"/>
                  <w:noWrap w:val="0"/>
                  <w:vAlign w:val="center"/>
                </w:tcPr>
                <w:p w14:paraId="6A4F073C">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背水坡</w:t>
                  </w:r>
                </w:p>
              </w:tc>
            </w:tr>
            <w:tr w14:paraId="12779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46D115E3">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rPr>
                    <w:t>1</w:t>
                  </w:r>
                </w:p>
              </w:tc>
              <w:tc>
                <w:tcPr>
                  <w:tcW w:w="425" w:type="pct"/>
                  <w:noWrap w:val="0"/>
                  <w:vAlign w:val="center"/>
                </w:tcPr>
                <w:p w14:paraId="63AD0A97">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1</w:t>
                  </w:r>
                  <w:r>
                    <w:rPr>
                      <w:rFonts w:hint="default" w:ascii="Times New Roman" w:hAnsi="Times New Roman" w:cs="Times New Roman"/>
                      <w:color w:val="000000"/>
                      <w:kern w:val="0"/>
                      <w:sz w:val="18"/>
                      <w:szCs w:val="18"/>
                      <w:highlight w:val="none"/>
                    </w:rPr>
                    <w:t>号堤防</w:t>
                  </w:r>
                </w:p>
              </w:tc>
              <w:tc>
                <w:tcPr>
                  <w:tcW w:w="361" w:type="pct"/>
                  <w:noWrap w:val="0"/>
                  <w:vAlign w:val="center"/>
                </w:tcPr>
                <w:p w14:paraId="3B0C2247">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rPr>
                    <w:t>1号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100D59A4">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2+437</w:t>
                  </w:r>
                </w:p>
              </w:tc>
              <w:tc>
                <w:tcPr>
                  <w:tcW w:w="379" w:type="pct"/>
                  <w:noWrap w:val="0"/>
                  <w:vAlign w:val="center"/>
                </w:tcPr>
                <w:p w14:paraId="1BF8478A">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617C288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2.06 </w:t>
                  </w:r>
                </w:p>
              </w:tc>
              <w:tc>
                <w:tcPr>
                  <w:tcW w:w="608" w:type="pct"/>
                  <w:noWrap w:val="0"/>
                  <w:vAlign w:val="center"/>
                </w:tcPr>
                <w:p w14:paraId="69354087">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2.0×1.8×1</w:t>
                  </w:r>
                </w:p>
              </w:tc>
              <w:tc>
                <w:tcPr>
                  <w:tcW w:w="515" w:type="pct"/>
                  <w:noWrap w:val="0"/>
                  <w:vAlign w:val="center"/>
                </w:tcPr>
                <w:p w14:paraId="1F4ABC84">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188.04</w:t>
                  </w:r>
                </w:p>
              </w:tc>
              <w:tc>
                <w:tcPr>
                  <w:tcW w:w="540" w:type="pct"/>
                  <w:noWrap w:val="0"/>
                  <w:vAlign w:val="center"/>
                </w:tcPr>
                <w:p w14:paraId="0B7DB0A7">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188.41</w:t>
                  </w:r>
                </w:p>
              </w:tc>
              <w:tc>
                <w:tcPr>
                  <w:tcW w:w="447" w:type="pct"/>
                  <w:noWrap w:val="0"/>
                  <w:vAlign w:val="center"/>
                </w:tcPr>
                <w:p w14:paraId="2CBE1E7B">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5445BEA5">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5D972571">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2AEA9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4E8229F4">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rPr>
                    <w:t>2</w:t>
                  </w:r>
                </w:p>
              </w:tc>
              <w:tc>
                <w:tcPr>
                  <w:tcW w:w="425" w:type="pct"/>
                  <w:noWrap w:val="0"/>
                  <w:vAlign w:val="center"/>
                </w:tcPr>
                <w:p w14:paraId="78444748">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2</w:t>
                  </w:r>
                  <w:r>
                    <w:rPr>
                      <w:rFonts w:hint="default" w:ascii="Times New Roman" w:hAnsi="Times New Roman" w:cs="Times New Roman"/>
                      <w:color w:val="000000"/>
                      <w:kern w:val="0"/>
                      <w:sz w:val="18"/>
                      <w:szCs w:val="18"/>
                      <w:highlight w:val="none"/>
                    </w:rPr>
                    <w:t>号堤防</w:t>
                  </w:r>
                </w:p>
              </w:tc>
              <w:tc>
                <w:tcPr>
                  <w:tcW w:w="361" w:type="pct"/>
                  <w:noWrap w:val="0"/>
                  <w:vAlign w:val="center"/>
                </w:tcPr>
                <w:p w14:paraId="6F338EDE">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2</w:t>
                  </w:r>
                  <w:r>
                    <w:rPr>
                      <w:rFonts w:hint="default" w:ascii="Times New Roman" w:hAnsi="Times New Roman" w:cs="Times New Roman"/>
                      <w:color w:val="000000"/>
                      <w:kern w:val="0"/>
                      <w:sz w:val="18"/>
                      <w:szCs w:val="18"/>
                      <w:highlight w:val="none"/>
                    </w:rPr>
                    <w:t>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706D836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1+105</w:t>
                  </w:r>
                </w:p>
              </w:tc>
              <w:tc>
                <w:tcPr>
                  <w:tcW w:w="379" w:type="pct"/>
                  <w:noWrap w:val="0"/>
                  <w:vAlign w:val="center"/>
                </w:tcPr>
                <w:p w14:paraId="192A7E75">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067CD156">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1.97 </w:t>
                  </w:r>
                </w:p>
              </w:tc>
              <w:tc>
                <w:tcPr>
                  <w:tcW w:w="608" w:type="pct"/>
                  <w:noWrap w:val="0"/>
                  <w:vAlign w:val="center"/>
                </w:tcPr>
                <w:p w14:paraId="1CF77F0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2.0×1.8×1</w:t>
                  </w:r>
                </w:p>
              </w:tc>
              <w:tc>
                <w:tcPr>
                  <w:tcW w:w="515" w:type="pct"/>
                  <w:noWrap w:val="0"/>
                  <w:vAlign w:val="center"/>
                </w:tcPr>
                <w:p w14:paraId="30D5CEA9">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191.33</w:t>
                  </w:r>
                </w:p>
              </w:tc>
              <w:tc>
                <w:tcPr>
                  <w:tcW w:w="540" w:type="pct"/>
                  <w:noWrap w:val="0"/>
                  <w:vAlign w:val="center"/>
                </w:tcPr>
                <w:p w14:paraId="1F102AE1">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191.64</w:t>
                  </w:r>
                </w:p>
              </w:tc>
              <w:tc>
                <w:tcPr>
                  <w:tcW w:w="447" w:type="pct"/>
                  <w:noWrap w:val="0"/>
                  <w:vAlign w:val="center"/>
                </w:tcPr>
                <w:p w14:paraId="00280D62">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45965523">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1892A091">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256ED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061EC70F">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rPr>
                    <w:t>3</w:t>
                  </w:r>
                </w:p>
              </w:tc>
              <w:tc>
                <w:tcPr>
                  <w:tcW w:w="425" w:type="pct"/>
                  <w:noWrap w:val="0"/>
                  <w:vAlign w:val="center"/>
                </w:tcPr>
                <w:p w14:paraId="5051F88B">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2</w:t>
                  </w:r>
                  <w:r>
                    <w:rPr>
                      <w:rFonts w:hint="default" w:ascii="Times New Roman" w:hAnsi="Times New Roman" w:cs="Times New Roman"/>
                      <w:color w:val="000000"/>
                      <w:kern w:val="0"/>
                      <w:sz w:val="18"/>
                      <w:szCs w:val="18"/>
                      <w:highlight w:val="none"/>
                    </w:rPr>
                    <w:t>号堤防</w:t>
                  </w:r>
                </w:p>
              </w:tc>
              <w:tc>
                <w:tcPr>
                  <w:tcW w:w="361" w:type="pct"/>
                  <w:noWrap w:val="0"/>
                  <w:vAlign w:val="center"/>
                </w:tcPr>
                <w:p w14:paraId="2CDB9664">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3</w:t>
                  </w:r>
                  <w:r>
                    <w:rPr>
                      <w:rFonts w:hint="default" w:ascii="Times New Roman" w:hAnsi="Times New Roman" w:cs="Times New Roman"/>
                      <w:color w:val="000000"/>
                      <w:kern w:val="0"/>
                      <w:sz w:val="18"/>
                      <w:szCs w:val="18"/>
                      <w:highlight w:val="none"/>
                    </w:rPr>
                    <w:t>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2031494C">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1+535</w:t>
                  </w:r>
                </w:p>
              </w:tc>
              <w:tc>
                <w:tcPr>
                  <w:tcW w:w="379" w:type="pct"/>
                  <w:noWrap w:val="0"/>
                  <w:vAlign w:val="center"/>
                </w:tcPr>
                <w:p w14:paraId="1D54E9F3">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1EA9CB50">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2.67 </w:t>
                  </w:r>
                </w:p>
              </w:tc>
              <w:tc>
                <w:tcPr>
                  <w:tcW w:w="608" w:type="pct"/>
                  <w:noWrap w:val="0"/>
                  <w:vAlign w:val="center"/>
                </w:tcPr>
                <w:p w14:paraId="37350727">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2.0×1.8×1</w:t>
                  </w:r>
                </w:p>
              </w:tc>
              <w:tc>
                <w:tcPr>
                  <w:tcW w:w="515" w:type="pct"/>
                  <w:noWrap w:val="0"/>
                  <w:vAlign w:val="center"/>
                </w:tcPr>
                <w:p w14:paraId="5CA68440">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190.78</w:t>
                  </w:r>
                </w:p>
              </w:tc>
              <w:tc>
                <w:tcPr>
                  <w:tcW w:w="540" w:type="pct"/>
                  <w:noWrap w:val="0"/>
                  <w:vAlign w:val="center"/>
                </w:tcPr>
                <w:p w14:paraId="7E077187">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191.13</w:t>
                  </w:r>
                </w:p>
              </w:tc>
              <w:tc>
                <w:tcPr>
                  <w:tcW w:w="447" w:type="pct"/>
                  <w:noWrap w:val="0"/>
                  <w:vAlign w:val="center"/>
                </w:tcPr>
                <w:p w14:paraId="2F88B655">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5FC4D278">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4BD33CB1">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5E253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3CC79E47">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4</w:t>
                  </w:r>
                </w:p>
              </w:tc>
              <w:tc>
                <w:tcPr>
                  <w:tcW w:w="425" w:type="pct"/>
                  <w:noWrap w:val="0"/>
                  <w:vAlign w:val="center"/>
                </w:tcPr>
                <w:p w14:paraId="4AB2D554">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3</w:t>
                  </w:r>
                  <w:r>
                    <w:rPr>
                      <w:rFonts w:hint="default" w:ascii="Times New Roman" w:hAnsi="Times New Roman" w:cs="Times New Roman"/>
                      <w:color w:val="000000"/>
                      <w:kern w:val="0"/>
                      <w:sz w:val="18"/>
                      <w:szCs w:val="18"/>
                      <w:highlight w:val="none"/>
                    </w:rPr>
                    <w:t>号堤防</w:t>
                  </w:r>
                </w:p>
              </w:tc>
              <w:tc>
                <w:tcPr>
                  <w:tcW w:w="361" w:type="pct"/>
                  <w:noWrap w:val="0"/>
                  <w:vAlign w:val="center"/>
                </w:tcPr>
                <w:p w14:paraId="2080FE55">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5</w:t>
                  </w:r>
                  <w:r>
                    <w:rPr>
                      <w:rFonts w:hint="default" w:ascii="Times New Roman" w:hAnsi="Times New Roman" w:cs="Times New Roman"/>
                      <w:color w:val="000000"/>
                      <w:kern w:val="0"/>
                      <w:sz w:val="18"/>
                      <w:szCs w:val="18"/>
                      <w:highlight w:val="none"/>
                    </w:rPr>
                    <w:t>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2109572E">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2+065</w:t>
                  </w:r>
                </w:p>
              </w:tc>
              <w:tc>
                <w:tcPr>
                  <w:tcW w:w="379" w:type="pct"/>
                  <w:noWrap w:val="0"/>
                  <w:vAlign w:val="center"/>
                </w:tcPr>
                <w:p w14:paraId="31DA04A6">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51CE9BB8">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3.54 </w:t>
                  </w:r>
                </w:p>
              </w:tc>
              <w:tc>
                <w:tcPr>
                  <w:tcW w:w="608" w:type="pct"/>
                  <w:noWrap w:val="0"/>
                  <w:vAlign w:val="center"/>
                </w:tcPr>
                <w:p w14:paraId="4807C285">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2.5×1.8×1</w:t>
                  </w:r>
                </w:p>
              </w:tc>
              <w:tc>
                <w:tcPr>
                  <w:tcW w:w="515" w:type="pct"/>
                  <w:noWrap w:val="0"/>
                  <w:vAlign w:val="center"/>
                </w:tcPr>
                <w:p w14:paraId="2D7685E9">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193.28</w:t>
                  </w:r>
                </w:p>
              </w:tc>
              <w:tc>
                <w:tcPr>
                  <w:tcW w:w="540" w:type="pct"/>
                  <w:noWrap w:val="0"/>
                  <w:vAlign w:val="center"/>
                </w:tcPr>
                <w:p w14:paraId="672F3793">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193.57</w:t>
                  </w:r>
                </w:p>
              </w:tc>
              <w:tc>
                <w:tcPr>
                  <w:tcW w:w="447" w:type="pct"/>
                  <w:noWrap w:val="0"/>
                  <w:vAlign w:val="center"/>
                </w:tcPr>
                <w:p w14:paraId="5EB67F7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5DC73E5B">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2E4DD905">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5010D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4F424B9E">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5</w:t>
                  </w:r>
                </w:p>
              </w:tc>
              <w:tc>
                <w:tcPr>
                  <w:tcW w:w="425" w:type="pct"/>
                  <w:noWrap w:val="0"/>
                  <w:vAlign w:val="center"/>
                </w:tcPr>
                <w:p w14:paraId="06E9E5FA">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rPr>
                    <w:t>3号堤防</w:t>
                  </w:r>
                </w:p>
              </w:tc>
              <w:tc>
                <w:tcPr>
                  <w:tcW w:w="361" w:type="pct"/>
                  <w:noWrap w:val="0"/>
                  <w:vAlign w:val="center"/>
                </w:tcPr>
                <w:p w14:paraId="408AD399">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6</w:t>
                  </w:r>
                  <w:r>
                    <w:rPr>
                      <w:rFonts w:hint="default" w:ascii="Times New Roman" w:hAnsi="Times New Roman" w:cs="Times New Roman"/>
                      <w:color w:val="000000"/>
                      <w:kern w:val="0"/>
                      <w:sz w:val="18"/>
                      <w:szCs w:val="18"/>
                      <w:highlight w:val="none"/>
                    </w:rPr>
                    <w:t>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2BAD6E5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3+560</w:t>
                  </w:r>
                </w:p>
              </w:tc>
              <w:tc>
                <w:tcPr>
                  <w:tcW w:w="379" w:type="pct"/>
                  <w:noWrap w:val="0"/>
                  <w:vAlign w:val="center"/>
                </w:tcPr>
                <w:p w14:paraId="5B9BEFAE">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17D458B6">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1.66 </w:t>
                  </w:r>
                </w:p>
              </w:tc>
              <w:tc>
                <w:tcPr>
                  <w:tcW w:w="608" w:type="pct"/>
                  <w:noWrap w:val="0"/>
                  <w:vAlign w:val="center"/>
                </w:tcPr>
                <w:p w14:paraId="70D1E01A">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2.0×1.8×1</w:t>
                  </w:r>
                </w:p>
              </w:tc>
              <w:tc>
                <w:tcPr>
                  <w:tcW w:w="515" w:type="pct"/>
                  <w:noWrap w:val="0"/>
                  <w:vAlign w:val="center"/>
                </w:tcPr>
                <w:p w14:paraId="1AA7088B">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191.79</w:t>
                  </w:r>
                </w:p>
              </w:tc>
              <w:tc>
                <w:tcPr>
                  <w:tcW w:w="540" w:type="pct"/>
                  <w:noWrap w:val="0"/>
                  <w:vAlign w:val="center"/>
                </w:tcPr>
                <w:p w14:paraId="07766269">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192.08</w:t>
                  </w:r>
                </w:p>
              </w:tc>
              <w:tc>
                <w:tcPr>
                  <w:tcW w:w="447" w:type="pct"/>
                  <w:noWrap w:val="0"/>
                  <w:vAlign w:val="center"/>
                </w:tcPr>
                <w:p w14:paraId="3EDC802A">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0342B80D">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5DFEDBDD">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42F6B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0F2D5A85">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6</w:t>
                  </w:r>
                </w:p>
              </w:tc>
              <w:tc>
                <w:tcPr>
                  <w:tcW w:w="425" w:type="pct"/>
                  <w:noWrap w:val="0"/>
                  <w:vAlign w:val="center"/>
                </w:tcPr>
                <w:p w14:paraId="1DA100C9">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rPr>
                    <w:t>3号堤防</w:t>
                  </w:r>
                </w:p>
              </w:tc>
              <w:tc>
                <w:tcPr>
                  <w:tcW w:w="361" w:type="pct"/>
                  <w:noWrap w:val="0"/>
                  <w:vAlign w:val="center"/>
                </w:tcPr>
                <w:p w14:paraId="14DFBC62">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7</w:t>
                  </w:r>
                  <w:r>
                    <w:rPr>
                      <w:rFonts w:hint="default" w:ascii="Times New Roman" w:hAnsi="Times New Roman" w:cs="Times New Roman"/>
                      <w:color w:val="000000"/>
                      <w:kern w:val="0"/>
                      <w:sz w:val="18"/>
                      <w:szCs w:val="18"/>
                      <w:highlight w:val="none"/>
                    </w:rPr>
                    <w:t>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31CEC076">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4+205</w:t>
                  </w:r>
                </w:p>
              </w:tc>
              <w:tc>
                <w:tcPr>
                  <w:tcW w:w="379" w:type="pct"/>
                  <w:noWrap w:val="0"/>
                  <w:vAlign w:val="center"/>
                </w:tcPr>
                <w:p w14:paraId="39D9A8CA">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5C196C9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2.00 </w:t>
                  </w:r>
                </w:p>
              </w:tc>
              <w:tc>
                <w:tcPr>
                  <w:tcW w:w="608" w:type="pct"/>
                  <w:noWrap w:val="0"/>
                  <w:vAlign w:val="center"/>
                </w:tcPr>
                <w:p w14:paraId="512BA06D">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2.5×2.0×1</w:t>
                  </w:r>
                </w:p>
              </w:tc>
              <w:tc>
                <w:tcPr>
                  <w:tcW w:w="515" w:type="pct"/>
                  <w:noWrap w:val="0"/>
                  <w:vAlign w:val="center"/>
                </w:tcPr>
                <w:p w14:paraId="43118498">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192.04</w:t>
                  </w:r>
                </w:p>
              </w:tc>
              <w:tc>
                <w:tcPr>
                  <w:tcW w:w="540" w:type="pct"/>
                  <w:noWrap w:val="0"/>
                  <w:vAlign w:val="center"/>
                </w:tcPr>
                <w:p w14:paraId="42E16BD1">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192.08</w:t>
                  </w:r>
                </w:p>
              </w:tc>
              <w:tc>
                <w:tcPr>
                  <w:tcW w:w="447" w:type="pct"/>
                  <w:noWrap w:val="0"/>
                  <w:vAlign w:val="center"/>
                </w:tcPr>
                <w:p w14:paraId="4DB41CB6">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1A10D5B6">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1BD732A0">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3DC7B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756DF841">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7</w:t>
                  </w:r>
                </w:p>
              </w:tc>
              <w:tc>
                <w:tcPr>
                  <w:tcW w:w="425" w:type="pct"/>
                  <w:noWrap w:val="0"/>
                  <w:vAlign w:val="center"/>
                </w:tcPr>
                <w:p w14:paraId="19E1E5DB">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4</w:t>
                  </w:r>
                  <w:r>
                    <w:rPr>
                      <w:rFonts w:hint="default" w:ascii="Times New Roman" w:hAnsi="Times New Roman" w:cs="Times New Roman"/>
                      <w:color w:val="000000"/>
                      <w:kern w:val="0"/>
                      <w:sz w:val="18"/>
                      <w:szCs w:val="18"/>
                      <w:highlight w:val="none"/>
                    </w:rPr>
                    <w:t>号堤防</w:t>
                  </w:r>
                </w:p>
              </w:tc>
              <w:tc>
                <w:tcPr>
                  <w:tcW w:w="361" w:type="pct"/>
                  <w:noWrap w:val="0"/>
                  <w:vAlign w:val="center"/>
                </w:tcPr>
                <w:p w14:paraId="24D26566">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8</w:t>
                  </w:r>
                  <w:r>
                    <w:rPr>
                      <w:rFonts w:hint="default" w:ascii="Times New Roman" w:hAnsi="Times New Roman" w:cs="Times New Roman"/>
                      <w:color w:val="000000"/>
                      <w:kern w:val="0"/>
                      <w:sz w:val="18"/>
                      <w:szCs w:val="18"/>
                      <w:highlight w:val="none"/>
                    </w:rPr>
                    <w:t>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40B3C3AE">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4+137</w:t>
                  </w:r>
                </w:p>
              </w:tc>
              <w:tc>
                <w:tcPr>
                  <w:tcW w:w="379" w:type="pct"/>
                  <w:noWrap w:val="0"/>
                  <w:vAlign w:val="center"/>
                </w:tcPr>
                <w:p w14:paraId="5C36471D">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0F033B1E">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3.02 </w:t>
                  </w:r>
                </w:p>
              </w:tc>
              <w:tc>
                <w:tcPr>
                  <w:tcW w:w="608" w:type="pct"/>
                  <w:noWrap w:val="0"/>
                  <w:vAlign w:val="center"/>
                </w:tcPr>
                <w:p w14:paraId="352DB8A2">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2.0×1.8×1</w:t>
                  </w:r>
                </w:p>
              </w:tc>
              <w:tc>
                <w:tcPr>
                  <w:tcW w:w="515" w:type="pct"/>
                  <w:noWrap w:val="0"/>
                  <w:vAlign w:val="center"/>
                </w:tcPr>
                <w:p w14:paraId="30B78009">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196.22</w:t>
                  </w:r>
                </w:p>
              </w:tc>
              <w:tc>
                <w:tcPr>
                  <w:tcW w:w="540" w:type="pct"/>
                  <w:noWrap w:val="0"/>
                  <w:vAlign w:val="center"/>
                </w:tcPr>
                <w:p w14:paraId="2F17239B">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196.57</w:t>
                  </w:r>
                </w:p>
              </w:tc>
              <w:tc>
                <w:tcPr>
                  <w:tcW w:w="447" w:type="pct"/>
                  <w:noWrap w:val="0"/>
                  <w:vAlign w:val="center"/>
                </w:tcPr>
                <w:p w14:paraId="7B23CC6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61A9E542">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255392FB">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263B9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6BCECEFB">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8</w:t>
                  </w:r>
                </w:p>
              </w:tc>
              <w:tc>
                <w:tcPr>
                  <w:tcW w:w="425" w:type="pct"/>
                  <w:noWrap w:val="0"/>
                  <w:vAlign w:val="center"/>
                </w:tcPr>
                <w:p w14:paraId="61CF365D">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4</w:t>
                  </w:r>
                  <w:r>
                    <w:rPr>
                      <w:rFonts w:hint="default" w:ascii="Times New Roman" w:hAnsi="Times New Roman" w:cs="Times New Roman"/>
                      <w:color w:val="000000"/>
                      <w:kern w:val="0"/>
                      <w:sz w:val="18"/>
                      <w:szCs w:val="18"/>
                      <w:highlight w:val="none"/>
                    </w:rPr>
                    <w:t>号堤防</w:t>
                  </w:r>
                </w:p>
              </w:tc>
              <w:tc>
                <w:tcPr>
                  <w:tcW w:w="361" w:type="pct"/>
                  <w:noWrap w:val="0"/>
                  <w:vAlign w:val="center"/>
                </w:tcPr>
                <w:p w14:paraId="5F7AFF0F">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9</w:t>
                  </w:r>
                  <w:r>
                    <w:rPr>
                      <w:rFonts w:hint="default" w:ascii="Times New Roman" w:hAnsi="Times New Roman" w:cs="Times New Roman"/>
                      <w:color w:val="000000"/>
                      <w:kern w:val="0"/>
                      <w:sz w:val="18"/>
                      <w:szCs w:val="18"/>
                      <w:highlight w:val="none"/>
                    </w:rPr>
                    <w:t>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65955831">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5+537</w:t>
                  </w:r>
                </w:p>
              </w:tc>
              <w:tc>
                <w:tcPr>
                  <w:tcW w:w="379" w:type="pct"/>
                  <w:noWrap w:val="0"/>
                  <w:vAlign w:val="center"/>
                </w:tcPr>
                <w:p w14:paraId="66578E36">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4622012E">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13.03 </w:t>
                  </w:r>
                </w:p>
              </w:tc>
              <w:tc>
                <w:tcPr>
                  <w:tcW w:w="608" w:type="pct"/>
                  <w:noWrap w:val="0"/>
                  <w:vAlign w:val="center"/>
                </w:tcPr>
                <w:p w14:paraId="097988B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2.0×1.8×3</w:t>
                  </w:r>
                </w:p>
              </w:tc>
              <w:tc>
                <w:tcPr>
                  <w:tcW w:w="515" w:type="pct"/>
                  <w:noWrap w:val="0"/>
                  <w:vAlign w:val="center"/>
                </w:tcPr>
                <w:p w14:paraId="562CED85">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195.36</w:t>
                  </w:r>
                </w:p>
              </w:tc>
              <w:tc>
                <w:tcPr>
                  <w:tcW w:w="540" w:type="pct"/>
                  <w:noWrap w:val="0"/>
                  <w:vAlign w:val="center"/>
                </w:tcPr>
                <w:p w14:paraId="7E61C9E6">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195.72</w:t>
                  </w:r>
                </w:p>
              </w:tc>
              <w:tc>
                <w:tcPr>
                  <w:tcW w:w="447" w:type="pct"/>
                  <w:noWrap w:val="0"/>
                  <w:vAlign w:val="center"/>
                </w:tcPr>
                <w:p w14:paraId="05FF4E3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1E3E527E">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511EF857">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51005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7CF36B65">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9</w:t>
                  </w:r>
                </w:p>
              </w:tc>
              <w:tc>
                <w:tcPr>
                  <w:tcW w:w="425" w:type="pct"/>
                  <w:noWrap w:val="0"/>
                  <w:vAlign w:val="center"/>
                </w:tcPr>
                <w:p w14:paraId="5D9BA961">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4</w:t>
                  </w:r>
                  <w:r>
                    <w:rPr>
                      <w:rFonts w:hint="default" w:ascii="Times New Roman" w:hAnsi="Times New Roman" w:cs="Times New Roman"/>
                      <w:color w:val="000000"/>
                      <w:kern w:val="0"/>
                      <w:sz w:val="18"/>
                      <w:szCs w:val="18"/>
                      <w:highlight w:val="none"/>
                    </w:rPr>
                    <w:t>号堤防</w:t>
                  </w:r>
                </w:p>
              </w:tc>
              <w:tc>
                <w:tcPr>
                  <w:tcW w:w="361" w:type="pct"/>
                  <w:noWrap w:val="0"/>
                  <w:vAlign w:val="center"/>
                </w:tcPr>
                <w:p w14:paraId="6CA9C3C3">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10</w:t>
                  </w:r>
                  <w:r>
                    <w:rPr>
                      <w:rFonts w:hint="default" w:ascii="Times New Roman" w:hAnsi="Times New Roman" w:cs="Times New Roman"/>
                      <w:color w:val="000000"/>
                      <w:kern w:val="0"/>
                      <w:sz w:val="18"/>
                      <w:szCs w:val="18"/>
                      <w:highlight w:val="none"/>
                    </w:rPr>
                    <w:t>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1B11E3CA">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6+815</w:t>
                  </w:r>
                </w:p>
              </w:tc>
              <w:tc>
                <w:tcPr>
                  <w:tcW w:w="379" w:type="pct"/>
                  <w:noWrap w:val="0"/>
                  <w:vAlign w:val="center"/>
                </w:tcPr>
                <w:p w14:paraId="2A4AF3EC">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6BE843EB">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1.96 </w:t>
                  </w:r>
                </w:p>
              </w:tc>
              <w:tc>
                <w:tcPr>
                  <w:tcW w:w="608" w:type="pct"/>
                  <w:noWrap w:val="0"/>
                  <w:vAlign w:val="center"/>
                </w:tcPr>
                <w:p w14:paraId="782EB4A4">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2.0×1.8×1</w:t>
                  </w:r>
                </w:p>
              </w:tc>
              <w:tc>
                <w:tcPr>
                  <w:tcW w:w="515" w:type="pct"/>
                  <w:noWrap w:val="0"/>
                  <w:vAlign w:val="center"/>
                </w:tcPr>
                <w:p w14:paraId="741DD35D">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193.87</w:t>
                  </w:r>
                </w:p>
              </w:tc>
              <w:tc>
                <w:tcPr>
                  <w:tcW w:w="540" w:type="pct"/>
                  <w:noWrap w:val="0"/>
                  <w:vAlign w:val="center"/>
                </w:tcPr>
                <w:p w14:paraId="092F99C8">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194.2</w:t>
                  </w:r>
                </w:p>
              </w:tc>
              <w:tc>
                <w:tcPr>
                  <w:tcW w:w="447" w:type="pct"/>
                  <w:noWrap w:val="0"/>
                  <w:vAlign w:val="center"/>
                </w:tcPr>
                <w:p w14:paraId="2AA7EB7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0BC8E9E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6F45B5FE">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6DE6F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213904FD">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10</w:t>
                  </w:r>
                </w:p>
              </w:tc>
              <w:tc>
                <w:tcPr>
                  <w:tcW w:w="425" w:type="pct"/>
                  <w:noWrap w:val="0"/>
                  <w:vAlign w:val="center"/>
                </w:tcPr>
                <w:p w14:paraId="4FBEFB25">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5</w:t>
                  </w:r>
                  <w:r>
                    <w:rPr>
                      <w:rFonts w:hint="default" w:ascii="Times New Roman" w:hAnsi="Times New Roman" w:cs="Times New Roman"/>
                      <w:color w:val="000000"/>
                      <w:kern w:val="0"/>
                      <w:sz w:val="18"/>
                      <w:szCs w:val="18"/>
                      <w:highlight w:val="none"/>
                    </w:rPr>
                    <w:t>号堤防</w:t>
                  </w:r>
                </w:p>
              </w:tc>
              <w:tc>
                <w:tcPr>
                  <w:tcW w:w="361" w:type="pct"/>
                  <w:noWrap w:val="0"/>
                  <w:vAlign w:val="center"/>
                </w:tcPr>
                <w:p w14:paraId="3AD4344D">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rPr>
                    <w:t>1</w:t>
                  </w:r>
                  <w:r>
                    <w:rPr>
                      <w:rFonts w:hint="default" w:ascii="Times New Roman" w:hAnsi="Times New Roman" w:cs="Times New Roman"/>
                      <w:color w:val="000000"/>
                      <w:kern w:val="0"/>
                      <w:sz w:val="18"/>
                      <w:szCs w:val="18"/>
                      <w:highlight w:val="none"/>
                      <w:lang w:val="en-US" w:eastAsia="zh-CN"/>
                    </w:rPr>
                    <w:t>1</w:t>
                  </w:r>
                  <w:r>
                    <w:rPr>
                      <w:rFonts w:hint="default" w:ascii="Times New Roman" w:hAnsi="Times New Roman" w:cs="Times New Roman"/>
                      <w:color w:val="000000"/>
                      <w:kern w:val="0"/>
                      <w:sz w:val="18"/>
                      <w:szCs w:val="18"/>
                      <w:highlight w:val="none"/>
                    </w:rPr>
                    <w:t>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02E7682D">
                  <w:pPr>
                    <w:widowControl/>
                    <w:shd w:val="clear" w:color="auto" w:fill="auto"/>
                    <w:spacing w:line="240" w:lineRule="auto"/>
                    <w:jc w:val="center"/>
                    <w:textAlignment w:val="center"/>
                    <w:rPr>
                      <w:rFonts w:hint="default" w:ascii="Times New Roman" w:hAnsi="Times New Roman" w:eastAsia="宋体"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lang w:val="en-US" w:eastAsia="zh-CN"/>
                    </w:rPr>
                    <w:t>1+690</w:t>
                  </w:r>
                </w:p>
              </w:tc>
              <w:tc>
                <w:tcPr>
                  <w:tcW w:w="379" w:type="pct"/>
                  <w:noWrap w:val="0"/>
                  <w:vAlign w:val="center"/>
                </w:tcPr>
                <w:p w14:paraId="5EB05924">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6BD6D79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1.01 </w:t>
                  </w:r>
                </w:p>
              </w:tc>
              <w:tc>
                <w:tcPr>
                  <w:tcW w:w="608" w:type="pct"/>
                  <w:noWrap w:val="0"/>
                  <w:vAlign w:val="center"/>
                </w:tcPr>
                <w:p w14:paraId="4E2A2090">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1.5×1.8×1</w:t>
                  </w:r>
                </w:p>
              </w:tc>
              <w:tc>
                <w:tcPr>
                  <w:tcW w:w="515" w:type="pct"/>
                  <w:noWrap w:val="0"/>
                  <w:vAlign w:val="center"/>
                </w:tcPr>
                <w:p w14:paraId="07D41CD4">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199.5</w:t>
                  </w:r>
                </w:p>
              </w:tc>
              <w:tc>
                <w:tcPr>
                  <w:tcW w:w="540" w:type="pct"/>
                  <w:noWrap w:val="0"/>
                  <w:vAlign w:val="center"/>
                </w:tcPr>
                <w:p w14:paraId="070BB9B6">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199.87</w:t>
                  </w:r>
                </w:p>
              </w:tc>
              <w:tc>
                <w:tcPr>
                  <w:tcW w:w="447" w:type="pct"/>
                  <w:noWrap w:val="0"/>
                  <w:vAlign w:val="center"/>
                </w:tcPr>
                <w:p w14:paraId="39A0DE95">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54CDD5D8">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3CA9923D">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r w14:paraId="56F1E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noWrap w:val="0"/>
                  <w:vAlign w:val="center"/>
                </w:tcPr>
                <w:p w14:paraId="6AF134F9">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11</w:t>
                  </w:r>
                </w:p>
              </w:tc>
              <w:tc>
                <w:tcPr>
                  <w:tcW w:w="425" w:type="pct"/>
                  <w:noWrap w:val="0"/>
                  <w:vAlign w:val="center"/>
                </w:tcPr>
                <w:p w14:paraId="29D64777">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5</w:t>
                  </w:r>
                  <w:r>
                    <w:rPr>
                      <w:rFonts w:hint="default" w:ascii="Times New Roman" w:hAnsi="Times New Roman" w:cs="Times New Roman"/>
                      <w:color w:val="000000"/>
                      <w:kern w:val="0"/>
                      <w:sz w:val="18"/>
                      <w:szCs w:val="18"/>
                      <w:highlight w:val="none"/>
                    </w:rPr>
                    <w:t>号堤防</w:t>
                  </w:r>
                </w:p>
              </w:tc>
              <w:tc>
                <w:tcPr>
                  <w:tcW w:w="361" w:type="pct"/>
                  <w:noWrap w:val="0"/>
                  <w:vAlign w:val="center"/>
                </w:tcPr>
                <w:p w14:paraId="0C0A9B92">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1</w:t>
                  </w:r>
                  <w:r>
                    <w:rPr>
                      <w:rFonts w:hint="default" w:ascii="Times New Roman" w:hAnsi="Times New Roman" w:cs="Times New Roman"/>
                      <w:color w:val="000000"/>
                      <w:kern w:val="0"/>
                      <w:sz w:val="18"/>
                      <w:szCs w:val="18"/>
                      <w:highlight w:val="none"/>
                    </w:rPr>
                    <w:t>2号</w:t>
                  </w:r>
                  <w:r>
                    <w:rPr>
                      <w:rFonts w:hint="default" w:ascii="Times New Roman" w:hAnsi="Times New Roman" w:cs="Times New Roman"/>
                      <w:color w:val="000000"/>
                      <w:kern w:val="0"/>
                      <w:sz w:val="18"/>
                      <w:szCs w:val="18"/>
                      <w:highlight w:val="none"/>
                      <w:lang w:eastAsia="zh-CN"/>
                    </w:rPr>
                    <w:t>排水闸</w:t>
                  </w:r>
                </w:p>
              </w:tc>
              <w:tc>
                <w:tcPr>
                  <w:tcW w:w="423" w:type="pct"/>
                  <w:noWrap w:val="0"/>
                  <w:vAlign w:val="center"/>
                </w:tcPr>
                <w:p w14:paraId="7627967A">
                  <w:pPr>
                    <w:widowControl/>
                    <w:shd w:val="clear" w:color="auto" w:fill="auto"/>
                    <w:spacing w:line="240" w:lineRule="auto"/>
                    <w:jc w:val="center"/>
                    <w:textAlignment w:val="center"/>
                    <w:rPr>
                      <w:rFonts w:hint="default" w:ascii="Times New Roman" w:hAnsi="Times New Roman" w:eastAsia="宋体"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lang w:val="en-US" w:eastAsia="zh-CN"/>
                    </w:rPr>
                    <w:t>3+295</w:t>
                  </w:r>
                </w:p>
              </w:tc>
              <w:tc>
                <w:tcPr>
                  <w:tcW w:w="379" w:type="pct"/>
                  <w:noWrap w:val="0"/>
                  <w:vAlign w:val="center"/>
                </w:tcPr>
                <w:p w14:paraId="291C5B6C">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新建</w:t>
                  </w:r>
                </w:p>
              </w:tc>
              <w:tc>
                <w:tcPr>
                  <w:tcW w:w="556" w:type="pct"/>
                  <w:noWrap w:val="0"/>
                  <w:vAlign w:val="center"/>
                </w:tcPr>
                <w:p w14:paraId="1999D0D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 xml:space="preserve">1.13 </w:t>
                  </w:r>
                </w:p>
              </w:tc>
              <w:tc>
                <w:tcPr>
                  <w:tcW w:w="608" w:type="pct"/>
                  <w:noWrap w:val="0"/>
                  <w:vAlign w:val="center"/>
                </w:tcPr>
                <w:p w14:paraId="260712DC">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1.5×1.8×1</w:t>
                  </w:r>
                </w:p>
              </w:tc>
              <w:tc>
                <w:tcPr>
                  <w:tcW w:w="515" w:type="pct"/>
                  <w:noWrap w:val="0"/>
                  <w:vAlign w:val="center"/>
                </w:tcPr>
                <w:p w14:paraId="0F9FF5E4">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198.01</w:t>
                  </w:r>
                </w:p>
              </w:tc>
              <w:tc>
                <w:tcPr>
                  <w:tcW w:w="540" w:type="pct"/>
                  <w:noWrap w:val="0"/>
                  <w:vAlign w:val="center"/>
                </w:tcPr>
                <w:p w14:paraId="5E364BC5">
                  <w:pPr>
                    <w:pStyle w:val="114"/>
                    <w:shd w:val="clear" w:color="auto" w:fill="auto"/>
                    <w:ind w:right="113" w:rightChars="0" w:firstLine="0" w:firstLineChars="0"/>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198.39</w:t>
                  </w:r>
                </w:p>
              </w:tc>
              <w:tc>
                <w:tcPr>
                  <w:tcW w:w="447" w:type="pct"/>
                  <w:noWrap w:val="0"/>
                  <w:vAlign w:val="center"/>
                </w:tcPr>
                <w:p w14:paraId="7C0C507C">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4</w:t>
                  </w:r>
                </w:p>
              </w:tc>
              <w:tc>
                <w:tcPr>
                  <w:tcW w:w="247" w:type="pct"/>
                  <w:noWrap w:val="0"/>
                  <w:vAlign w:val="center"/>
                </w:tcPr>
                <w:p w14:paraId="39BD5CDA">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c>
                <w:tcPr>
                  <w:tcW w:w="247" w:type="pct"/>
                  <w:noWrap w:val="0"/>
                  <w:vAlign w:val="center"/>
                </w:tcPr>
                <w:p w14:paraId="6EEBB0BB">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2</w:t>
                  </w:r>
                </w:p>
              </w:tc>
            </w:tr>
          </w:tbl>
          <w:p w14:paraId="50799C51">
            <w:pPr>
              <w:pStyle w:val="116"/>
              <w:keepNext w:val="0"/>
              <w:keepLines w:val="0"/>
              <w:pageBreakBefore w:val="0"/>
              <w:shd w:val="clear" w:color="auto" w:fill="auto"/>
              <w:kinsoku/>
              <w:wordWrap/>
              <w:overflowPunct/>
              <w:topLinePunct w:val="0"/>
              <w:autoSpaceDE/>
              <w:autoSpaceDN/>
              <w:bidi w:val="0"/>
              <w:snapToGrid w:val="0"/>
              <w:spacing w:before="0" w:after="0" w:line="360" w:lineRule="auto"/>
              <w:ind w:right="0"/>
              <w:textAlignment w:val="auto"/>
              <w:rPr>
                <w:rFonts w:hint="default" w:ascii="Times New Roman" w:hAnsi="Times New Roman" w:cs="Times New Roman"/>
                <w:sz w:val="24"/>
                <w:szCs w:val="24"/>
                <w:highlight w:val="none"/>
              </w:rPr>
            </w:pPr>
          </w:p>
          <w:p w14:paraId="21521613">
            <w:pPr>
              <w:pStyle w:val="84"/>
              <w:bidi w:val="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表2—5  排水闸站工程表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6"/>
              <w:gridCol w:w="386"/>
              <w:gridCol w:w="386"/>
              <w:gridCol w:w="5"/>
              <w:gridCol w:w="680"/>
              <w:gridCol w:w="386"/>
              <w:gridCol w:w="529"/>
              <w:gridCol w:w="530"/>
              <w:gridCol w:w="725"/>
              <w:gridCol w:w="625"/>
              <w:gridCol w:w="1139"/>
              <w:gridCol w:w="721"/>
              <w:gridCol w:w="720"/>
              <w:gridCol w:w="1139"/>
              <w:gridCol w:w="565"/>
            </w:tblGrid>
            <w:tr w14:paraId="39029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216" w:type="pct"/>
                  <w:vMerge w:val="restart"/>
                  <w:noWrap w:val="0"/>
                  <w:vAlign w:val="center"/>
                </w:tcPr>
                <w:p w14:paraId="5561885A">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bidi="ar"/>
                    </w:rPr>
                    <w:t>序号</w:t>
                  </w:r>
                </w:p>
              </w:tc>
              <w:tc>
                <w:tcPr>
                  <w:tcW w:w="216" w:type="pct"/>
                  <w:vMerge w:val="restart"/>
                  <w:noWrap w:val="0"/>
                  <w:vAlign w:val="center"/>
                </w:tcPr>
                <w:p w14:paraId="20DE0319">
                  <w:pPr>
                    <w:widowControl/>
                    <w:shd w:val="clear" w:color="auto" w:fill="auto"/>
                    <w:spacing w:line="240" w:lineRule="auto"/>
                    <w:jc w:val="center"/>
                    <w:textAlignment w:val="center"/>
                    <w:rPr>
                      <w:rFonts w:hint="default" w:ascii="Times New Roman" w:hAnsi="Times New Roman" w:eastAsia="宋体"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bidi="ar"/>
                    </w:rPr>
                    <w:t>所在堤防</w:t>
                  </w:r>
                </w:p>
              </w:tc>
              <w:tc>
                <w:tcPr>
                  <w:tcW w:w="219" w:type="pct"/>
                  <w:gridSpan w:val="2"/>
                  <w:vMerge w:val="restart"/>
                  <w:noWrap w:val="0"/>
                  <w:vAlign w:val="center"/>
                </w:tcPr>
                <w:p w14:paraId="715B6DD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穿堤建筑物名称</w:t>
                  </w:r>
                </w:p>
              </w:tc>
              <w:tc>
                <w:tcPr>
                  <w:tcW w:w="381" w:type="pct"/>
                  <w:vMerge w:val="restart"/>
                  <w:noWrap w:val="0"/>
                  <w:vAlign w:val="center"/>
                </w:tcPr>
                <w:p w14:paraId="578AF448">
                  <w:pPr>
                    <w:widowControl/>
                    <w:shd w:val="clear" w:color="auto" w:fill="auto"/>
                    <w:spacing w:line="240" w:lineRule="auto"/>
                    <w:jc w:val="center"/>
                    <w:textAlignment w:val="center"/>
                    <w:rPr>
                      <w:rFonts w:hint="default" w:ascii="Times New Roman" w:hAnsi="Times New Roman" w:eastAsia="宋体" w:cs="Times New Roman"/>
                      <w:color w:val="000000"/>
                      <w:kern w:val="0"/>
                      <w:sz w:val="18"/>
                      <w:szCs w:val="18"/>
                      <w:highlight w:val="none"/>
                      <w:lang w:val="en-US" w:eastAsia="zh-CN" w:bidi="ar"/>
                    </w:rPr>
                  </w:pPr>
                  <w:r>
                    <w:rPr>
                      <w:rFonts w:hint="default" w:ascii="Times New Roman" w:hAnsi="Times New Roman" w:cs="Times New Roman"/>
                      <w:color w:val="000000"/>
                      <w:kern w:val="0"/>
                      <w:sz w:val="18"/>
                      <w:szCs w:val="18"/>
                      <w:highlight w:val="none"/>
                      <w:lang w:val="en-US" w:eastAsia="zh-CN" w:bidi="ar"/>
                    </w:rPr>
                    <w:t>桩号</w:t>
                  </w:r>
                </w:p>
              </w:tc>
              <w:tc>
                <w:tcPr>
                  <w:tcW w:w="216" w:type="pct"/>
                  <w:vMerge w:val="restart"/>
                  <w:noWrap w:val="0"/>
                  <w:vAlign w:val="center"/>
                </w:tcPr>
                <w:p w14:paraId="6B4E73FC">
                  <w:pPr>
                    <w:widowControl/>
                    <w:shd w:val="clear" w:color="auto" w:fill="auto"/>
                    <w:spacing w:line="240" w:lineRule="auto"/>
                    <w:jc w:val="center"/>
                    <w:rPr>
                      <w:rFonts w:hint="default" w:ascii="Times New Roman" w:hAnsi="Times New Roman" w:eastAsia="等线" w:cs="Times New Roman"/>
                      <w:color w:val="000000"/>
                      <w:kern w:val="2"/>
                      <w:sz w:val="18"/>
                      <w:szCs w:val="18"/>
                      <w:highlight w:val="none"/>
                      <w:lang w:val="en-US" w:eastAsia="zh-CN" w:bidi="ar-SA"/>
                    </w:rPr>
                  </w:pPr>
                  <w:r>
                    <w:rPr>
                      <w:rFonts w:hint="default" w:ascii="Times New Roman" w:hAnsi="Times New Roman" w:eastAsia="等线" w:cs="Times New Roman"/>
                      <w:color w:val="000000"/>
                      <w:kern w:val="2"/>
                      <w:sz w:val="18"/>
                      <w:szCs w:val="18"/>
                      <w:highlight w:val="none"/>
                      <w:lang w:val="en-US" w:eastAsia="zh-CN" w:bidi="ar-SA"/>
                    </w:rPr>
                    <w:t>建设性质</w:t>
                  </w:r>
                </w:p>
              </w:tc>
              <w:tc>
                <w:tcPr>
                  <w:tcW w:w="593" w:type="pct"/>
                  <w:gridSpan w:val="2"/>
                  <w:noWrap w:val="0"/>
                  <w:vAlign w:val="center"/>
                </w:tcPr>
                <w:p w14:paraId="5778CC7C">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流量（m</w:t>
                  </w:r>
                  <w:r>
                    <w:rPr>
                      <w:rFonts w:hint="default" w:ascii="Times New Roman" w:hAnsi="Times New Roman" w:cs="Times New Roman"/>
                      <w:color w:val="000000"/>
                      <w:kern w:val="2"/>
                      <w:sz w:val="18"/>
                      <w:szCs w:val="18"/>
                      <w:highlight w:val="none"/>
                      <w:vertAlign w:val="superscript"/>
                      <w:lang w:val="en-US" w:eastAsia="zh-CN" w:bidi="ar-SA"/>
                    </w:rPr>
                    <w:t>3</w:t>
                  </w:r>
                  <w:r>
                    <w:rPr>
                      <w:rFonts w:hint="default" w:ascii="Times New Roman" w:hAnsi="Times New Roman" w:cs="Times New Roman"/>
                      <w:color w:val="000000"/>
                      <w:kern w:val="2"/>
                      <w:sz w:val="18"/>
                      <w:szCs w:val="18"/>
                      <w:highlight w:val="none"/>
                      <w:lang w:val="en-US" w:eastAsia="zh-CN" w:bidi="ar-SA"/>
                    </w:rPr>
                    <w:t>/s）</w:t>
                  </w:r>
                </w:p>
              </w:tc>
              <w:tc>
                <w:tcPr>
                  <w:tcW w:w="406" w:type="pct"/>
                  <w:vMerge w:val="restart"/>
                  <w:noWrap w:val="0"/>
                  <w:vAlign w:val="center"/>
                </w:tcPr>
                <w:p w14:paraId="22853FB8">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沟底高程（m）</w:t>
                  </w:r>
                </w:p>
              </w:tc>
              <w:tc>
                <w:tcPr>
                  <w:tcW w:w="1392" w:type="pct"/>
                  <w:gridSpan w:val="3"/>
                  <w:noWrap w:val="0"/>
                  <w:vAlign w:val="center"/>
                </w:tcPr>
                <w:p w14:paraId="6247540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进水池特征水位（</w:t>
                  </w:r>
                  <w:r>
                    <w:rPr>
                      <w:rFonts w:hint="default" w:ascii="Times New Roman" w:hAnsi="Times New Roman" w:cs="Times New Roman"/>
                      <w:sz w:val="18"/>
                      <w:szCs w:val="18"/>
                      <w:highlight w:val="none"/>
                      <w:lang w:val="en-US" w:eastAsia="zh-CN"/>
                    </w:rPr>
                    <w:t>m</w:t>
                  </w:r>
                  <w:r>
                    <w:rPr>
                      <w:rFonts w:hint="default" w:ascii="Times New Roman" w:hAnsi="Times New Roman" w:eastAsia="宋体" w:cs="Times New Roman"/>
                      <w:sz w:val="18"/>
                      <w:szCs w:val="18"/>
                      <w:highlight w:val="none"/>
                      <w:lang w:val="en-US" w:eastAsia="zh-CN"/>
                    </w:rPr>
                    <w:t>）</w:t>
                  </w:r>
                </w:p>
              </w:tc>
              <w:tc>
                <w:tcPr>
                  <w:tcW w:w="1357" w:type="pct"/>
                  <w:gridSpan w:val="3"/>
                  <w:noWrap w:val="0"/>
                  <w:vAlign w:val="center"/>
                </w:tcPr>
                <w:p w14:paraId="42E3FC8F">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出水池特征水位（</w:t>
                  </w:r>
                  <w:r>
                    <w:rPr>
                      <w:rFonts w:hint="default" w:ascii="Times New Roman" w:hAnsi="Times New Roman" w:cs="Times New Roman"/>
                      <w:sz w:val="18"/>
                      <w:szCs w:val="18"/>
                      <w:highlight w:val="none"/>
                      <w:lang w:val="en-US" w:eastAsia="zh-CN"/>
                    </w:rPr>
                    <w:t>m</w:t>
                  </w:r>
                  <w:r>
                    <w:rPr>
                      <w:rFonts w:hint="default" w:ascii="Times New Roman" w:hAnsi="Times New Roman" w:eastAsia="宋体" w:cs="Times New Roman"/>
                      <w:sz w:val="18"/>
                      <w:szCs w:val="18"/>
                      <w:highlight w:val="none"/>
                      <w:lang w:val="en-US" w:eastAsia="zh-CN"/>
                    </w:rPr>
                    <w:t>）</w:t>
                  </w:r>
                </w:p>
              </w:tc>
            </w:tr>
            <w:tr w14:paraId="4A2F7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216" w:type="pct"/>
                  <w:vMerge w:val="continue"/>
                  <w:noWrap w:val="0"/>
                  <w:vAlign w:val="center"/>
                </w:tcPr>
                <w:p w14:paraId="074ECE2D">
                  <w:pPr>
                    <w:widowControl/>
                    <w:shd w:val="clear" w:color="auto" w:fill="auto"/>
                    <w:snapToGrid/>
                    <w:spacing w:line="240" w:lineRule="auto"/>
                    <w:jc w:val="center"/>
                    <w:rPr>
                      <w:rFonts w:hint="default" w:ascii="Times New Roman" w:hAnsi="Times New Roman" w:cs="Times New Roman"/>
                      <w:color w:val="000000"/>
                      <w:kern w:val="0"/>
                      <w:sz w:val="18"/>
                      <w:szCs w:val="18"/>
                      <w:highlight w:val="none"/>
                    </w:rPr>
                  </w:pPr>
                </w:p>
              </w:tc>
              <w:tc>
                <w:tcPr>
                  <w:tcW w:w="216" w:type="pct"/>
                  <w:vMerge w:val="continue"/>
                  <w:noWrap w:val="0"/>
                  <w:vAlign w:val="center"/>
                </w:tcPr>
                <w:p w14:paraId="5E0385EE">
                  <w:pPr>
                    <w:widowControl/>
                    <w:shd w:val="clear" w:color="auto" w:fill="auto"/>
                    <w:snapToGrid/>
                    <w:spacing w:line="240" w:lineRule="auto"/>
                    <w:jc w:val="center"/>
                    <w:rPr>
                      <w:rFonts w:hint="default" w:ascii="Times New Roman" w:hAnsi="Times New Roman" w:cs="Times New Roman"/>
                      <w:color w:val="000000"/>
                      <w:kern w:val="0"/>
                      <w:sz w:val="18"/>
                      <w:szCs w:val="18"/>
                      <w:highlight w:val="none"/>
                      <w:lang w:val="en-US" w:eastAsia="zh-CN"/>
                    </w:rPr>
                  </w:pPr>
                </w:p>
              </w:tc>
              <w:tc>
                <w:tcPr>
                  <w:tcW w:w="219" w:type="pct"/>
                  <w:gridSpan w:val="2"/>
                  <w:vMerge w:val="continue"/>
                  <w:noWrap w:val="0"/>
                  <w:vAlign w:val="center"/>
                </w:tcPr>
                <w:p w14:paraId="3D2739E5">
                  <w:pPr>
                    <w:widowControl/>
                    <w:shd w:val="clear" w:color="auto" w:fill="auto"/>
                    <w:spacing w:line="240" w:lineRule="auto"/>
                    <w:jc w:val="center"/>
                    <w:textAlignment w:val="center"/>
                    <w:rPr>
                      <w:rFonts w:hint="default" w:ascii="Times New Roman" w:hAnsi="Times New Roman" w:cs="Times New Roman"/>
                      <w:color w:val="000000"/>
                      <w:sz w:val="18"/>
                      <w:szCs w:val="18"/>
                      <w:highlight w:val="none"/>
                    </w:rPr>
                  </w:pPr>
                </w:p>
              </w:tc>
              <w:tc>
                <w:tcPr>
                  <w:tcW w:w="381" w:type="pct"/>
                  <w:vMerge w:val="continue"/>
                  <w:noWrap w:val="0"/>
                  <w:vAlign w:val="center"/>
                </w:tcPr>
                <w:p w14:paraId="5F4393AD">
                  <w:pPr>
                    <w:widowControl/>
                    <w:shd w:val="clear" w:color="auto" w:fill="auto"/>
                    <w:spacing w:line="240" w:lineRule="auto"/>
                    <w:jc w:val="center"/>
                    <w:textAlignment w:val="center"/>
                    <w:rPr>
                      <w:rFonts w:hint="default" w:ascii="Times New Roman" w:hAnsi="Times New Roman" w:cs="Times New Roman"/>
                      <w:color w:val="000000"/>
                      <w:sz w:val="18"/>
                      <w:szCs w:val="18"/>
                      <w:highlight w:val="none"/>
                    </w:rPr>
                  </w:pPr>
                </w:p>
              </w:tc>
              <w:tc>
                <w:tcPr>
                  <w:tcW w:w="216" w:type="pct"/>
                  <w:vMerge w:val="continue"/>
                  <w:noWrap w:val="0"/>
                  <w:vAlign w:val="center"/>
                </w:tcPr>
                <w:p w14:paraId="34FE5776">
                  <w:pPr>
                    <w:widowControl/>
                    <w:shd w:val="clear" w:color="auto" w:fill="auto"/>
                    <w:spacing w:line="240" w:lineRule="auto"/>
                    <w:jc w:val="center"/>
                    <w:textAlignment w:val="center"/>
                    <w:rPr>
                      <w:rFonts w:hint="default" w:ascii="Times New Roman" w:hAnsi="Times New Roman" w:cs="Times New Roman"/>
                      <w:color w:val="000000"/>
                      <w:sz w:val="18"/>
                      <w:szCs w:val="18"/>
                      <w:highlight w:val="none"/>
                    </w:rPr>
                  </w:pPr>
                </w:p>
              </w:tc>
              <w:tc>
                <w:tcPr>
                  <w:tcW w:w="296" w:type="pct"/>
                  <w:noWrap w:val="0"/>
                  <w:vAlign w:val="center"/>
                </w:tcPr>
                <w:p w14:paraId="62A69C3A">
                  <w:pPr>
                    <w:widowControl/>
                    <w:shd w:val="clear" w:color="auto" w:fill="auto"/>
                    <w:spacing w:line="240" w:lineRule="auto"/>
                    <w:jc w:val="center"/>
                    <w:textAlignment w:val="center"/>
                    <w:rPr>
                      <w:rFonts w:hint="default" w:ascii="Times New Roman" w:hAnsi="Times New Roman" w:eastAsia="宋体"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val="en-US" w:eastAsia="zh-CN"/>
                    </w:rPr>
                    <w:t>强排</w:t>
                  </w:r>
                </w:p>
              </w:tc>
              <w:tc>
                <w:tcPr>
                  <w:tcW w:w="296" w:type="pct"/>
                  <w:noWrap w:val="0"/>
                  <w:vAlign w:val="center"/>
                </w:tcPr>
                <w:p w14:paraId="4AEFFEC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自排</w:t>
                  </w:r>
                </w:p>
              </w:tc>
              <w:tc>
                <w:tcPr>
                  <w:tcW w:w="406" w:type="pct"/>
                  <w:vMerge w:val="continue"/>
                  <w:noWrap w:val="0"/>
                  <w:vAlign w:val="center"/>
                </w:tcPr>
                <w:p w14:paraId="116EDCA7">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p>
              </w:tc>
              <w:tc>
                <w:tcPr>
                  <w:tcW w:w="350" w:type="pct"/>
                  <w:noWrap w:val="0"/>
                  <w:vAlign w:val="center"/>
                </w:tcPr>
                <w:p w14:paraId="235FCE5D">
                  <w:pPr>
                    <w:pStyle w:val="117"/>
                    <w:shd w:val="clear" w:color="auto" w:fill="auto"/>
                    <w:adjustRightInd w:val="0"/>
                    <w:snapToGrid w:val="0"/>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sz w:val="18"/>
                      <w:szCs w:val="18"/>
                      <w:highlight w:val="none"/>
                      <w:lang w:val="en-US" w:eastAsia="zh-CN"/>
                    </w:rPr>
                    <w:t>防洪水位/</w:t>
                  </w:r>
                </w:p>
                <w:p w14:paraId="5FBA926B">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最高水位</w:t>
                  </w:r>
                </w:p>
              </w:tc>
              <w:tc>
                <w:tcPr>
                  <w:tcW w:w="638" w:type="pct"/>
                  <w:noWrap w:val="0"/>
                  <w:vAlign w:val="center"/>
                </w:tcPr>
                <w:p w14:paraId="6202CFFC">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设计水位（P=10%）</w:t>
                  </w:r>
                </w:p>
              </w:tc>
              <w:tc>
                <w:tcPr>
                  <w:tcW w:w="403" w:type="pct"/>
                  <w:noWrap w:val="0"/>
                  <w:vAlign w:val="center"/>
                </w:tcPr>
                <w:p w14:paraId="423F4232">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最低水位</w:t>
                  </w:r>
                </w:p>
              </w:tc>
              <w:tc>
                <w:tcPr>
                  <w:tcW w:w="403" w:type="pct"/>
                  <w:noWrap w:val="0"/>
                  <w:vAlign w:val="center"/>
                </w:tcPr>
                <w:p w14:paraId="28AE9B48">
                  <w:pPr>
                    <w:pStyle w:val="117"/>
                    <w:shd w:val="clear" w:color="auto" w:fill="auto"/>
                    <w:adjustRightInd w:val="0"/>
                    <w:snapToGrid w:val="0"/>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sz w:val="18"/>
                      <w:szCs w:val="18"/>
                      <w:highlight w:val="none"/>
                      <w:lang w:val="en-US" w:eastAsia="zh-CN"/>
                    </w:rPr>
                    <w:t>最高水位</w:t>
                  </w:r>
                </w:p>
                <w:p w14:paraId="0716D1F9">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/防洪水位</w:t>
                  </w:r>
                </w:p>
              </w:tc>
              <w:tc>
                <w:tcPr>
                  <w:tcW w:w="638" w:type="pct"/>
                  <w:noWrap w:val="0"/>
                  <w:vAlign w:val="center"/>
                </w:tcPr>
                <w:p w14:paraId="285B9BEE">
                  <w:pPr>
                    <w:pStyle w:val="117"/>
                    <w:shd w:val="clear" w:color="auto" w:fill="auto"/>
                    <w:adjustRightInd w:val="0"/>
                    <w:snapToGrid w:val="0"/>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sz w:val="18"/>
                      <w:szCs w:val="18"/>
                      <w:highlight w:val="none"/>
                      <w:lang w:val="en-US" w:eastAsia="zh-CN"/>
                    </w:rPr>
                    <w:t>设计水位</w:t>
                  </w:r>
                </w:p>
                <w:p w14:paraId="2BBE8C7D">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（P=10%）</w:t>
                  </w:r>
                </w:p>
              </w:tc>
              <w:tc>
                <w:tcPr>
                  <w:tcW w:w="315" w:type="pct"/>
                  <w:noWrap w:val="0"/>
                  <w:vAlign w:val="center"/>
                </w:tcPr>
                <w:p w14:paraId="615D8D56">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最低水位</w:t>
                  </w:r>
                </w:p>
              </w:tc>
            </w:tr>
            <w:tr w14:paraId="2744A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 w:type="pct"/>
                  <w:noWrap w:val="0"/>
                  <w:vAlign w:val="center"/>
                </w:tcPr>
                <w:p w14:paraId="2E731FD2">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rPr>
                    <w:t>1</w:t>
                  </w:r>
                </w:p>
              </w:tc>
              <w:tc>
                <w:tcPr>
                  <w:tcW w:w="216" w:type="pct"/>
                  <w:noWrap w:val="0"/>
                  <w:vAlign w:val="center"/>
                </w:tcPr>
                <w:p w14:paraId="5F18F01E">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0"/>
                      <w:sz w:val="18"/>
                      <w:szCs w:val="18"/>
                      <w:highlight w:val="none"/>
                      <w:lang w:val="en-US" w:eastAsia="zh-CN"/>
                    </w:rPr>
                    <w:t>2</w:t>
                  </w:r>
                  <w:r>
                    <w:rPr>
                      <w:rFonts w:hint="default" w:ascii="Times New Roman" w:hAnsi="Times New Roman" w:cs="Times New Roman"/>
                      <w:color w:val="000000"/>
                      <w:kern w:val="0"/>
                      <w:sz w:val="18"/>
                      <w:szCs w:val="18"/>
                      <w:highlight w:val="none"/>
                    </w:rPr>
                    <w:t>号堤防</w:t>
                  </w:r>
                </w:p>
              </w:tc>
              <w:tc>
                <w:tcPr>
                  <w:tcW w:w="216" w:type="pct"/>
                  <w:noWrap w:val="0"/>
                  <w:vAlign w:val="center"/>
                </w:tcPr>
                <w:p w14:paraId="4EA0CC89">
                  <w:pPr>
                    <w:widowControl/>
                    <w:shd w:val="clear" w:color="auto" w:fill="auto"/>
                    <w:snapToGrid/>
                    <w:spacing w:line="240" w:lineRule="auto"/>
                    <w:jc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4号排水闸站</w:t>
                  </w:r>
                </w:p>
              </w:tc>
              <w:tc>
                <w:tcPr>
                  <w:tcW w:w="383" w:type="pct"/>
                  <w:gridSpan w:val="2"/>
                  <w:noWrap w:val="0"/>
                  <w:vAlign w:val="center"/>
                </w:tcPr>
                <w:p w14:paraId="2A7301C0">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3+948</w:t>
                  </w:r>
                </w:p>
              </w:tc>
              <w:tc>
                <w:tcPr>
                  <w:tcW w:w="216" w:type="pct"/>
                  <w:noWrap w:val="0"/>
                  <w:vAlign w:val="center"/>
                </w:tcPr>
                <w:p w14:paraId="496E6E9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新建</w:t>
                  </w:r>
                </w:p>
              </w:tc>
              <w:tc>
                <w:tcPr>
                  <w:tcW w:w="296" w:type="pct"/>
                  <w:noWrap w:val="0"/>
                  <w:vAlign w:val="center"/>
                </w:tcPr>
                <w:p w14:paraId="1462C2A9">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3.26</w:t>
                  </w:r>
                </w:p>
              </w:tc>
              <w:tc>
                <w:tcPr>
                  <w:tcW w:w="296" w:type="pct"/>
                  <w:noWrap w:val="0"/>
                  <w:vAlign w:val="center"/>
                </w:tcPr>
                <w:p w14:paraId="16A7EA8B">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4.07</w:t>
                  </w:r>
                </w:p>
              </w:tc>
              <w:tc>
                <w:tcPr>
                  <w:tcW w:w="406" w:type="pct"/>
                  <w:noWrap w:val="0"/>
                  <w:vAlign w:val="center"/>
                </w:tcPr>
                <w:p w14:paraId="57620D02">
                  <w:pPr>
                    <w:widowControl/>
                    <w:shd w:val="clear" w:color="auto" w:fill="auto"/>
                    <w:spacing w:line="240" w:lineRule="auto"/>
                    <w:jc w:val="center"/>
                    <w:textAlignment w:val="center"/>
                    <w:rPr>
                      <w:rFonts w:hint="default" w:ascii="Times New Roman" w:hAnsi="Times New Roman"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185.5</w:t>
                  </w:r>
                </w:p>
              </w:tc>
              <w:tc>
                <w:tcPr>
                  <w:tcW w:w="350" w:type="pct"/>
                  <w:noWrap w:val="0"/>
                  <w:vAlign w:val="center"/>
                </w:tcPr>
                <w:p w14:paraId="0686F4F2">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188.5</w:t>
                  </w:r>
                </w:p>
              </w:tc>
              <w:tc>
                <w:tcPr>
                  <w:tcW w:w="638" w:type="pct"/>
                  <w:noWrap w:val="0"/>
                  <w:vAlign w:val="center"/>
                </w:tcPr>
                <w:p w14:paraId="45177F1A">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187.39</w:t>
                  </w:r>
                </w:p>
              </w:tc>
              <w:tc>
                <w:tcPr>
                  <w:tcW w:w="403" w:type="pct"/>
                  <w:noWrap w:val="0"/>
                  <w:vAlign w:val="center"/>
                </w:tcPr>
                <w:p w14:paraId="1A363D1B">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186.09</w:t>
                  </w:r>
                </w:p>
              </w:tc>
              <w:tc>
                <w:tcPr>
                  <w:tcW w:w="403" w:type="pct"/>
                  <w:noWrap w:val="0"/>
                  <w:vAlign w:val="center"/>
                </w:tcPr>
                <w:p w14:paraId="1E704491">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189.87</w:t>
                  </w:r>
                </w:p>
              </w:tc>
              <w:tc>
                <w:tcPr>
                  <w:tcW w:w="638" w:type="pct"/>
                  <w:noWrap w:val="0"/>
                  <w:vAlign w:val="center"/>
                </w:tcPr>
                <w:p w14:paraId="4CFC3962">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189.37</w:t>
                  </w:r>
                </w:p>
              </w:tc>
              <w:tc>
                <w:tcPr>
                  <w:tcW w:w="315" w:type="pct"/>
                  <w:noWrap w:val="0"/>
                  <w:vAlign w:val="center"/>
                </w:tcPr>
                <w:p w14:paraId="4C5EAFF4">
                  <w:pPr>
                    <w:pStyle w:val="117"/>
                    <w:shd w:val="clear" w:color="auto" w:fill="auto"/>
                    <w:adjustRightInd w:val="0"/>
                    <w:snapToGrid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187.5</w:t>
                  </w:r>
                </w:p>
              </w:tc>
            </w:tr>
          </w:tbl>
          <w:p w14:paraId="7A0831D5">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（1）1号</w:t>
            </w:r>
            <w:r>
              <w:rPr>
                <w:rFonts w:hint="default" w:ascii="Times New Roman" w:hAnsi="Times New Roman" w:cs="Times New Roman"/>
                <w:sz w:val="24"/>
                <w:szCs w:val="24"/>
                <w:highlight w:val="none"/>
                <w:lang w:eastAsia="zh-CN"/>
              </w:rPr>
              <w:t>排水闸</w:t>
            </w:r>
          </w:p>
          <w:p w14:paraId="2583FEDC">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1号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设计流量为2.06</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w:t>
            </w: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号堤防桩号2+437处，采用涵洞式，出口消能方式为底流消能，</w:t>
            </w:r>
            <w:r>
              <w:rPr>
                <w:rFonts w:hint="default" w:ascii="Times New Roman" w:hAnsi="Times New Roman" w:cs="Times New Roman"/>
                <w:sz w:val="24"/>
                <w:szCs w:val="24"/>
                <w:highlight w:val="none"/>
                <w:lang w:eastAsia="zh-CN"/>
              </w:rPr>
              <w:t>主要由</w:t>
            </w:r>
            <w:r>
              <w:rPr>
                <w:rFonts w:hint="default" w:ascii="Times New Roman" w:hAnsi="Times New Roman" w:cs="Times New Roman"/>
                <w:sz w:val="24"/>
                <w:szCs w:val="24"/>
                <w:highlight w:val="none"/>
              </w:rPr>
              <w:t>引渠段、进口段、洞身段、闸室段、消力池段及出口海漫段组成。</w:t>
            </w:r>
          </w:p>
          <w:p w14:paraId="475E522F">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6C64D57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设计流量为1.97</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w:t>
            </w: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号堤防桩号1+105处，采用涵洞式，出口消能方式为底流消能，主要由引渠段、进口段、洞身段、闸室段、消力池段及出口海漫段组成。</w:t>
            </w:r>
          </w:p>
          <w:p w14:paraId="0A3470DF">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464AF406">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设计流量为2.67</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w:t>
            </w: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号堤防桩号1+535处，采用涵洞式，出口消能方式为底流消能，</w:t>
            </w:r>
            <w:r>
              <w:rPr>
                <w:rFonts w:hint="default" w:ascii="Times New Roman" w:hAnsi="Times New Roman" w:cs="Times New Roman"/>
                <w:sz w:val="24"/>
                <w:szCs w:val="24"/>
                <w:highlight w:val="none"/>
                <w:lang w:eastAsia="zh-CN"/>
              </w:rPr>
              <w:t>主要由</w:t>
            </w:r>
            <w:r>
              <w:rPr>
                <w:rFonts w:hint="default" w:ascii="Times New Roman" w:hAnsi="Times New Roman" w:cs="Times New Roman"/>
                <w:sz w:val="24"/>
                <w:szCs w:val="24"/>
                <w:highlight w:val="none"/>
              </w:rPr>
              <w:t>引渠段、进口段、洞身段、闸室段、消力池段及出口海漫段组成。</w:t>
            </w:r>
          </w:p>
          <w:p w14:paraId="0A0B1384">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lang w:val="en-US" w:eastAsia="zh-CN"/>
              </w:rPr>
              <w:t>站</w:t>
            </w:r>
          </w:p>
          <w:p w14:paraId="1A21EF5F">
            <w:pPr>
              <w:pStyle w:val="84"/>
              <w:keepNext w:val="0"/>
              <w:keepLines w:val="0"/>
              <w:pageBreakBefore w:val="0"/>
              <w:kinsoku/>
              <w:wordWrap/>
              <w:overflowPunct/>
              <w:topLinePunct w:val="0"/>
              <w:autoSpaceDE/>
              <w:autoSpaceDN/>
              <w:bidi w:val="0"/>
              <w:snapToGrid w:val="0"/>
              <w:spacing w:line="500" w:lineRule="exact"/>
              <w:ind w:right="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lang w:val="en-US" w:eastAsia="zh-CN"/>
              </w:rPr>
              <w:t>站</w:t>
            </w:r>
            <w:r>
              <w:rPr>
                <w:rFonts w:hint="default" w:ascii="Times New Roman" w:hAnsi="Times New Roman" w:cs="Times New Roman"/>
                <w:sz w:val="24"/>
                <w:szCs w:val="24"/>
                <w:highlight w:val="none"/>
              </w:rPr>
              <w:t>设计流量为</w:t>
            </w:r>
            <w:r>
              <w:rPr>
                <w:rFonts w:hint="default" w:ascii="Times New Roman" w:hAnsi="Times New Roman" w:cs="Times New Roman"/>
                <w:sz w:val="24"/>
                <w:szCs w:val="24"/>
                <w:highlight w:val="none"/>
                <w:lang w:val="en-US" w:eastAsia="zh-CN"/>
              </w:rPr>
              <w:t>3.26</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w:t>
            </w:r>
            <w:r>
              <w:rPr>
                <w:rFonts w:hint="default" w:ascii="Times New Roman" w:hAnsi="Times New Roman" w:cs="Times New Roman"/>
                <w:sz w:val="24"/>
                <w:szCs w:val="24"/>
                <w:highlight w:val="none"/>
                <w:lang w:val="en-US" w:eastAsia="zh-CN"/>
              </w:rPr>
              <w:t>排水闸站</w:t>
            </w:r>
            <w:r>
              <w:rPr>
                <w:rFonts w:hint="default" w:ascii="Times New Roman" w:hAnsi="Times New Roman" w:cs="Times New Roman"/>
                <w:sz w:val="24"/>
                <w:szCs w:val="24"/>
                <w:highlight w:val="none"/>
              </w:rPr>
              <w:t>布置在</w:t>
            </w: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号堤防桩号</w:t>
            </w:r>
            <w:r>
              <w:rPr>
                <w:rFonts w:hint="default" w:ascii="Times New Roman" w:hAnsi="Times New Roman" w:cs="Times New Roman"/>
                <w:sz w:val="24"/>
                <w:szCs w:val="24"/>
                <w:highlight w:val="none"/>
                <w:lang w:val="en-US" w:eastAsia="zh-CN"/>
              </w:rPr>
              <w:t>3+948</w:t>
            </w:r>
            <w:r>
              <w:rPr>
                <w:rFonts w:hint="default" w:ascii="Times New Roman" w:hAnsi="Times New Roman" w:cs="Times New Roman"/>
                <w:sz w:val="24"/>
                <w:szCs w:val="24"/>
                <w:highlight w:val="none"/>
              </w:rPr>
              <w:t>处。</w:t>
            </w:r>
          </w:p>
          <w:p w14:paraId="6408305F">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694E1174">
            <w:pPr>
              <w:pStyle w:val="84"/>
              <w:keepNext w:val="0"/>
              <w:keepLines w:val="0"/>
              <w:pageBreakBefore w:val="0"/>
              <w:kinsoku/>
              <w:wordWrap/>
              <w:overflowPunct/>
              <w:topLinePunct w:val="0"/>
              <w:autoSpaceDE/>
              <w:autoSpaceDN/>
              <w:bidi w:val="0"/>
              <w:snapToGrid w:val="0"/>
              <w:spacing w:line="500" w:lineRule="exact"/>
              <w:ind w:right="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设计流量为3.54</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/s。涵闸布置在3号堤防桩号2+065处，采用涵洞式，出口消能方式为底流消能，主要由引渠段、进口段、洞身段、闸室段、消力池段及出口海漫段组成。</w:t>
            </w:r>
          </w:p>
          <w:p w14:paraId="065C6837">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19A99AEA">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设计流量为1.66</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/s。涵闸布置在3号堤防桩号3+560处，采用涵洞式，出口消能方式为底流消能，主要由引渠段、进口段、洞身段、闸室段、消力池段及出口海漫段组成。</w:t>
            </w:r>
          </w:p>
          <w:p w14:paraId="3A75E3D8">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7</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7</w:t>
            </w:r>
            <w:r>
              <w:rPr>
                <w:rFonts w:hint="default" w:ascii="Times New Roman" w:hAnsi="Times New Roman" w:cs="Times New Roman"/>
                <w:sz w:val="24"/>
                <w:szCs w:val="24"/>
                <w:highlight w:val="none"/>
              </w:rPr>
              <w:t>号排水闸</w:t>
            </w:r>
          </w:p>
          <w:p w14:paraId="5E785F58">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7</w:t>
            </w:r>
            <w:r>
              <w:rPr>
                <w:rFonts w:hint="default" w:ascii="Times New Roman" w:hAnsi="Times New Roman" w:cs="Times New Roman"/>
                <w:sz w:val="24"/>
                <w:szCs w:val="24"/>
                <w:highlight w:val="none"/>
              </w:rPr>
              <w:t>号排水闸设计流量为2.00</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/s。涵闸布置在3号堤防桩号4+205处，出口接防洪墙，主要由进口段、闸室段组成。</w:t>
            </w:r>
          </w:p>
          <w:p w14:paraId="7C425258">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7A5D724D">
            <w:pPr>
              <w:pStyle w:val="84"/>
              <w:keepNext w:val="0"/>
              <w:keepLines w:val="0"/>
              <w:pageBreakBefore w:val="0"/>
              <w:kinsoku/>
              <w:wordWrap/>
              <w:overflowPunct/>
              <w:topLinePunct w:val="0"/>
              <w:autoSpaceDE/>
              <w:autoSpaceDN/>
              <w:bidi w:val="0"/>
              <w:snapToGrid w:val="0"/>
              <w:spacing w:line="500" w:lineRule="exact"/>
              <w:ind w:right="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设计流量为3.02</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号堤防桩号4+137处，采用涵洞式，出口消能方式为底流消能，主要由引渠段、进口段、洞身段、闸室段、消力池段及出口海漫段组成。</w:t>
            </w:r>
          </w:p>
          <w:p w14:paraId="5D6322AF">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3587FBA0">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设计流量为13.03</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号堤防桩号5+537处，采用涵洞式，出口消能方式为底流消能，主要由引渠段、进口段、洞身段、闸室段、消力池段及出口海漫段组成。</w:t>
            </w:r>
          </w:p>
          <w:p w14:paraId="76BF5B99">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10</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10</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12BCB1E3">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10</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设计流量为1.96</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号堤防桩号6+8</w:t>
            </w:r>
            <w:r>
              <w:rPr>
                <w:rFonts w:hint="default" w:ascii="Times New Roman" w:hAnsi="Times New Roman" w:cs="Times New Roman"/>
                <w:sz w:val="24"/>
                <w:szCs w:val="24"/>
                <w:highlight w:val="none"/>
                <w:lang w:eastAsia="zh-CN"/>
              </w:rPr>
              <w:t>15</w:t>
            </w:r>
            <w:r>
              <w:rPr>
                <w:rFonts w:hint="default" w:ascii="Times New Roman" w:hAnsi="Times New Roman" w:cs="Times New Roman"/>
                <w:sz w:val="24"/>
                <w:szCs w:val="24"/>
                <w:highlight w:val="none"/>
                <w:lang w:val="en-US" w:eastAsia="zh-CN"/>
              </w:rPr>
              <w:t>处</w:t>
            </w:r>
            <w:r>
              <w:rPr>
                <w:rFonts w:hint="default" w:ascii="Times New Roman" w:hAnsi="Times New Roman" w:cs="Times New Roman"/>
                <w:sz w:val="24"/>
                <w:szCs w:val="24"/>
                <w:highlight w:val="none"/>
              </w:rPr>
              <w:t>，采用涵洞式，出口消能方式为底流消能，主要由引渠段、进口段、洞身段、闸室段、消力池段及出口海漫段组成。</w:t>
            </w:r>
          </w:p>
          <w:p w14:paraId="774362B9">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（1</w:t>
            </w: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）1</w:t>
            </w: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4726D46E">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1</w:t>
            </w: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设计流量为1.01</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w:t>
            </w: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号堤防桩号1+</w:t>
            </w:r>
            <w:r>
              <w:rPr>
                <w:rFonts w:hint="default" w:ascii="Times New Roman" w:hAnsi="Times New Roman" w:cs="Times New Roman"/>
                <w:sz w:val="24"/>
                <w:szCs w:val="24"/>
                <w:highlight w:val="none"/>
                <w:lang w:val="en-US" w:eastAsia="zh-CN"/>
              </w:rPr>
              <w:t>690</w:t>
            </w:r>
            <w:r>
              <w:rPr>
                <w:rFonts w:hint="default" w:ascii="Times New Roman" w:hAnsi="Times New Roman" w:cs="Times New Roman"/>
                <w:sz w:val="24"/>
                <w:szCs w:val="24"/>
                <w:highlight w:val="none"/>
              </w:rPr>
              <w:t>处，采用涵洞式，出口消能方式为底流消能，主要由引渠段、进口段、洞身段、闸室段、消力池段及出口海漫段组成。</w:t>
            </w:r>
          </w:p>
          <w:p w14:paraId="26042D3B">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（2）</w:t>
            </w: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2号</w:t>
            </w:r>
            <w:r>
              <w:rPr>
                <w:rFonts w:hint="default" w:ascii="Times New Roman" w:hAnsi="Times New Roman" w:cs="Times New Roman"/>
                <w:sz w:val="24"/>
                <w:szCs w:val="24"/>
                <w:highlight w:val="none"/>
                <w:lang w:eastAsia="zh-CN"/>
              </w:rPr>
              <w:t>排水闸</w:t>
            </w:r>
          </w:p>
          <w:p w14:paraId="58959614">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2号</w:t>
            </w:r>
            <w:r>
              <w:rPr>
                <w:rFonts w:hint="default" w:ascii="Times New Roman" w:hAnsi="Times New Roman" w:cs="Times New Roman"/>
                <w:sz w:val="24"/>
                <w:szCs w:val="24"/>
                <w:highlight w:val="none"/>
                <w:lang w:eastAsia="zh-CN"/>
              </w:rPr>
              <w:t>排水闸</w:t>
            </w:r>
            <w:r>
              <w:rPr>
                <w:rFonts w:hint="default" w:ascii="Times New Roman" w:hAnsi="Times New Roman" w:cs="Times New Roman"/>
                <w:sz w:val="24"/>
                <w:szCs w:val="24"/>
                <w:highlight w:val="none"/>
              </w:rPr>
              <w:t>设计流量为1.13</w:t>
            </w:r>
            <w:r>
              <w:rPr>
                <w:rFonts w:hint="default" w:ascii="Times New Roman" w:hAnsi="Times New Roman" w:cs="Times New Roman"/>
                <w:sz w:val="24"/>
                <w:szCs w:val="24"/>
                <w:highlight w:val="none"/>
                <w:lang w:eastAsia="zh-CN"/>
              </w:rPr>
              <w:t>m</w:t>
            </w:r>
            <w:r>
              <w:rPr>
                <w:rFonts w:hint="default" w:ascii="Times New Roman" w:hAnsi="Times New Roman" w:cs="Times New Roman"/>
                <w:spacing w:val="-4"/>
                <w:kern w:val="52"/>
                <w:sz w:val="24"/>
                <w:szCs w:val="24"/>
                <w:highlight w:val="none"/>
                <w:vertAlign w:val="superscript"/>
              </w:rPr>
              <w:t>3</w:t>
            </w:r>
            <w:r>
              <w:rPr>
                <w:rFonts w:hint="default" w:ascii="Times New Roman" w:hAnsi="Times New Roman" w:cs="Times New Roman"/>
                <w:sz w:val="24"/>
                <w:szCs w:val="24"/>
                <w:highlight w:val="none"/>
              </w:rPr>
              <w:t>/s。涵闸布置在</w:t>
            </w: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号堤防桩号</w:t>
            </w:r>
            <w:r>
              <w:rPr>
                <w:rFonts w:hint="default" w:ascii="Times New Roman" w:hAnsi="Times New Roman" w:cs="Times New Roman"/>
                <w:sz w:val="24"/>
                <w:szCs w:val="24"/>
                <w:highlight w:val="none"/>
                <w:lang w:val="en-US" w:eastAsia="zh-CN"/>
              </w:rPr>
              <w:t>3+295</w:t>
            </w:r>
            <w:r>
              <w:rPr>
                <w:rFonts w:hint="default" w:ascii="Times New Roman" w:hAnsi="Times New Roman" w:cs="Times New Roman"/>
                <w:sz w:val="24"/>
                <w:szCs w:val="24"/>
                <w:highlight w:val="none"/>
              </w:rPr>
              <w:t>处，采用涵洞式，出口消能方式为底流消能，主要由引渠段、进口段、洞身段、闸室段、消力池段及出口海漫段组成。</w:t>
            </w:r>
          </w:p>
          <w:p w14:paraId="66CE6CF1">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kern w:val="0"/>
                <w:sz w:val="24"/>
                <w:szCs w:val="24"/>
                <w:highlight w:val="none"/>
                <w:lang w:val="en-US" w:eastAsia="zh-CN" w:bidi="ar-SA"/>
              </w:rPr>
              <w:t>二、</w:t>
            </w:r>
            <w:r>
              <w:rPr>
                <w:rFonts w:hint="default" w:ascii="Times New Roman" w:hAnsi="Times New Roman" w:cs="Times New Roman"/>
                <w:b/>
                <w:bCs/>
                <w:sz w:val="24"/>
                <w:szCs w:val="24"/>
                <w:highlight w:val="none"/>
                <w:lang w:val="en-US" w:eastAsia="zh-CN"/>
              </w:rPr>
              <w:t>工程占地</w:t>
            </w:r>
          </w:p>
          <w:p w14:paraId="3438CBDF">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1、永久占地</w:t>
            </w:r>
          </w:p>
          <w:p w14:paraId="73B4ECF9">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永久占地面积为875.63亩，其中耕地290.85亩（其中旱地147.09亩，水田143.75亩）、林地172.36亩（其中乔木林地70.45亩，灌木林地71.66亩，其他林地30.25亩）、草地44.74亩（其中沼泽草地16.91亩，其他草地27.83亩）、住宅用地0.47亩（其中农村宅基地0.47亩）、交通运输用地15.68亩（农村道路15.68亩）、水域及水利设施用地319.15亩（其中河流水面54.76亩，坑塘水面205.60亩，养殖坑塘0.97亩，内陆滩涂6.01亩，沟渠51.80亩）、其他土地32.39亩（设施农用地32.39亩）。本工程不涉及占用永久基本农田。</w:t>
            </w:r>
          </w:p>
          <w:p w14:paraId="47F952AA">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kern w:val="0"/>
                <w:sz w:val="24"/>
                <w:szCs w:val="24"/>
                <w:highlight w:val="none"/>
                <w:lang w:val="en-US" w:eastAsia="zh-CN" w:bidi="ar-SA"/>
              </w:rPr>
              <w:t>2、</w:t>
            </w:r>
            <w:r>
              <w:rPr>
                <w:rFonts w:hint="default" w:ascii="Times New Roman" w:hAnsi="Times New Roman" w:cs="Times New Roman"/>
                <w:b/>
                <w:bCs/>
                <w:sz w:val="24"/>
                <w:szCs w:val="24"/>
                <w:highlight w:val="none"/>
                <w:lang w:val="en-US" w:eastAsia="zh-CN"/>
              </w:rPr>
              <w:t>临时占地</w:t>
            </w:r>
          </w:p>
          <w:p w14:paraId="0C28B4A6">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临时占地面积983.55亩，其中临时占用耕地263.55亩，水利及水域设施用地720亩。未占用基本农田。</w:t>
            </w:r>
          </w:p>
          <w:p w14:paraId="1A3F5F14">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sz w:val="24"/>
                <w:szCs w:val="24"/>
                <w:highlight w:val="none"/>
                <w:lang w:val="en-US" w:eastAsia="zh-CN"/>
              </w:rPr>
            </w:pPr>
          </w:p>
          <w:p w14:paraId="61E1CEBE">
            <w:pPr>
              <w:keepNext w:val="0"/>
              <w:keepLines w:val="0"/>
              <w:pageBreakBefore w:val="0"/>
              <w:kinsoku/>
              <w:wordWrap/>
              <w:overflowPunct/>
              <w:topLinePunct w:val="0"/>
              <w:autoSpaceDE/>
              <w:autoSpaceDN/>
              <w:bidi w:val="0"/>
              <w:adjustRightInd w:val="0"/>
              <w:snapToGrid w:val="0"/>
              <w:spacing w:line="500" w:lineRule="exact"/>
              <w:ind w:firstLine="482"/>
              <w:jc w:val="center"/>
              <w:textAlignment w:val="auto"/>
              <w:rPr>
                <w:rFonts w:hint="default" w:ascii="Times New Roman" w:hAnsi="Times New Roman" w:cs="Times New Roman"/>
                <w:b/>
                <w:color w:val="auto"/>
                <w:sz w:val="21"/>
                <w:szCs w:val="21"/>
                <w:highlight w:val="yellow"/>
              </w:rPr>
            </w:pPr>
            <w:r>
              <w:rPr>
                <w:rFonts w:hint="default" w:ascii="Times New Roman" w:hAnsi="Times New Roman" w:cs="Times New Roman"/>
                <w:b/>
                <w:color w:val="auto"/>
                <w:sz w:val="21"/>
                <w:szCs w:val="21"/>
                <w:highlight w:val="yellow"/>
              </w:rPr>
              <w:t>表2</w:t>
            </w:r>
            <w:r>
              <w:rPr>
                <w:rFonts w:hint="default" w:ascii="Times New Roman" w:hAnsi="Times New Roman" w:cs="Times New Roman"/>
                <w:b/>
                <w:color w:val="auto"/>
                <w:sz w:val="21"/>
                <w:szCs w:val="21"/>
                <w:highlight w:val="yellow"/>
                <w:lang w:eastAsia="zh-CN"/>
              </w:rPr>
              <w:t>—</w:t>
            </w:r>
            <w:r>
              <w:rPr>
                <w:rFonts w:hint="default" w:ascii="Times New Roman" w:hAnsi="Times New Roman" w:cs="Times New Roman"/>
                <w:b/>
                <w:color w:val="auto"/>
                <w:sz w:val="21"/>
                <w:szCs w:val="21"/>
                <w:highlight w:val="yellow"/>
                <w:lang w:val="en-US" w:eastAsia="zh-CN"/>
              </w:rPr>
              <w:t xml:space="preserve">6  </w:t>
            </w:r>
            <w:r>
              <w:rPr>
                <w:rFonts w:hint="default" w:ascii="Times New Roman" w:hAnsi="Times New Roman" w:cs="Times New Roman"/>
                <w:b/>
                <w:color w:val="auto"/>
                <w:sz w:val="21"/>
                <w:szCs w:val="21"/>
                <w:highlight w:val="yellow"/>
              </w:rPr>
              <w:t>工程占地一览表（</w:t>
            </w:r>
            <w:r>
              <w:rPr>
                <w:rFonts w:hint="default" w:ascii="Times New Roman" w:hAnsi="Times New Roman" w:cs="Times New Roman"/>
                <w:b/>
                <w:color w:val="auto"/>
                <w:sz w:val="21"/>
                <w:szCs w:val="21"/>
                <w:highlight w:val="yellow"/>
                <w:lang w:val="en-US" w:eastAsia="zh-CN"/>
              </w:rPr>
              <w:t>亩</w:t>
            </w:r>
            <w:r>
              <w:rPr>
                <w:rFonts w:hint="default" w:ascii="Times New Roman" w:hAnsi="Times New Roman" w:cs="Times New Roman"/>
                <w:b/>
                <w:color w:val="auto"/>
                <w:sz w:val="21"/>
                <w:szCs w:val="21"/>
                <w:highlight w:val="yellow"/>
              </w:rPr>
              <w:t>）</w:t>
            </w:r>
          </w:p>
          <w:tbl>
            <w:tblPr>
              <w:tblStyle w:val="25"/>
              <w:tblW w:w="492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4"/>
              <w:gridCol w:w="840"/>
              <w:gridCol w:w="585"/>
              <w:gridCol w:w="905"/>
              <w:gridCol w:w="383"/>
              <w:gridCol w:w="383"/>
              <w:gridCol w:w="383"/>
              <w:gridCol w:w="433"/>
              <w:gridCol w:w="435"/>
              <w:gridCol w:w="371"/>
              <w:gridCol w:w="433"/>
              <w:gridCol w:w="433"/>
              <w:gridCol w:w="497"/>
              <w:gridCol w:w="384"/>
              <w:gridCol w:w="384"/>
              <w:gridCol w:w="451"/>
              <w:gridCol w:w="434"/>
              <w:gridCol w:w="410"/>
            </w:tblGrid>
            <w:tr w14:paraId="29394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restart"/>
                  <w:tcBorders>
                    <w:top w:val="single" w:color="auto" w:sz="4" w:space="0"/>
                    <w:left w:val="single" w:color="auto" w:sz="0" w:space="0"/>
                  </w:tcBorders>
                  <w:noWrap/>
                  <w:vAlign w:val="center"/>
                </w:tcPr>
                <w:p w14:paraId="50BB4F3E">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工程名称</w:t>
                  </w:r>
                </w:p>
              </w:tc>
              <w:tc>
                <w:tcPr>
                  <w:tcW w:w="477" w:type="pct"/>
                  <w:vMerge w:val="restart"/>
                  <w:tcBorders>
                    <w:top w:val="single" w:color="auto" w:sz="4" w:space="0"/>
                  </w:tcBorders>
                  <w:noWrap/>
                  <w:vAlign w:val="center"/>
                </w:tcPr>
                <w:p w14:paraId="28A43457">
                  <w:pPr>
                    <w:pStyle w:val="89"/>
                    <w:jc w:val="center"/>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占地类型</w:t>
                  </w:r>
                </w:p>
              </w:tc>
              <w:tc>
                <w:tcPr>
                  <w:tcW w:w="846" w:type="pct"/>
                  <w:gridSpan w:val="2"/>
                  <w:tcBorders>
                    <w:top w:val="single" w:color="auto" w:sz="4" w:space="0"/>
                  </w:tcBorders>
                  <w:noWrap w:val="0"/>
                  <w:vAlign w:val="center"/>
                </w:tcPr>
                <w:p w14:paraId="2D6FAF73">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耕地</w:t>
                  </w:r>
                </w:p>
              </w:tc>
              <w:tc>
                <w:tcPr>
                  <w:tcW w:w="653" w:type="pct"/>
                  <w:gridSpan w:val="3"/>
                  <w:tcBorders>
                    <w:top w:val="single" w:color="auto" w:sz="4" w:space="0"/>
                  </w:tcBorders>
                  <w:noWrap w:val="0"/>
                  <w:vAlign w:val="center"/>
                </w:tcPr>
                <w:p w14:paraId="221E2B25">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lang w:val="en-US" w:eastAsia="zh-CN"/>
                    </w:rPr>
                    <w:t>林地</w:t>
                  </w:r>
                </w:p>
              </w:tc>
              <w:tc>
                <w:tcPr>
                  <w:tcW w:w="493" w:type="pct"/>
                  <w:gridSpan w:val="2"/>
                  <w:tcBorders>
                    <w:top w:val="single" w:color="auto" w:sz="4" w:space="0"/>
                  </w:tcBorders>
                  <w:noWrap w:val="0"/>
                  <w:vAlign w:val="center"/>
                </w:tcPr>
                <w:p w14:paraId="1F3E4567">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草地</w:t>
                  </w:r>
                </w:p>
              </w:tc>
              <w:tc>
                <w:tcPr>
                  <w:tcW w:w="210" w:type="pct"/>
                  <w:tcBorders>
                    <w:top w:val="single" w:color="auto" w:sz="4" w:space="0"/>
                  </w:tcBorders>
                  <w:noWrap w:val="0"/>
                  <w:vAlign w:val="center"/>
                </w:tcPr>
                <w:p w14:paraId="4D0C93A4">
                  <w:pPr>
                    <w:pStyle w:val="89"/>
                    <w:jc w:val="center"/>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住宅用地</w:t>
                  </w:r>
                </w:p>
              </w:tc>
              <w:tc>
                <w:tcPr>
                  <w:tcW w:w="246" w:type="pct"/>
                  <w:tcBorders>
                    <w:top w:val="single" w:color="auto" w:sz="4" w:space="0"/>
                    <w:right w:val="single" w:color="auto" w:sz="4" w:space="0"/>
                  </w:tcBorders>
                  <w:noWrap w:val="0"/>
                  <w:vAlign w:val="center"/>
                </w:tcPr>
                <w:p w14:paraId="3A275806">
                  <w:pPr>
                    <w:pStyle w:val="89"/>
                    <w:jc w:val="center"/>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交通运输用地</w:t>
                  </w:r>
                </w:p>
              </w:tc>
              <w:tc>
                <w:tcPr>
                  <w:tcW w:w="1221" w:type="pct"/>
                  <w:gridSpan w:val="5"/>
                  <w:tcBorders>
                    <w:top w:val="single" w:color="auto" w:sz="4" w:space="0"/>
                    <w:right w:val="single" w:color="auto" w:sz="4" w:space="0"/>
                  </w:tcBorders>
                  <w:noWrap w:val="0"/>
                  <w:vAlign w:val="center"/>
                </w:tcPr>
                <w:p w14:paraId="15FDE283">
                  <w:pPr>
                    <w:pStyle w:val="89"/>
                    <w:jc w:val="center"/>
                    <w:rPr>
                      <w:rFonts w:hint="default" w:ascii="Times New Roman" w:hAnsi="Times New Roman"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水域及水利设施用地</w:t>
                  </w:r>
                </w:p>
              </w:tc>
              <w:tc>
                <w:tcPr>
                  <w:tcW w:w="246" w:type="pct"/>
                  <w:tcBorders>
                    <w:top w:val="single" w:color="auto" w:sz="4" w:space="0"/>
                    <w:right w:val="single" w:color="auto" w:sz="4" w:space="0"/>
                  </w:tcBorders>
                  <w:noWrap w:val="0"/>
                  <w:vAlign w:val="center"/>
                </w:tcPr>
                <w:p w14:paraId="5FF9EB4A">
                  <w:pPr>
                    <w:pStyle w:val="89"/>
                    <w:jc w:val="center"/>
                    <w:rPr>
                      <w:rFonts w:hint="default" w:ascii="Times New Roman" w:hAnsi="Times New Roman"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其他土地</w:t>
                  </w:r>
                </w:p>
              </w:tc>
              <w:tc>
                <w:tcPr>
                  <w:tcW w:w="233" w:type="pct"/>
                  <w:vMerge w:val="restart"/>
                  <w:tcBorders>
                    <w:top w:val="single" w:color="auto" w:sz="4" w:space="0"/>
                    <w:right w:val="single" w:color="auto" w:sz="4" w:space="0"/>
                  </w:tcBorders>
                  <w:noWrap w:val="0"/>
                  <w:vAlign w:val="center"/>
                </w:tcPr>
                <w:p w14:paraId="0C6F999F">
                  <w:pPr>
                    <w:pStyle w:val="89"/>
                    <w:jc w:val="center"/>
                    <w:rPr>
                      <w:rFonts w:hint="default" w:ascii="Times New Roman" w:hAnsi="Times New Roman"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合计</w:t>
                  </w:r>
                </w:p>
              </w:tc>
            </w:tr>
            <w:tr w14:paraId="34E23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left w:val="single" w:color="auto" w:sz="4" w:space="0"/>
                  </w:tcBorders>
                  <w:noWrap/>
                  <w:vAlign w:val="center"/>
                </w:tcPr>
                <w:p w14:paraId="62D3F7B3">
                  <w:pPr>
                    <w:pStyle w:val="89"/>
                    <w:jc w:val="center"/>
                    <w:rPr>
                      <w:rFonts w:hint="default" w:ascii="Times New Roman" w:hAnsi="Times New Roman" w:cs="Times New Roman"/>
                      <w:color w:val="auto"/>
                      <w:sz w:val="18"/>
                      <w:szCs w:val="18"/>
                      <w:highlight w:val="yellow"/>
                    </w:rPr>
                  </w:pPr>
                </w:p>
              </w:tc>
              <w:tc>
                <w:tcPr>
                  <w:tcW w:w="477" w:type="pct"/>
                  <w:vMerge w:val="continue"/>
                  <w:noWrap/>
                  <w:vAlign w:val="center"/>
                </w:tcPr>
                <w:p w14:paraId="2DAE21D4">
                  <w:pPr>
                    <w:pStyle w:val="89"/>
                    <w:jc w:val="center"/>
                    <w:rPr>
                      <w:rFonts w:hint="default" w:ascii="Times New Roman" w:hAnsi="Times New Roman" w:cs="Times New Roman"/>
                      <w:color w:val="auto"/>
                      <w:sz w:val="18"/>
                      <w:szCs w:val="18"/>
                      <w:highlight w:val="yellow"/>
                    </w:rPr>
                  </w:pPr>
                </w:p>
              </w:tc>
              <w:tc>
                <w:tcPr>
                  <w:tcW w:w="332" w:type="pct"/>
                  <w:noWrap w:val="0"/>
                  <w:vAlign w:val="center"/>
                </w:tcPr>
                <w:p w14:paraId="40A8A685">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水田</w:t>
                  </w:r>
                </w:p>
              </w:tc>
              <w:tc>
                <w:tcPr>
                  <w:tcW w:w="513" w:type="pct"/>
                  <w:noWrap w:val="0"/>
                  <w:vAlign w:val="center"/>
                </w:tcPr>
                <w:p w14:paraId="7E0B923A">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旱田</w:t>
                  </w:r>
                </w:p>
              </w:tc>
              <w:tc>
                <w:tcPr>
                  <w:tcW w:w="217" w:type="pct"/>
                  <w:noWrap w:val="0"/>
                  <w:vAlign w:val="center"/>
                </w:tcPr>
                <w:p w14:paraId="3EADAB62">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乔木</w:t>
                  </w:r>
                </w:p>
                <w:p w14:paraId="6D538FC3">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林地</w:t>
                  </w:r>
                </w:p>
              </w:tc>
              <w:tc>
                <w:tcPr>
                  <w:tcW w:w="217" w:type="pct"/>
                  <w:noWrap w:val="0"/>
                  <w:vAlign w:val="center"/>
                </w:tcPr>
                <w:p w14:paraId="1079B872">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灌木</w:t>
                  </w:r>
                </w:p>
                <w:p w14:paraId="522ABF73">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林地</w:t>
                  </w:r>
                </w:p>
              </w:tc>
              <w:tc>
                <w:tcPr>
                  <w:tcW w:w="217" w:type="pct"/>
                  <w:noWrap w:val="0"/>
                  <w:vAlign w:val="center"/>
                </w:tcPr>
                <w:p w14:paraId="67E5356D">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其他</w:t>
                  </w:r>
                </w:p>
                <w:p w14:paraId="7351C3E2">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林地</w:t>
                  </w:r>
                </w:p>
              </w:tc>
              <w:tc>
                <w:tcPr>
                  <w:tcW w:w="246" w:type="pct"/>
                  <w:noWrap w:val="0"/>
                  <w:vAlign w:val="center"/>
                </w:tcPr>
                <w:p w14:paraId="46931E16">
                  <w:pPr>
                    <w:pStyle w:val="89"/>
                    <w:jc w:val="center"/>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沼泽草地</w:t>
                  </w:r>
                </w:p>
              </w:tc>
              <w:tc>
                <w:tcPr>
                  <w:tcW w:w="247" w:type="pct"/>
                  <w:noWrap w:val="0"/>
                  <w:vAlign w:val="center"/>
                </w:tcPr>
                <w:p w14:paraId="7BC9D8AA">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其他</w:t>
                  </w:r>
                </w:p>
                <w:p w14:paraId="4ADB09A4">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草地</w:t>
                  </w:r>
                </w:p>
              </w:tc>
              <w:tc>
                <w:tcPr>
                  <w:tcW w:w="210" w:type="pct"/>
                  <w:noWrap w:val="0"/>
                  <w:vAlign w:val="center"/>
                </w:tcPr>
                <w:p w14:paraId="381A85A2">
                  <w:pPr>
                    <w:pStyle w:val="89"/>
                    <w:jc w:val="center"/>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农村宅基地</w:t>
                  </w:r>
                </w:p>
              </w:tc>
              <w:tc>
                <w:tcPr>
                  <w:tcW w:w="246" w:type="pct"/>
                  <w:tcBorders>
                    <w:right w:val="single" w:color="auto" w:sz="4" w:space="0"/>
                  </w:tcBorders>
                  <w:noWrap w:val="0"/>
                  <w:vAlign w:val="center"/>
                </w:tcPr>
                <w:p w14:paraId="7B73B082">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cs="Times New Roman"/>
                      <w:color w:val="auto"/>
                      <w:sz w:val="18"/>
                      <w:szCs w:val="18"/>
                      <w:highlight w:val="yellow"/>
                      <w:lang w:val="en-US" w:eastAsia="zh-CN"/>
                    </w:rPr>
                    <w:t>农村道路</w:t>
                  </w:r>
                </w:p>
              </w:tc>
              <w:tc>
                <w:tcPr>
                  <w:tcW w:w="246" w:type="pct"/>
                  <w:tcBorders>
                    <w:right w:val="single" w:color="auto" w:sz="4" w:space="0"/>
                  </w:tcBorders>
                  <w:shd w:val="clear" w:color="auto" w:fill="auto"/>
                  <w:noWrap w:val="0"/>
                  <w:vAlign w:val="center"/>
                </w:tcPr>
                <w:p w14:paraId="4EE46E1E">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河流水面</w:t>
                  </w:r>
                </w:p>
              </w:tc>
              <w:tc>
                <w:tcPr>
                  <w:tcW w:w="282" w:type="pct"/>
                  <w:tcBorders>
                    <w:right w:val="single" w:color="auto" w:sz="4" w:space="0"/>
                  </w:tcBorders>
                  <w:shd w:val="clear" w:color="auto" w:fill="auto"/>
                  <w:noWrap w:val="0"/>
                  <w:vAlign w:val="center"/>
                </w:tcPr>
                <w:p w14:paraId="32199F04">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坑塘水面</w:t>
                  </w:r>
                </w:p>
              </w:tc>
              <w:tc>
                <w:tcPr>
                  <w:tcW w:w="218" w:type="pct"/>
                  <w:tcBorders>
                    <w:right w:val="single" w:color="auto" w:sz="4" w:space="0"/>
                  </w:tcBorders>
                  <w:shd w:val="clear" w:color="auto" w:fill="auto"/>
                  <w:noWrap w:val="0"/>
                  <w:vAlign w:val="center"/>
                </w:tcPr>
                <w:p w14:paraId="69A0F2A5">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养殖坑塘</w:t>
                  </w:r>
                </w:p>
              </w:tc>
              <w:tc>
                <w:tcPr>
                  <w:tcW w:w="218" w:type="pct"/>
                  <w:tcBorders>
                    <w:right w:val="single" w:color="auto" w:sz="4" w:space="0"/>
                  </w:tcBorders>
                  <w:shd w:val="clear" w:color="auto" w:fill="auto"/>
                  <w:noWrap w:val="0"/>
                  <w:vAlign w:val="center"/>
                </w:tcPr>
                <w:p w14:paraId="19F3A48B">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内陆滩涂</w:t>
                  </w:r>
                </w:p>
              </w:tc>
              <w:tc>
                <w:tcPr>
                  <w:tcW w:w="256" w:type="pct"/>
                  <w:tcBorders>
                    <w:right w:val="single" w:color="auto" w:sz="4" w:space="0"/>
                  </w:tcBorders>
                  <w:shd w:val="clear" w:color="auto" w:fill="auto"/>
                  <w:noWrap w:val="0"/>
                  <w:vAlign w:val="center"/>
                </w:tcPr>
                <w:p w14:paraId="040E604E">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沟渠</w:t>
                  </w:r>
                </w:p>
              </w:tc>
              <w:tc>
                <w:tcPr>
                  <w:tcW w:w="246" w:type="pct"/>
                  <w:tcBorders>
                    <w:right w:val="single" w:color="auto" w:sz="4" w:space="0"/>
                  </w:tcBorders>
                  <w:shd w:val="clear" w:color="auto" w:fill="auto"/>
                  <w:noWrap w:val="0"/>
                  <w:vAlign w:val="center"/>
                </w:tcPr>
                <w:p w14:paraId="78EA4CE2">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cs="Times New Roman"/>
                      <w:color w:val="auto"/>
                      <w:sz w:val="18"/>
                      <w:szCs w:val="18"/>
                      <w:highlight w:val="yellow"/>
                      <w:lang w:val="en-US" w:eastAsia="zh-CN"/>
                    </w:rPr>
                    <w:t>设施农用地</w:t>
                  </w:r>
                </w:p>
              </w:tc>
              <w:tc>
                <w:tcPr>
                  <w:tcW w:w="233" w:type="pct"/>
                  <w:vMerge w:val="continue"/>
                  <w:tcBorders>
                    <w:right w:val="single" w:color="auto" w:sz="4" w:space="0"/>
                  </w:tcBorders>
                  <w:noWrap w:val="0"/>
                  <w:vAlign w:val="center"/>
                </w:tcPr>
                <w:p w14:paraId="647391C2">
                  <w:pPr>
                    <w:pStyle w:val="89"/>
                    <w:jc w:val="center"/>
                    <w:rPr>
                      <w:rFonts w:hint="default" w:ascii="Times New Roman" w:hAnsi="Times New Roman" w:cs="Times New Roman"/>
                      <w:color w:val="auto"/>
                      <w:sz w:val="18"/>
                      <w:szCs w:val="18"/>
                      <w:highlight w:val="yellow"/>
                      <w:lang w:val="en-US" w:eastAsia="zh-CN"/>
                    </w:rPr>
                  </w:pPr>
                </w:p>
              </w:tc>
            </w:tr>
            <w:tr w14:paraId="56C6F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left w:val="single" w:color="auto" w:sz="4" w:space="0"/>
                  </w:tcBorders>
                  <w:noWrap/>
                  <w:vAlign w:val="center"/>
                </w:tcPr>
                <w:p w14:paraId="343747EA">
                  <w:pPr>
                    <w:pStyle w:val="89"/>
                    <w:jc w:val="center"/>
                    <w:rPr>
                      <w:rFonts w:hint="default" w:ascii="Times New Roman" w:hAnsi="Times New Roman"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永久占地</w:t>
                  </w:r>
                </w:p>
              </w:tc>
              <w:tc>
                <w:tcPr>
                  <w:tcW w:w="477" w:type="pct"/>
                  <w:noWrap/>
                  <w:vAlign w:val="center"/>
                </w:tcPr>
                <w:p w14:paraId="3C93E1ED">
                  <w:pPr>
                    <w:keepNext w:val="0"/>
                    <w:keepLines w:val="0"/>
                    <w:widowControl/>
                    <w:suppressLineNumbers w:val="0"/>
                    <w:jc w:val="center"/>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eastAsia="宋体" w:cs="Times New Roman"/>
                      <w:color w:val="auto"/>
                      <w:kern w:val="0"/>
                      <w:sz w:val="18"/>
                      <w:szCs w:val="18"/>
                      <w:highlight w:val="yellow"/>
                      <w:lang w:val="en-US" w:eastAsia="zh-CN" w:bidi="ar"/>
                    </w:rPr>
                    <w:t>工程本身占地</w:t>
                  </w:r>
                </w:p>
              </w:tc>
              <w:tc>
                <w:tcPr>
                  <w:tcW w:w="332" w:type="pct"/>
                  <w:noWrap/>
                  <w:vAlign w:val="center"/>
                </w:tcPr>
                <w:p w14:paraId="1049EB6A">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143.75</w:t>
                  </w:r>
                </w:p>
              </w:tc>
              <w:tc>
                <w:tcPr>
                  <w:tcW w:w="513" w:type="pct"/>
                  <w:noWrap/>
                  <w:vAlign w:val="center"/>
                </w:tcPr>
                <w:p w14:paraId="19CB5613">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147.09</w:t>
                  </w:r>
                </w:p>
              </w:tc>
              <w:tc>
                <w:tcPr>
                  <w:tcW w:w="217" w:type="pct"/>
                  <w:noWrap/>
                  <w:vAlign w:val="center"/>
                </w:tcPr>
                <w:p w14:paraId="7DE4A632">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 xml:space="preserve">0.70 </w:t>
                  </w:r>
                </w:p>
              </w:tc>
              <w:tc>
                <w:tcPr>
                  <w:tcW w:w="217" w:type="pct"/>
                  <w:noWrap/>
                  <w:vAlign w:val="center"/>
                </w:tcPr>
                <w:p w14:paraId="00D2A740">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 xml:space="preserve">7.22 </w:t>
                  </w:r>
                </w:p>
              </w:tc>
              <w:tc>
                <w:tcPr>
                  <w:tcW w:w="217" w:type="pct"/>
                  <w:noWrap/>
                  <w:vAlign w:val="center"/>
                </w:tcPr>
                <w:p w14:paraId="3BBEC78F">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 xml:space="preserve">0.02 </w:t>
                  </w:r>
                </w:p>
              </w:tc>
              <w:tc>
                <w:tcPr>
                  <w:tcW w:w="246" w:type="pct"/>
                  <w:noWrap/>
                  <w:vAlign w:val="center"/>
                </w:tcPr>
                <w:p w14:paraId="6AF3C8AD">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16.91</w:t>
                  </w:r>
                </w:p>
              </w:tc>
              <w:tc>
                <w:tcPr>
                  <w:tcW w:w="247" w:type="pct"/>
                  <w:noWrap/>
                  <w:vAlign w:val="center"/>
                </w:tcPr>
                <w:p w14:paraId="0DE66DD6">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27.83</w:t>
                  </w:r>
                </w:p>
              </w:tc>
              <w:tc>
                <w:tcPr>
                  <w:tcW w:w="210" w:type="pct"/>
                  <w:noWrap/>
                  <w:vAlign w:val="center"/>
                </w:tcPr>
                <w:p w14:paraId="14131842">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0.47</w:t>
                  </w:r>
                </w:p>
              </w:tc>
              <w:tc>
                <w:tcPr>
                  <w:tcW w:w="246" w:type="pct"/>
                  <w:tcBorders>
                    <w:right w:val="single" w:color="auto" w:sz="4" w:space="0"/>
                  </w:tcBorders>
                  <w:noWrap/>
                  <w:vAlign w:val="center"/>
                </w:tcPr>
                <w:p w14:paraId="5202E875">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15.68</w:t>
                  </w:r>
                </w:p>
              </w:tc>
              <w:tc>
                <w:tcPr>
                  <w:tcW w:w="246" w:type="pct"/>
                  <w:tcBorders>
                    <w:right w:val="single" w:color="auto" w:sz="4" w:space="0"/>
                  </w:tcBorders>
                  <w:shd w:val="clear" w:color="auto" w:fill="auto"/>
                  <w:noWrap/>
                  <w:vAlign w:val="center"/>
                </w:tcPr>
                <w:p w14:paraId="7975385E">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34.76</w:t>
                  </w:r>
                </w:p>
              </w:tc>
              <w:tc>
                <w:tcPr>
                  <w:tcW w:w="282" w:type="pct"/>
                  <w:tcBorders>
                    <w:right w:val="single" w:color="auto" w:sz="4" w:space="0"/>
                  </w:tcBorders>
                  <w:shd w:val="clear" w:color="auto" w:fill="auto"/>
                  <w:noWrap/>
                  <w:vAlign w:val="center"/>
                </w:tcPr>
                <w:p w14:paraId="36E2A8DF">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205.60</w:t>
                  </w:r>
                </w:p>
              </w:tc>
              <w:tc>
                <w:tcPr>
                  <w:tcW w:w="218" w:type="pct"/>
                  <w:tcBorders>
                    <w:right w:val="single" w:color="auto" w:sz="4" w:space="0"/>
                  </w:tcBorders>
                  <w:shd w:val="clear" w:color="auto" w:fill="auto"/>
                  <w:noWrap/>
                  <w:vAlign w:val="center"/>
                </w:tcPr>
                <w:p w14:paraId="5455995A">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kern w:val="2"/>
                      <w:sz w:val="18"/>
                      <w:szCs w:val="18"/>
                      <w:highlight w:val="yellow"/>
                      <w:lang w:val="en-US" w:eastAsia="zh-CN" w:bidi="ar-SA"/>
                    </w:rPr>
                    <w:t>0.97</w:t>
                  </w:r>
                </w:p>
              </w:tc>
              <w:tc>
                <w:tcPr>
                  <w:tcW w:w="218" w:type="pct"/>
                  <w:tcBorders>
                    <w:right w:val="single" w:color="auto" w:sz="4" w:space="0"/>
                  </w:tcBorders>
                  <w:shd w:val="clear" w:color="auto" w:fill="auto"/>
                  <w:noWrap/>
                  <w:vAlign w:val="center"/>
                </w:tcPr>
                <w:p w14:paraId="14020CB5">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kern w:val="2"/>
                      <w:sz w:val="18"/>
                      <w:szCs w:val="18"/>
                      <w:highlight w:val="yellow"/>
                      <w:lang w:val="en-US" w:eastAsia="zh-CN" w:bidi="ar-SA"/>
                    </w:rPr>
                    <w:t>6.01</w:t>
                  </w:r>
                </w:p>
              </w:tc>
              <w:tc>
                <w:tcPr>
                  <w:tcW w:w="256" w:type="pct"/>
                  <w:tcBorders>
                    <w:right w:val="single" w:color="auto" w:sz="4" w:space="0"/>
                  </w:tcBorders>
                  <w:shd w:val="clear" w:color="auto" w:fill="auto"/>
                  <w:noWrap/>
                  <w:vAlign w:val="center"/>
                </w:tcPr>
                <w:p w14:paraId="526B663D">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kern w:val="2"/>
                      <w:sz w:val="18"/>
                      <w:szCs w:val="18"/>
                      <w:highlight w:val="yellow"/>
                      <w:lang w:val="en-US" w:eastAsia="zh-CN" w:bidi="ar-SA"/>
                    </w:rPr>
                    <w:t>51.80</w:t>
                  </w:r>
                </w:p>
              </w:tc>
              <w:tc>
                <w:tcPr>
                  <w:tcW w:w="246" w:type="pct"/>
                  <w:tcBorders>
                    <w:right w:val="single" w:color="auto" w:sz="4" w:space="0"/>
                  </w:tcBorders>
                  <w:shd w:val="clear" w:color="auto" w:fill="auto"/>
                  <w:noWrap/>
                  <w:vAlign w:val="center"/>
                </w:tcPr>
                <w:p w14:paraId="5A011691">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32.39</w:t>
                  </w:r>
                </w:p>
              </w:tc>
              <w:tc>
                <w:tcPr>
                  <w:tcW w:w="233" w:type="pct"/>
                  <w:tcBorders>
                    <w:right w:val="single" w:color="auto" w:sz="4" w:space="0"/>
                  </w:tcBorders>
                  <w:shd w:val="clear" w:color="auto" w:fill="auto"/>
                  <w:noWrap/>
                  <w:vAlign w:val="center"/>
                </w:tcPr>
                <w:p w14:paraId="41D2B35B">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875.63</w:t>
                  </w:r>
                </w:p>
              </w:tc>
            </w:tr>
            <w:tr w14:paraId="26EF0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restart"/>
                  <w:tcBorders>
                    <w:left w:val="single" w:color="auto" w:sz="4" w:space="0"/>
                  </w:tcBorders>
                  <w:noWrap/>
                  <w:vAlign w:val="center"/>
                </w:tcPr>
                <w:p w14:paraId="13CEB542">
                  <w:pPr>
                    <w:pStyle w:val="89"/>
                    <w:jc w:val="center"/>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临时占地</w:t>
                  </w:r>
                </w:p>
              </w:tc>
              <w:tc>
                <w:tcPr>
                  <w:tcW w:w="477" w:type="pct"/>
                  <w:noWrap/>
                  <w:vAlign w:val="center"/>
                </w:tcPr>
                <w:p w14:paraId="55C8642F">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cs="Times New Roman"/>
                      <w:color w:val="auto"/>
                      <w:sz w:val="18"/>
                      <w:szCs w:val="18"/>
                      <w:highlight w:val="yellow"/>
                    </w:rPr>
                  </w:pPr>
                  <w:r>
                    <w:rPr>
                      <w:rFonts w:hint="default" w:ascii="Times New Roman" w:hAnsi="Times New Roman" w:cs="Times New Roman"/>
                      <w:color w:val="auto"/>
                      <w:kern w:val="0"/>
                      <w:sz w:val="18"/>
                      <w:szCs w:val="18"/>
                      <w:highlight w:val="yellow"/>
                      <w:lang w:val="en-US" w:eastAsia="zh-CN"/>
                    </w:rPr>
                    <w:t>施工生产生活区</w:t>
                  </w:r>
                </w:p>
              </w:tc>
              <w:tc>
                <w:tcPr>
                  <w:tcW w:w="332" w:type="pct"/>
                  <w:noWrap/>
                  <w:vAlign w:val="center"/>
                </w:tcPr>
                <w:p w14:paraId="4A5F8DCC">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513" w:type="pct"/>
                  <w:noWrap/>
                  <w:vAlign w:val="center"/>
                </w:tcPr>
                <w:p w14:paraId="5EA522F9">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13.50</w:t>
                  </w:r>
                </w:p>
              </w:tc>
              <w:tc>
                <w:tcPr>
                  <w:tcW w:w="217" w:type="pct"/>
                  <w:noWrap/>
                  <w:vAlign w:val="center"/>
                </w:tcPr>
                <w:p w14:paraId="6888E44E">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2526E39D">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02562616">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noWrap/>
                  <w:vAlign w:val="center"/>
                </w:tcPr>
                <w:p w14:paraId="46C55192">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47" w:type="pct"/>
                  <w:noWrap/>
                  <w:vAlign w:val="center"/>
                </w:tcPr>
                <w:p w14:paraId="47512717">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0" w:type="pct"/>
                  <w:noWrap/>
                  <w:vAlign w:val="center"/>
                </w:tcPr>
                <w:p w14:paraId="5AF3FAD2">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1571629D">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396E44A4">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82" w:type="pct"/>
                  <w:tcBorders>
                    <w:right w:val="single" w:color="auto" w:sz="4" w:space="0"/>
                  </w:tcBorders>
                  <w:noWrap/>
                  <w:vAlign w:val="center"/>
                </w:tcPr>
                <w:p w14:paraId="2CAE7385">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33DA8315">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3B5C0875">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56" w:type="pct"/>
                  <w:tcBorders>
                    <w:right w:val="single" w:color="auto" w:sz="4" w:space="0"/>
                  </w:tcBorders>
                  <w:noWrap/>
                  <w:vAlign w:val="center"/>
                </w:tcPr>
                <w:p w14:paraId="1497420D">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437CE034">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33" w:type="pct"/>
                  <w:tcBorders>
                    <w:right w:val="single" w:color="auto" w:sz="4" w:space="0"/>
                  </w:tcBorders>
                  <w:noWrap/>
                  <w:vAlign w:val="center"/>
                </w:tcPr>
                <w:p w14:paraId="445FC694">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r>
            <w:tr w14:paraId="043DC7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left w:val="single" w:color="auto" w:sz="4" w:space="0"/>
                  </w:tcBorders>
                  <w:noWrap/>
                  <w:vAlign w:val="center"/>
                </w:tcPr>
                <w:p w14:paraId="50B57424">
                  <w:pPr>
                    <w:pStyle w:val="89"/>
                    <w:jc w:val="center"/>
                    <w:rPr>
                      <w:rFonts w:hint="default" w:ascii="Times New Roman" w:hAnsi="Times New Roman" w:cs="Times New Roman"/>
                      <w:color w:val="auto"/>
                      <w:sz w:val="18"/>
                      <w:szCs w:val="18"/>
                      <w:highlight w:val="yellow"/>
                    </w:rPr>
                  </w:pPr>
                </w:p>
              </w:tc>
              <w:tc>
                <w:tcPr>
                  <w:tcW w:w="477" w:type="pct"/>
                  <w:noWrap/>
                  <w:vAlign w:val="center"/>
                </w:tcPr>
                <w:p w14:paraId="7363F618">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sz w:val="18"/>
                      <w:szCs w:val="18"/>
                      <w:highlight w:val="yellow"/>
                      <w:lang w:val="en-US" w:eastAsia="zh-CN"/>
                    </w:rPr>
                    <w:t>防洪墙施工临时占地</w:t>
                  </w:r>
                </w:p>
              </w:tc>
              <w:tc>
                <w:tcPr>
                  <w:tcW w:w="332" w:type="pct"/>
                  <w:noWrap/>
                  <w:vAlign w:val="center"/>
                </w:tcPr>
                <w:p w14:paraId="47E3A66A">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513" w:type="pct"/>
                  <w:noWrap/>
                  <w:vAlign w:val="center"/>
                </w:tcPr>
                <w:p w14:paraId="13111530">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20.40</w:t>
                  </w:r>
                </w:p>
              </w:tc>
              <w:tc>
                <w:tcPr>
                  <w:tcW w:w="217" w:type="pct"/>
                  <w:noWrap/>
                  <w:vAlign w:val="center"/>
                </w:tcPr>
                <w:p w14:paraId="16511DA5">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6330B8AE">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54904BC9">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noWrap/>
                  <w:vAlign w:val="center"/>
                </w:tcPr>
                <w:p w14:paraId="1BDF5F93">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47" w:type="pct"/>
                  <w:noWrap/>
                  <w:vAlign w:val="center"/>
                </w:tcPr>
                <w:p w14:paraId="5D68F3FC">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0" w:type="pct"/>
                  <w:noWrap/>
                  <w:vAlign w:val="center"/>
                </w:tcPr>
                <w:p w14:paraId="3D31A173">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4FB854DD">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6DFEF773">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82" w:type="pct"/>
                  <w:tcBorders>
                    <w:right w:val="single" w:color="auto" w:sz="4" w:space="0"/>
                  </w:tcBorders>
                  <w:noWrap/>
                  <w:vAlign w:val="center"/>
                </w:tcPr>
                <w:p w14:paraId="6DFE825F">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29C27D41">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4609C8F8">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56" w:type="pct"/>
                  <w:tcBorders>
                    <w:right w:val="single" w:color="auto" w:sz="4" w:space="0"/>
                  </w:tcBorders>
                  <w:noWrap/>
                  <w:vAlign w:val="center"/>
                </w:tcPr>
                <w:p w14:paraId="2155EA25">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02F21153">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33" w:type="pct"/>
                  <w:tcBorders>
                    <w:right w:val="single" w:color="auto" w:sz="4" w:space="0"/>
                  </w:tcBorders>
                  <w:noWrap/>
                  <w:vAlign w:val="center"/>
                </w:tcPr>
                <w:p w14:paraId="2966620F">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r>
            <w:tr w14:paraId="4BACB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left w:val="single" w:color="auto" w:sz="4" w:space="0"/>
                  </w:tcBorders>
                  <w:noWrap/>
                  <w:vAlign w:val="center"/>
                </w:tcPr>
                <w:p w14:paraId="6A8A24C7">
                  <w:pPr>
                    <w:pStyle w:val="89"/>
                    <w:jc w:val="center"/>
                    <w:rPr>
                      <w:rFonts w:hint="default" w:ascii="Times New Roman" w:hAnsi="Times New Roman" w:cs="Times New Roman"/>
                      <w:color w:val="auto"/>
                      <w:sz w:val="18"/>
                      <w:szCs w:val="18"/>
                      <w:highlight w:val="yellow"/>
                    </w:rPr>
                  </w:pPr>
                </w:p>
              </w:tc>
              <w:tc>
                <w:tcPr>
                  <w:tcW w:w="477" w:type="pct"/>
                  <w:noWrap/>
                  <w:vAlign w:val="center"/>
                </w:tcPr>
                <w:p w14:paraId="4FF79B9E">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kern w:val="0"/>
                      <w:sz w:val="18"/>
                      <w:szCs w:val="18"/>
                      <w:highlight w:val="yellow"/>
                      <w:lang w:val="en-US" w:eastAsia="zh-CN"/>
                    </w:rPr>
                    <w:t>表土暂存场</w:t>
                  </w:r>
                </w:p>
              </w:tc>
              <w:tc>
                <w:tcPr>
                  <w:tcW w:w="332" w:type="pct"/>
                  <w:noWrap/>
                  <w:vAlign w:val="center"/>
                </w:tcPr>
                <w:p w14:paraId="511220E6">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513" w:type="pct"/>
                  <w:noWrap/>
                  <w:vAlign w:val="center"/>
                </w:tcPr>
                <w:p w14:paraId="334EDD6D">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29.25</w:t>
                  </w:r>
                </w:p>
              </w:tc>
              <w:tc>
                <w:tcPr>
                  <w:tcW w:w="217" w:type="pct"/>
                  <w:noWrap/>
                  <w:vAlign w:val="center"/>
                </w:tcPr>
                <w:p w14:paraId="5809F438">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12B3BABF">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0EF05CA2">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noWrap/>
                  <w:vAlign w:val="center"/>
                </w:tcPr>
                <w:p w14:paraId="73207774">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7" w:type="pct"/>
                  <w:noWrap/>
                  <w:vAlign w:val="center"/>
                </w:tcPr>
                <w:p w14:paraId="425D8869">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0" w:type="pct"/>
                  <w:noWrap/>
                  <w:vAlign w:val="center"/>
                </w:tcPr>
                <w:p w14:paraId="4EE648ED">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1AFED0F1">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0558F1CA">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82" w:type="pct"/>
                  <w:tcBorders>
                    <w:right w:val="single" w:color="auto" w:sz="4" w:space="0"/>
                  </w:tcBorders>
                  <w:noWrap/>
                  <w:vAlign w:val="center"/>
                </w:tcPr>
                <w:p w14:paraId="43B4FDAF">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6CF47C81">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71C6AA20">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56" w:type="pct"/>
                  <w:tcBorders>
                    <w:right w:val="single" w:color="auto" w:sz="4" w:space="0"/>
                  </w:tcBorders>
                  <w:noWrap/>
                  <w:vAlign w:val="center"/>
                </w:tcPr>
                <w:p w14:paraId="44B88C5C">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79901CE0">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33" w:type="pct"/>
                  <w:tcBorders>
                    <w:right w:val="single" w:color="auto" w:sz="4" w:space="0"/>
                  </w:tcBorders>
                  <w:noWrap/>
                  <w:vAlign w:val="center"/>
                </w:tcPr>
                <w:p w14:paraId="1A2FE52B">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r>
            <w:tr w14:paraId="49C11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left w:val="single" w:color="auto" w:sz="4" w:space="0"/>
                  </w:tcBorders>
                  <w:noWrap/>
                  <w:vAlign w:val="center"/>
                </w:tcPr>
                <w:p w14:paraId="06DED764">
                  <w:pPr>
                    <w:pStyle w:val="89"/>
                    <w:jc w:val="center"/>
                    <w:rPr>
                      <w:rFonts w:hint="default" w:ascii="Times New Roman" w:hAnsi="Times New Roman" w:cs="Times New Roman"/>
                      <w:color w:val="auto"/>
                      <w:sz w:val="18"/>
                      <w:szCs w:val="18"/>
                      <w:highlight w:val="yellow"/>
                    </w:rPr>
                  </w:pPr>
                </w:p>
              </w:tc>
              <w:tc>
                <w:tcPr>
                  <w:tcW w:w="477" w:type="pct"/>
                  <w:shd w:val="clear"/>
                  <w:noWrap/>
                  <w:vAlign w:val="center"/>
                </w:tcPr>
                <w:p w14:paraId="5D46AA60">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kern w:val="0"/>
                      <w:sz w:val="18"/>
                      <w:szCs w:val="18"/>
                      <w:highlight w:val="yellow"/>
                      <w:lang w:val="en-US" w:eastAsia="zh-CN" w:bidi="ar"/>
                    </w:rPr>
                  </w:pPr>
                  <w:r>
                    <w:rPr>
                      <w:rFonts w:hint="default" w:ascii="Times New Roman" w:hAnsi="Times New Roman" w:cs="Times New Roman"/>
                      <w:color w:val="auto"/>
                      <w:kern w:val="0"/>
                      <w:sz w:val="18"/>
                      <w:szCs w:val="18"/>
                      <w:highlight w:val="yellow"/>
                    </w:rPr>
                    <w:t>临时道路</w:t>
                  </w:r>
                </w:p>
              </w:tc>
              <w:tc>
                <w:tcPr>
                  <w:tcW w:w="332" w:type="pct"/>
                  <w:shd w:val="clear"/>
                  <w:noWrap/>
                  <w:vAlign w:val="center"/>
                </w:tcPr>
                <w:p w14:paraId="040E8061">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513" w:type="pct"/>
                  <w:shd w:val="clear"/>
                  <w:noWrap/>
                  <w:vAlign w:val="center"/>
                </w:tcPr>
                <w:p w14:paraId="4BB32BFC">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200.40</w:t>
                  </w:r>
                </w:p>
              </w:tc>
              <w:tc>
                <w:tcPr>
                  <w:tcW w:w="217" w:type="pct"/>
                  <w:noWrap/>
                  <w:vAlign w:val="center"/>
                </w:tcPr>
                <w:p w14:paraId="5221C0DD">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40DDC16B">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11E47C35">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noWrap/>
                  <w:vAlign w:val="center"/>
                </w:tcPr>
                <w:p w14:paraId="31D0CBA0">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7" w:type="pct"/>
                  <w:noWrap/>
                  <w:vAlign w:val="center"/>
                </w:tcPr>
                <w:p w14:paraId="3FC5FBFA">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0" w:type="pct"/>
                  <w:noWrap/>
                  <w:vAlign w:val="center"/>
                </w:tcPr>
                <w:p w14:paraId="2DCD99C9">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1428D9B7">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5B4CB0EB">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82" w:type="pct"/>
                  <w:tcBorders>
                    <w:right w:val="single" w:color="auto" w:sz="4" w:space="0"/>
                  </w:tcBorders>
                  <w:noWrap/>
                  <w:vAlign w:val="center"/>
                </w:tcPr>
                <w:p w14:paraId="2B380A08">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3F3C89A9">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173E4CDA">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56" w:type="pct"/>
                  <w:tcBorders>
                    <w:right w:val="single" w:color="auto" w:sz="4" w:space="0"/>
                  </w:tcBorders>
                  <w:noWrap/>
                  <w:vAlign w:val="center"/>
                </w:tcPr>
                <w:p w14:paraId="73A08374">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2BEA0F0B">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33" w:type="pct"/>
                  <w:tcBorders>
                    <w:right w:val="single" w:color="auto" w:sz="4" w:space="0"/>
                  </w:tcBorders>
                  <w:noWrap/>
                  <w:vAlign w:val="center"/>
                </w:tcPr>
                <w:p w14:paraId="534EF9D9">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r>
            <w:tr w14:paraId="0C664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left w:val="single" w:color="auto" w:sz="4" w:space="0"/>
                  </w:tcBorders>
                  <w:noWrap/>
                  <w:vAlign w:val="center"/>
                </w:tcPr>
                <w:p w14:paraId="40D03B06">
                  <w:pPr>
                    <w:pStyle w:val="89"/>
                    <w:jc w:val="center"/>
                    <w:rPr>
                      <w:rFonts w:hint="default" w:ascii="Times New Roman" w:hAnsi="Times New Roman" w:cs="Times New Roman"/>
                      <w:color w:val="auto"/>
                      <w:sz w:val="18"/>
                      <w:szCs w:val="18"/>
                      <w:highlight w:val="yellow"/>
                    </w:rPr>
                  </w:pPr>
                </w:p>
              </w:tc>
              <w:tc>
                <w:tcPr>
                  <w:tcW w:w="477" w:type="pct"/>
                  <w:noWrap/>
                  <w:vAlign w:val="center"/>
                </w:tcPr>
                <w:p w14:paraId="5FEE0C35">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kern w:val="0"/>
                      <w:sz w:val="18"/>
                      <w:szCs w:val="18"/>
                      <w:highlight w:val="yellow"/>
                      <w:lang w:val="en-US" w:eastAsia="zh-CN" w:bidi="ar"/>
                    </w:rPr>
                  </w:pPr>
                  <w:r>
                    <w:rPr>
                      <w:rFonts w:hint="eastAsia" w:cs="Times New Roman"/>
                      <w:color w:val="auto"/>
                      <w:kern w:val="0"/>
                      <w:sz w:val="18"/>
                      <w:szCs w:val="18"/>
                      <w:highlight w:val="yellow"/>
                      <w:lang w:val="en-US" w:eastAsia="zh-CN" w:bidi="ar"/>
                    </w:rPr>
                    <w:t>取土场</w:t>
                  </w:r>
                </w:p>
              </w:tc>
              <w:tc>
                <w:tcPr>
                  <w:tcW w:w="332" w:type="pct"/>
                  <w:noWrap/>
                  <w:vAlign w:val="center"/>
                </w:tcPr>
                <w:p w14:paraId="2C3DF39C">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513" w:type="pct"/>
                  <w:noWrap/>
                  <w:vAlign w:val="center"/>
                </w:tcPr>
                <w:p w14:paraId="37CA81E3">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252623E6">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3609F377">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2DFB21E2">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noWrap/>
                  <w:vAlign w:val="center"/>
                </w:tcPr>
                <w:p w14:paraId="63E9C509">
                  <w:pPr>
                    <w:keepNext w:val="0"/>
                    <w:keepLines w:val="0"/>
                    <w:pageBreakBefore w:val="0"/>
                    <w:widowControl/>
                    <w:kinsoku/>
                    <w:wordWrap/>
                    <w:overflowPunct/>
                    <w:topLinePunct w:val="0"/>
                    <w:autoSpaceDE/>
                    <w:autoSpaceDN/>
                    <w:bidi w:val="0"/>
                    <w:adjustRightInd/>
                    <w:snapToGrid w:val="0"/>
                    <w:ind w:firstLine="0" w:firstLineChars="0"/>
                    <w:jc w:val="both"/>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7" w:type="pct"/>
                  <w:noWrap/>
                  <w:vAlign w:val="center"/>
                </w:tcPr>
                <w:p w14:paraId="6BD8738B">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0" w:type="pct"/>
                  <w:noWrap/>
                  <w:vAlign w:val="center"/>
                </w:tcPr>
                <w:p w14:paraId="5EFFFA69">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62072A66">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12256AFF">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82" w:type="pct"/>
                  <w:tcBorders>
                    <w:right w:val="single" w:color="auto" w:sz="4" w:space="0"/>
                  </w:tcBorders>
                  <w:noWrap/>
                  <w:vAlign w:val="center"/>
                </w:tcPr>
                <w:p w14:paraId="04FDA684">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r>
                    <w:rPr>
                      <w:rFonts w:hint="eastAsia" w:cs="Times New Roman"/>
                      <w:color w:val="auto"/>
                      <w:spacing w:val="-4"/>
                      <w:kern w:val="2"/>
                      <w:sz w:val="18"/>
                      <w:szCs w:val="18"/>
                      <w:highlight w:val="yellow"/>
                      <w:lang w:val="en-US" w:eastAsia="zh-CN" w:bidi="ar-SA"/>
                    </w:rPr>
                    <w:t>720</w:t>
                  </w:r>
                </w:p>
              </w:tc>
              <w:tc>
                <w:tcPr>
                  <w:tcW w:w="218" w:type="pct"/>
                  <w:tcBorders>
                    <w:right w:val="single" w:color="auto" w:sz="4" w:space="0"/>
                  </w:tcBorders>
                  <w:noWrap/>
                  <w:vAlign w:val="center"/>
                </w:tcPr>
                <w:p w14:paraId="46DA6320">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4C61FA4C">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56" w:type="pct"/>
                  <w:tcBorders>
                    <w:right w:val="single" w:color="auto" w:sz="4" w:space="0"/>
                  </w:tcBorders>
                  <w:noWrap/>
                  <w:vAlign w:val="center"/>
                </w:tcPr>
                <w:p w14:paraId="7D2E0B40">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5B5335A5">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33" w:type="pct"/>
                  <w:tcBorders>
                    <w:right w:val="single" w:color="auto" w:sz="4" w:space="0"/>
                  </w:tcBorders>
                  <w:noWrap/>
                  <w:vAlign w:val="center"/>
                </w:tcPr>
                <w:p w14:paraId="3B7C1E11">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r>
            <w:tr w14:paraId="37489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left w:val="single" w:color="auto" w:sz="4" w:space="0"/>
                  </w:tcBorders>
                  <w:noWrap/>
                  <w:vAlign w:val="center"/>
                </w:tcPr>
                <w:p w14:paraId="2EA2B12F">
                  <w:pPr>
                    <w:pStyle w:val="89"/>
                    <w:jc w:val="center"/>
                    <w:rPr>
                      <w:rFonts w:hint="default" w:ascii="Times New Roman" w:hAnsi="Times New Roman" w:cs="Times New Roman"/>
                      <w:color w:val="auto"/>
                      <w:sz w:val="18"/>
                      <w:szCs w:val="18"/>
                      <w:highlight w:val="yellow"/>
                    </w:rPr>
                  </w:pPr>
                </w:p>
              </w:tc>
              <w:tc>
                <w:tcPr>
                  <w:tcW w:w="477" w:type="pct"/>
                  <w:noWrap/>
                  <w:vAlign w:val="center"/>
                </w:tcPr>
                <w:p w14:paraId="7B4C919C">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cs="Times New Roman"/>
                      <w:color w:val="auto"/>
                      <w:kern w:val="0"/>
                      <w:sz w:val="18"/>
                      <w:szCs w:val="18"/>
                      <w:highlight w:val="yellow"/>
                      <w:lang w:val="en-US" w:eastAsia="zh-CN" w:bidi="ar"/>
                    </w:rPr>
                  </w:pPr>
                  <w:r>
                    <w:rPr>
                      <w:rFonts w:hint="eastAsia" w:cs="Times New Roman"/>
                      <w:color w:val="auto"/>
                      <w:kern w:val="0"/>
                      <w:sz w:val="18"/>
                      <w:szCs w:val="18"/>
                      <w:highlight w:val="yellow"/>
                      <w:lang w:val="en-US" w:eastAsia="zh-CN" w:bidi="ar"/>
                    </w:rPr>
                    <w:t>小计</w:t>
                  </w:r>
                </w:p>
              </w:tc>
              <w:tc>
                <w:tcPr>
                  <w:tcW w:w="332" w:type="pct"/>
                  <w:noWrap/>
                  <w:vAlign w:val="center"/>
                </w:tcPr>
                <w:p w14:paraId="446071BD">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513" w:type="pct"/>
                  <w:noWrap/>
                  <w:vAlign w:val="center"/>
                </w:tcPr>
                <w:p w14:paraId="0C9B567B">
                  <w:pPr>
                    <w:keepNext w:val="0"/>
                    <w:keepLines w:val="0"/>
                    <w:pageBreakBefore w:val="0"/>
                    <w:widowControl/>
                    <w:tabs>
                      <w:tab w:val="left" w:pos="505"/>
                    </w:tabs>
                    <w:kinsoku/>
                    <w:wordWrap/>
                    <w:overflowPunct/>
                    <w:topLinePunct w:val="0"/>
                    <w:autoSpaceDE/>
                    <w:autoSpaceDN/>
                    <w:bidi w:val="0"/>
                    <w:adjustRightInd/>
                    <w:snapToGrid w:val="0"/>
                    <w:ind w:firstLine="0" w:firstLineChars="0"/>
                    <w:jc w:val="left"/>
                    <w:textAlignment w:val="auto"/>
                    <w:rPr>
                      <w:rFonts w:hint="default" w:ascii="Times New Roman" w:hAnsi="Times New Roman" w:eastAsia="宋体" w:cs="Times New Roman"/>
                      <w:color w:val="auto"/>
                      <w:spacing w:val="-4"/>
                      <w:kern w:val="2"/>
                      <w:sz w:val="18"/>
                      <w:szCs w:val="18"/>
                      <w:highlight w:val="yellow"/>
                      <w:lang w:val="en-US" w:eastAsia="zh-CN" w:bidi="ar-SA"/>
                    </w:rPr>
                  </w:pPr>
                  <w:r>
                    <w:rPr>
                      <w:rFonts w:hint="eastAsia" w:cs="Times New Roman"/>
                      <w:color w:val="auto"/>
                      <w:spacing w:val="-4"/>
                      <w:kern w:val="2"/>
                      <w:sz w:val="18"/>
                      <w:szCs w:val="18"/>
                      <w:highlight w:val="yellow"/>
                      <w:lang w:val="en-US" w:eastAsia="zh-CN" w:bidi="ar-SA"/>
                    </w:rPr>
                    <w:t>263.55</w:t>
                  </w:r>
                </w:p>
              </w:tc>
              <w:tc>
                <w:tcPr>
                  <w:tcW w:w="217" w:type="pct"/>
                  <w:noWrap/>
                  <w:vAlign w:val="center"/>
                </w:tcPr>
                <w:p w14:paraId="132E9345">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1912D20C">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17" w:type="pct"/>
                  <w:noWrap/>
                  <w:vAlign w:val="center"/>
                </w:tcPr>
                <w:p w14:paraId="57347F94">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noWrap/>
                  <w:vAlign w:val="center"/>
                </w:tcPr>
                <w:p w14:paraId="7372B75E">
                  <w:pPr>
                    <w:keepNext w:val="0"/>
                    <w:keepLines w:val="0"/>
                    <w:pageBreakBefore w:val="0"/>
                    <w:widowControl/>
                    <w:kinsoku/>
                    <w:wordWrap/>
                    <w:overflowPunct/>
                    <w:topLinePunct w:val="0"/>
                    <w:autoSpaceDE/>
                    <w:autoSpaceDN/>
                    <w:bidi w:val="0"/>
                    <w:adjustRightInd/>
                    <w:snapToGrid w:val="0"/>
                    <w:ind w:firstLine="0" w:firstLineChars="0"/>
                    <w:jc w:val="both"/>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7" w:type="pct"/>
                  <w:noWrap/>
                  <w:vAlign w:val="center"/>
                </w:tcPr>
                <w:p w14:paraId="6179885C">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0" w:type="pct"/>
                  <w:noWrap/>
                  <w:vAlign w:val="center"/>
                </w:tcPr>
                <w:p w14:paraId="124F733B">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73F15CF0">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4E5B403F">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82" w:type="pct"/>
                  <w:tcBorders>
                    <w:right w:val="single" w:color="auto" w:sz="4" w:space="0"/>
                  </w:tcBorders>
                  <w:noWrap/>
                  <w:vAlign w:val="center"/>
                </w:tcPr>
                <w:p w14:paraId="33A45165">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cs="Times New Roman"/>
                      <w:color w:val="auto"/>
                      <w:spacing w:val="-4"/>
                      <w:kern w:val="2"/>
                      <w:sz w:val="18"/>
                      <w:szCs w:val="18"/>
                      <w:highlight w:val="yellow"/>
                      <w:lang w:val="en-US" w:eastAsia="zh-CN" w:bidi="ar-SA"/>
                    </w:rPr>
                  </w:pPr>
                  <w:r>
                    <w:rPr>
                      <w:rFonts w:hint="eastAsia" w:cs="Times New Roman"/>
                      <w:color w:val="auto"/>
                      <w:spacing w:val="-4"/>
                      <w:kern w:val="2"/>
                      <w:sz w:val="18"/>
                      <w:szCs w:val="18"/>
                      <w:highlight w:val="yellow"/>
                      <w:lang w:val="en-US" w:eastAsia="zh-CN" w:bidi="ar-SA"/>
                    </w:rPr>
                    <w:t>720</w:t>
                  </w:r>
                </w:p>
              </w:tc>
              <w:tc>
                <w:tcPr>
                  <w:tcW w:w="218" w:type="pct"/>
                  <w:tcBorders>
                    <w:right w:val="single" w:color="auto" w:sz="4" w:space="0"/>
                  </w:tcBorders>
                  <w:noWrap/>
                  <w:vAlign w:val="center"/>
                </w:tcPr>
                <w:p w14:paraId="3564FE39">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18" w:type="pct"/>
                  <w:tcBorders>
                    <w:right w:val="single" w:color="auto" w:sz="4" w:space="0"/>
                  </w:tcBorders>
                  <w:noWrap/>
                  <w:vAlign w:val="center"/>
                </w:tcPr>
                <w:p w14:paraId="5E208D89">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56" w:type="pct"/>
                  <w:tcBorders>
                    <w:right w:val="single" w:color="auto" w:sz="4" w:space="0"/>
                  </w:tcBorders>
                  <w:noWrap/>
                  <w:vAlign w:val="center"/>
                </w:tcPr>
                <w:p w14:paraId="56694130">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46" w:type="pct"/>
                  <w:tcBorders>
                    <w:right w:val="single" w:color="auto" w:sz="4" w:space="0"/>
                  </w:tcBorders>
                  <w:noWrap/>
                  <w:vAlign w:val="center"/>
                </w:tcPr>
                <w:p w14:paraId="202A5204">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p>
              </w:tc>
              <w:tc>
                <w:tcPr>
                  <w:tcW w:w="233" w:type="pct"/>
                  <w:tcBorders>
                    <w:right w:val="single" w:color="auto" w:sz="4" w:space="0"/>
                  </w:tcBorders>
                  <w:noWrap/>
                  <w:vAlign w:val="center"/>
                </w:tcPr>
                <w:p w14:paraId="27C384B4">
                  <w:pPr>
                    <w:keepNext w:val="0"/>
                    <w:keepLines w:val="0"/>
                    <w:pageBreakBefore w:val="0"/>
                    <w:widowControl/>
                    <w:kinsoku/>
                    <w:wordWrap/>
                    <w:overflowPunct/>
                    <w:topLinePunct w:val="0"/>
                    <w:autoSpaceDE/>
                    <w:autoSpaceDN/>
                    <w:bidi w:val="0"/>
                    <w:adjustRightInd/>
                    <w:snapToGrid w:val="0"/>
                    <w:ind w:firstLine="0" w:firstLineChars="0"/>
                    <w:jc w:val="center"/>
                    <w:textAlignment w:val="auto"/>
                    <w:rPr>
                      <w:rFonts w:hint="default" w:ascii="Times New Roman" w:hAnsi="Times New Roman" w:eastAsia="宋体" w:cs="Times New Roman"/>
                      <w:color w:val="auto"/>
                      <w:spacing w:val="-4"/>
                      <w:kern w:val="2"/>
                      <w:sz w:val="18"/>
                      <w:szCs w:val="18"/>
                      <w:highlight w:val="yellow"/>
                      <w:lang w:val="en-US" w:eastAsia="zh-CN" w:bidi="ar-SA"/>
                    </w:rPr>
                  </w:pPr>
                  <w:r>
                    <w:rPr>
                      <w:rFonts w:hint="eastAsia" w:cs="Times New Roman"/>
                      <w:color w:val="auto"/>
                      <w:spacing w:val="-4"/>
                      <w:kern w:val="2"/>
                      <w:sz w:val="18"/>
                      <w:szCs w:val="18"/>
                      <w:highlight w:val="yellow"/>
                      <w:lang w:val="en-US" w:eastAsia="zh-CN" w:bidi="ar-SA"/>
                    </w:rPr>
                    <w:t>983.55</w:t>
                  </w:r>
                </w:p>
              </w:tc>
            </w:tr>
            <w:tr w14:paraId="1E125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9" w:type="pct"/>
                  <w:gridSpan w:val="2"/>
                  <w:tcBorders>
                    <w:left w:val="single" w:color="auto" w:sz="4" w:space="0"/>
                    <w:bottom w:val="single" w:color="auto" w:sz="4" w:space="0"/>
                  </w:tcBorders>
                  <w:noWrap/>
                  <w:vAlign w:val="center"/>
                </w:tcPr>
                <w:p w14:paraId="4351AB98">
                  <w:pPr>
                    <w:pStyle w:val="89"/>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yellow"/>
                    </w:rPr>
                    <w:t>合计</w:t>
                  </w:r>
                </w:p>
              </w:tc>
              <w:tc>
                <w:tcPr>
                  <w:tcW w:w="332" w:type="pct"/>
                  <w:tcBorders>
                    <w:bottom w:val="single" w:color="auto" w:sz="4" w:space="0"/>
                  </w:tcBorders>
                  <w:noWrap/>
                  <w:vAlign w:val="center"/>
                </w:tcPr>
                <w:p w14:paraId="252343D1">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cs="Times New Roman"/>
                      <w:color w:val="auto"/>
                      <w:spacing w:val="-4"/>
                      <w:kern w:val="2"/>
                      <w:sz w:val="18"/>
                      <w:szCs w:val="18"/>
                      <w:highlight w:val="yellow"/>
                      <w:lang w:val="en-US" w:eastAsia="zh-CN" w:bidi="ar-SA"/>
                    </w:rPr>
                    <w:t>143.75</w:t>
                  </w:r>
                </w:p>
              </w:tc>
              <w:tc>
                <w:tcPr>
                  <w:tcW w:w="513" w:type="pct"/>
                  <w:tcBorders>
                    <w:bottom w:val="single" w:color="auto" w:sz="4" w:space="0"/>
                  </w:tcBorders>
                  <w:noWrap/>
                  <w:vAlign w:val="center"/>
                </w:tcPr>
                <w:p w14:paraId="00985219">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410.64</w:t>
                  </w:r>
                </w:p>
              </w:tc>
              <w:tc>
                <w:tcPr>
                  <w:tcW w:w="217" w:type="pct"/>
                  <w:tcBorders>
                    <w:bottom w:val="single" w:color="auto" w:sz="4" w:space="0"/>
                  </w:tcBorders>
                  <w:noWrap/>
                  <w:vAlign w:val="center"/>
                </w:tcPr>
                <w:p w14:paraId="16F7F927">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 xml:space="preserve">0.70 </w:t>
                  </w:r>
                </w:p>
              </w:tc>
              <w:tc>
                <w:tcPr>
                  <w:tcW w:w="217" w:type="pct"/>
                  <w:tcBorders>
                    <w:bottom w:val="single" w:color="auto" w:sz="4" w:space="0"/>
                  </w:tcBorders>
                  <w:noWrap/>
                  <w:vAlign w:val="center"/>
                </w:tcPr>
                <w:p w14:paraId="756A080C">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 xml:space="preserve">7.22 </w:t>
                  </w:r>
                </w:p>
              </w:tc>
              <w:tc>
                <w:tcPr>
                  <w:tcW w:w="217" w:type="pct"/>
                  <w:tcBorders>
                    <w:bottom w:val="single" w:color="auto" w:sz="4" w:space="0"/>
                  </w:tcBorders>
                  <w:noWrap/>
                  <w:vAlign w:val="center"/>
                </w:tcPr>
                <w:p w14:paraId="6305F890">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sz w:val="18"/>
                      <w:szCs w:val="18"/>
                      <w:highlight w:val="yellow"/>
                      <w:lang w:val="en-US" w:eastAsia="zh-CN"/>
                    </w:rPr>
                    <w:t xml:space="preserve">0.02 </w:t>
                  </w:r>
                </w:p>
              </w:tc>
              <w:tc>
                <w:tcPr>
                  <w:tcW w:w="246" w:type="pct"/>
                  <w:tcBorders>
                    <w:bottom w:val="single" w:color="auto" w:sz="4" w:space="0"/>
                  </w:tcBorders>
                  <w:noWrap/>
                  <w:vAlign w:val="center"/>
                </w:tcPr>
                <w:p w14:paraId="5FBF8B99">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16.91</w:t>
                  </w:r>
                </w:p>
              </w:tc>
              <w:tc>
                <w:tcPr>
                  <w:tcW w:w="247" w:type="pct"/>
                  <w:tcBorders>
                    <w:bottom w:val="single" w:color="auto" w:sz="4" w:space="0"/>
                  </w:tcBorders>
                  <w:noWrap/>
                  <w:vAlign w:val="center"/>
                </w:tcPr>
                <w:p w14:paraId="50982BF1">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27.83</w:t>
                  </w:r>
                </w:p>
              </w:tc>
              <w:tc>
                <w:tcPr>
                  <w:tcW w:w="210" w:type="pct"/>
                  <w:tcBorders>
                    <w:bottom w:val="single" w:color="auto" w:sz="4" w:space="0"/>
                  </w:tcBorders>
                  <w:noWrap/>
                  <w:vAlign w:val="center"/>
                </w:tcPr>
                <w:p w14:paraId="3791E7AD">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0.47</w:t>
                  </w:r>
                </w:p>
              </w:tc>
              <w:tc>
                <w:tcPr>
                  <w:tcW w:w="246" w:type="pct"/>
                  <w:tcBorders>
                    <w:bottom w:val="single" w:color="auto" w:sz="4" w:space="0"/>
                    <w:right w:val="single" w:color="auto" w:sz="4" w:space="0"/>
                  </w:tcBorders>
                  <w:noWrap/>
                  <w:vAlign w:val="center"/>
                </w:tcPr>
                <w:p w14:paraId="1C219BDF">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15.68</w:t>
                  </w:r>
                </w:p>
              </w:tc>
              <w:tc>
                <w:tcPr>
                  <w:tcW w:w="246" w:type="pct"/>
                  <w:tcBorders>
                    <w:bottom w:val="single" w:color="auto" w:sz="4" w:space="0"/>
                    <w:right w:val="single" w:color="auto" w:sz="4" w:space="0"/>
                  </w:tcBorders>
                  <w:shd w:val="clear" w:color="auto" w:fill="auto"/>
                  <w:noWrap/>
                  <w:vAlign w:val="center"/>
                </w:tcPr>
                <w:p w14:paraId="7F0D8439">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34.76</w:t>
                  </w:r>
                </w:p>
              </w:tc>
              <w:tc>
                <w:tcPr>
                  <w:tcW w:w="282" w:type="pct"/>
                  <w:tcBorders>
                    <w:bottom w:val="single" w:color="auto" w:sz="4" w:space="0"/>
                    <w:right w:val="single" w:color="auto" w:sz="4" w:space="0"/>
                  </w:tcBorders>
                  <w:shd w:val="clear" w:color="auto" w:fill="auto"/>
                  <w:noWrap/>
                  <w:vAlign w:val="center"/>
                </w:tcPr>
                <w:p w14:paraId="148B27E3">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eastAsia" w:cs="Times New Roman"/>
                      <w:color w:val="auto"/>
                      <w:spacing w:val="-4"/>
                      <w:kern w:val="2"/>
                      <w:sz w:val="18"/>
                      <w:szCs w:val="18"/>
                      <w:highlight w:val="yellow"/>
                      <w:lang w:val="en-US" w:eastAsia="zh-CN" w:bidi="ar-SA"/>
                    </w:rPr>
                    <w:t>92</w:t>
                  </w:r>
                  <w:r>
                    <w:rPr>
                      <w:rFonts w:hint="default" w:ascii="Times New Roman" w:hAnsi="Times New Roman" w:eastAsia="宋体" w:cs="Times New Roman"/>
                      <w:color w:val="auto"/>
                      <w:spacing w:val="-4"/>
                      <w:kern w:val="2"/>
                      <w:sz w:val="18"/>
                      <w:szCs w:val="18"/>
                      <w:highlight w:val="yellow"/>
                      <w:lang w:val="en-US" w:eastAsia="zh-CN" w:bidi="ar-SA"/>
                    </w:rPr>
                    <w:t>5.60</w:t>
                  </w:r>
                </w:p>
              </w:tc>
              <w:tc>
                <w:tcPr>
                  <w:tcW w:w="218" w:type="pct"/>
                  <w:tcBorders>
                    <w:bottom w:val="single" w:color="auto" w:sz="4" w:space="0"/>
                    <w:right w:val="single" w:color="auto" w:sz="4" w:space="0"/>
                  </w:tcBorders>
                  <w:shd w:val="clear" w:color="auto" w:fill="auto"/>
                  <w:noWrap/>
                  <w:vAlign w:val="center"/>
                </w:tcPr>
                <w:p w14:paraId="5C1BC1DF">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kern w:val="2"/>
                      <w:sz w:val="18"/>
                      <w:szCs w:val="18"/>
                      <w:highlight w:val="yellow"/>
                      <w:lang w:val="en-US" w:eastAsia="zh-CN" w:bidi="ar-SA"/>
                    </w:rPr>
                    <w:t>0.97</w:t>
                  </w:r>
                </w:p>
              </w:tc>
              <w:tc>
                <w:tcPr>
                  <w:tcW w:w="218" w:type="pct"/>
                  <w:tcBorders>
                    <w:bottom w:val="single" w:color="auto" w:sz="4" w:space="0"/>
                    <w:right w:val="single" w:color="auto" w:sz="4" w:space="0"/>
                  </w:tcBorders>
                  <w:shd w:val="clear" w:color="auto" w:fill="auto"/>
                  <w:noWrap/>
                  <w:vAlign w:val="center"/>
                </w:tcPr>
                <w:p w14:paraId="3459073E">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kern w:val="2"/>
                      <w:sz w:val="18"/>
                      <w:szCs w:val="18"/>
                      <w:highlight w:val="yellow"/>
                      <w:lang w:val="en-US" w:eastAsia="zh-CN" w:bidi="ar-SA"/>
                    </w:rPr>
                    <w:t>6.01</w:t>
                  </w:r>
                </w:p>
              </w:tc>
              <w:tc>
                <w:tcPr>
                  <w:tcW w:w="256" w:type="pct"/>
                  <w:tcBorders>
                    <w:bottom w:val="single" w:color="auto" w:sz="4" w:space="0"/>
                    <w:right w:val="single" w:color="auto" w:sz="4" w:space="0"/>
                  </w:tcBorders>
                  <w:shd w:val="clear" w:color="auto" w:fill="auto"/>
                  <w:noWrap/>
                  <w:vAlign w:val="center"/>
                </w:tcPr>
                <w:p w14:paraId="25D9F693">
                  <w:pPr>
                    <w:pStyle w:val="5"/>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yellow"/>
                      <w:lang w:val="en-US" w:eastAsia="zh-CN" w:bidi="ar-SA"/>
                    </w:rPr>
                  </w:pPr>
                  <w:r>
                    <w:rPr>
                      <w:rFonts w:hint="default" w:ascii="Times New Roman" w:hAnsi="Times New Roman" w:cs="Times New Roman"/>
                      <w:kern w:val="2"/>
                      <w:sz w:val="18"/>
                      <w:szCs w:val="18"/>
                      <w:highlight w:val="yellow"/>
                      <w:lang w:val="en-US" w:eastAsia="zh-CN" w:bidi="ar-SA"/>
                    </w:rPr>
                    <w:t>51.80</w:t>
                  </w:r>
                </w:p>
              </w:tc>
              <w:tc>
                <w:tcPr>
                  <w:tcW w:w="246" w:type="pct"/>
                  <w:tcBorders>
                    <w:bottom w:val="single" w:color="auto" w:sz="4" w:space="0"/>
                    <w:right w:val="single" w:color="auto" w:sz="4" w:space="0"/>
                  </w:tcBorders>
                  <w:shd w:val="clear" w:color="auto" w:fill="auto"/>
                  <w:noWrap/>
                  <w:vAlign w:val="center"/>
                </w:tcPr>
                <w:p w14:paraId="7D7BE4DD">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default" w:ascii="Times New Roman" w:hAnsi="Times New Roman" w:eastAsia="宋体" w:cs="Times New Roman"/>
                      <w:color w:val="auto"/>
                      <w:spacing w:val="-4"/>
                      <w:kern w:val="2"/>
                      <w:sz w:val="18"/>
                      <w:szCs w:val="18"/>
                      <w:highlight w:val="yellow"/>
                      <w:lang w:val="en-US" w:eastAsia="zh-CN" w:bidi="ar-SA"/>
                    </w:rPr>
                    <w:t>32.39</w:t>
                  </w:r>
                </w:p>
              </w:tc>
              <w:tc>
                <w:tcPr>
                  <w:tcW w:w="233" w:type="pct"/>
                  <w:tcBorders>
                    <w:bottom w:val="single" w:color="auto" w:sz="4" w:space="0"/>
                    <w:right w:val="single" w:color="auto" w:sz="4" w:space="0"/>
                  </w:tcBorders>
                  <w:shd w:val="clear" w:color="auto" w:fill="auto"/>
                  <w:noWrap/>
                  <w:vAlign w:val="center"/>
                </w:tcPr>
                <w:p w14:paraId="4A73DFD7">
                  <w:pPr>
                    <w:pStyle w:val="89"/>
                    <w:jc w:val="center"/>
                    <w:rPr>
                      <w:rFonts w:hint="default" w:ascii="Times New Roman" w:hAnsi="Times New Roman" w:eastAsia="宋体" w:cs="Times New Roman"/>
                      <w:color w:val="auto"/>
                      <w:spacing w:val="-4"/>
                      <w:kern w:val="2"/>
                      <w:sz w:val="18"/>
                      <w:szCs w:val="18"/>
                      <w:highlight w:val="yellow"/>
                      <w:lang w:val="en-US" w:eastAsia="zh-CN" w:bidi="ar-SA"/>
                    </w:rPr>
                  </w:pPr>
                  <w:r>
                    <w:rPr>
                      <w:rFonts w:hint="eastAsia" w:cs="Times New Roman"/>
                      <w:color w:val="auto"/>
                      <w:spacing w:val="-4"/>
                      <w:kern w:val="2"/>
                      <w:sz w:val="18"/>
                      <w:szCs w:val="18"/>
                      <w:highlight w:val="yellow"/>
                      <w:lang w:val="en-US" w:eastAsia="zh-CN" w:bidi="ar-SA"/>
                    </w:rPr>
                    <w:t>1674.75</w:t>
                  </w:r>
                </w:p>
              </w:tc>
            </w:tr>
          </w:tbl>
          <w:p w14:paraId="06DABCA9">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kern w:val="0"/>
                <w:sz w:val="24"/>
                <w:szCs w:val="24"/>
                <w:highlight w:val="none"/>
                <w:lang w:val="en-US" w:eastAsia="zh-CN" w:bidi="ar-SA"/>
              </w:rPr>
              <w:t>三、</w:t>
            </w:r>
            <w:r>
              <w:rPr>
                <w:rFonts w:hint="default" w:ascii="Times New Roman" w:hAnsi="Times New Roman" w:cs="Times New Roman"/>
                <w:b/>
                <w:bCs/>
                <w:sz w:val="24"/>
                <w:szCs w:val="24"/>
                <w:highlight w:val="none"/>
                <w:lang w:val="en-US" w:eastAsia="zh-CN"/>
              </w:rPr>
              <w:t>土石方平衡</w:t>
            </w:r>
          </w:p>
          <w:p w14:paraId="12A898A5">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jc w:val="both"/>
              <w:textAlignment w:val="auto"/>
              <w:rPr>
                <w:rFonts w:hint="default" w:ascii="Times New Roman" w:hAnsi="Times New Roman" w:cs="Times New Roman"/>
                <w:b/>
                <w:bCs/>
                <w:color w:val="auto"/>
                <w:sz w:val="24"/>
                <w:szCs w:val="24"/>
                <w:highlight w:val="yellow"/>
              </w:rPr>
            </w:pPr>
            <w:r>
              <w:rPr>
                <w:rFonts w:hint="default" w:ascii="Times New Roman" w:hAnsi="Times New Roman" w:cs="Times New Roman"/>
                <w:color w:val="auto"/>
                <w:sz w:val="24"/>
                <w:szCs w:val="24"/>
                <w:highlight w:val="none"/>
              </w:rPr>
              <w:t>开挖方</w:t>
            </w:r>
            <w:r>
              <w:rPr>
                <w:rFonts w:hint="default" w:ascii="Times New Roman" w:hAnsi="Times New Roman" w:cs="Times New Roman"/>
                <w:color w:val="auto"/>
                <w:sz w:val="24"/>
                <w:szCs w:val="24"/>
                <w:highlight w:val="none"/>
                <w:lang w:val="en-US" w:eastAsia="zh-CN"/>
              </w:rPr>
              <w:t>256062</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vertAlign w:val="baseline"/>
                <w:lang w:eastAsia="zh-CN"/>
              </w:rPr>
              <w:t>，</w:t>
            </w:r>
            <w:r>
              <w:rPr>
                <w:rFonts w:hint="default" w:ascii="Times New Roman" w:hAnsi="Times New Roman" w:cs="Times New Roman"/>
                <w:color w:val="auto"/>
                <w:sz w:val="24"/>
                <w:szCs w:val="24"/>
                <w:highlight w:val="none"/>
                <w:vertAlign w:val="baseline"/>
                <w:lang w:val="en-US" w:eastAsia="zh-CN"/>
              </w:rPr>
              <w:t>利用</w:t>
            </w:r>
            <w:r>
              <w:rPr>
                <w:rFonts w:hint="default" w:ascii="Times New Roman" w:hAnsi="Times New Roman" w:cs="Times New Roman"/>
                <w:color w:val="auto"/>
                <w:sz w:val="24"/>
                <w:szCs w:val="24"/>
                <w:highlight w:val="none"/>
              </w:rPr>
              <w:t>方</w:t>
            </w:r>
            <w:r>
              <w:rPr>
                <w:rFonts w:hint="default" w:ascii="Times New Roman" w:hAnsi="Times New Roman" w:cs="Times New Roman"/>
                <w:color w:val="auto"/>
                <w:sz w:val="24"/>
                <w:szCs w:val="24"/>
                <w:highlight w:val="none"/>
                <w:lang w:val="en-US" w:eastAsia="zh-CN"/>
              </w:rPr>
              <w:t>187394</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，回填方</w:t>
            </w:r>
            <w:r>
              <w:rPr>
                <w:rFonts w:hint="default" w:ascii="Times New Roman" w:hAnsi="Times New Roman" w:cs="Times New Roman"/>
                <w:color w:val="auto"/>
                <w:sz w:val="24"/>
                <w:szCs w:val="24"/>
                <w:highlight w:val="none"/>
                <w:lang w:val="en-US" w:eastAsia="zh-CN"/>
              </w:rPr>
              <w:t>782108</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，借</w:t>
            </w:r>
            <w:r>
              <w:rPr>
                <w:rFonts w:hint="default" w:ascii="Times New Roman" w:hAnsi="Times New Roman" w:cs="Times New Roman"/>
                <w:color w:val="auto"/>
                <w:sz w:val="24"/>
                <w:szCs w:val="24"/>
                <w:highlight w:val="none"/>
                <w:lang w:val="en-US" w:eastAsia="zh-CN"/>
              </w:rPr>
              <w:t>方735494</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，工程产生弃</w:t>
            </w:r>
            <w:r>
              <w:rPr>
                <w:rFonts w:hint="default" w:ascii="Times New Roman" w:hAnsi="Times New Roman" w:cs="Times New Roman"/>
                <w:color w:val="auto"/>
                <w:sz w:val="24"/>
                <w:szCs w:val="24"/>
                <w:highlight w:val="none"/>
                <w:lang w:val="en-US" w:eastAsia="zh-CN"/>
              </w:rPr>
              <w:t>方68668</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其中土方余方10977m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就近填塘；表土57691m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临时堆存在表土暂存场，</w:t>
            </w:r>
            <w:r>
              <w:rPr>
                <w:rFonts w:hint="default" w:ascii="Times New Roman" w:hAnsi="Times New Roman" w:cs="Times New Roman"/>
                <w:color w:val="auto"/>
                <w:sz w:val="24"/>
                <w:szCs w:val="24"/>
                <w:highlight w:val="none"/>
              </w:rPr>
              <w:t>全部由</w:t>
            </w:r>
            <w:r>
              <w:rPr>
                <w:rFonts w:hint="default" w:ascii="Times New Roman" w:hAnsi="Times New Roman" w:cs="Times New Roman"/>
                <w:color w:val="auto"/>
                <w:sz w:val="24"/>
                <w:szCs w:val="24"/>
                <w:highlight w:val="none"/>
                <w:lang w:val="en-US" w:eastAsia="zh-CN"/>
              </w:rPr>
              <w:t>庆安县庆禾农业发展有限公司</w:t>
            </w:r>
            <w:r>
              <w:rPr>
                <w:rFonts w:hint="default" w:ascii="Times New Roman" w:hAnsi="Times New Roman" w:cs="Times New Roman"/>
                <w:color w:val="auto"/>
                <w:sz w:val="24"/>
                <w:szCs w:val="24"/>
                <w:highlight w:val="none"/>
              </w:rPr>
              <w:t>外运并进行综合利用，重点用于</w:t>
            </w:r>
            <w:r>
              <w:rPr>
                <w:rFonts w:hint="default" w:ascii="Times New Roman" w:hAnsi="Times New Roman" w:cs="Times New Roman"/>
                <w:color w:val="auto"/>
                <w:sz w:val="24"/>
                <w:szCs w:val="24"/>
                <w:highlight w:val="none"/>
                <w:lang w:val="en-US" w:eastAsia="zh-CN"/>
              </w:rPr>
              <w:t>土地改良。临时工程表土暂存148800m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临时工程占地范围内，施工结束后用于临时占地生态修复。</w:t>
            </w:r>
            <w:r>
              <w:rPr>
                <w:rFonts w:hint="default" w:ascii="Times New Roman" w:hAnsi="Times New Roman" w:cs="Times New Roman"/>
                <w:color w:val="auto"/>
                <w:sz w:val="24"/>
                <w:szCs w:val="24"/>
                <w:highlight w:val="yellow"/>
                <w:lang w:val="en-US" w:eastAsia="zh-CN"/>
              </w:rPr>
              <w:t>本项目在枯水期开挖水田和坑塘水面，不产生淤泥。</w:t>
            </w:r>
          </w:p>
          <w:p w14:paraId="1C5A5AD7">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表2—7  土石方平衡表</w:t>
            </w:r>
          </w:p>
          <w:tbl>
            <w:tblPr>
              <w:tblStyle w:val="25"/>
              <w:tblW w:w="4511"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08"/>
              <w:gridCol w:w="1871"/>
              <w:gridCol w:w="4179"/>
            </w:tblGrid>
            <w:tr w14:paraId="3DB189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vAlign w:val="center"/>
                </w:tcPr>
                <w:p w14:paraId="60EFA105">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项目</w:t>
                  </w:r>
                </w:p>
              </w:tc>
              <w:tc>
                <w:tcPr>
                  <w:tcW w:w="1160" w:type="pct"/>
                  <w:vAlign w:val="center"/>
                </w:tcPr>
                <w:p w14:paraId="64012929">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数量</w:t>
                  </w:r>
                  <w:r>
                    <w:rPr>
                      <w:rFonts w:hint="default" w:ascii="Times New Roman" w:hAnsi="Times New Roman" w:cs="Times New Roman"/>
                      <w:szCs w:val="21"/>
                      <w:highlight w:val="none"/>
                      <w:lang w:eastAsia="zh-CN"/>
                    </w:rPr>
                    <w:t>m</w:t>
                  </w:r>
                  <w:r>
                    <w:rPr>
                      <w:rFonts w:hint="default" w:ascii="Times New Roman" w:hAnsi="Times New Roman" w:cs="Times New Roman"/>
                      <w:szCs w:val="21"/>
                      <w:highlight w:val="none"/>
                      <w:vertAlign w:val="superscript"/>
                    </w:rPr>
                    <w:t>3</w:t>
                  </w:r>
                </w:p>
              </w:tc>
              <w:tc>
                <w:tcPr>
                  <w:tcW w:w="2593" w:type="pct"/>
                  <w:vAlign w:val="center"/>
                </w:tcPr>
                <w:p w14:paraId="1B94FCC3">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备注</w:t>
                  </w:r>
                </w:p>
              </w:tc>
            </w:tr>
            <w:tr w14:paraId="49CD25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33887279">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挖方</w:t>
                  </w:r>
                </w:p>
              </w:tc>
              <w:tc>
                <w:tcPr>
                  <w:tcW w:w="1160" w:type="pct"/>
                  <w:shd w:val="clear" w:color="auto" w:fill="auto"/>
                  <w:vAlign w:val="center"/>
                </w:tcPr>
                <w:p w14:paraId="149C5A09">
                  <w:pPr>
                    <w:adjustRightInd w:val="0"/>
                    <w:snapToGrid w:val="0"/>
                    <w:jc w:val="center"/>
                    <w:rPr>
                      <w:rFonts w:hint="default" w:ascii="Times New Roman" w:hAnsi="Times New Roman" w:eastAsia="宋体" w:cs="Times New Roman"/>
                      <w:kern w:val="24"/>
                      <w:szCs w:val="21"/>
                      <w:highlight w:val="none"/>
                      <w:lang w:val="en-US" w:eastAsia="zh-CN"/>
                    </w:rPr>
                  </w:pPr>
                  <w:r>
                    <w:rPr>
                      <w:rFonts w:hint="default" w:ascii="Times New Roman" w:hAnsi="Times New Roman" w:cs="Times New Roman"/>
                      <w:kern w:val="24"/>
                      <w:szCs w:val="21"/>
                      <w:highlight w:val="none"/>
                      <w:lang w:val="en-US" w:eastAsia="zh-CN"/>
                    </w:rPr>
                    <w:t>256062</w:t>
                  </w:r>
                </w:p>
              </w:tc>
              <w:tc>
                <w:tcPr>
                  <w:tcW w:w="2593" w:type="pct"/>
                  <w:shd w:val="clear" w:color="auto" w:fill="auto"/>
                  <w:vAlign w:val="center"/>
                </w:tcPr>
                <w:p w14:paraId="4D36C916">
                  <w:pPr>
                    <w:adjustRightInd w:val="0"/>
                    <w:snapToGrid w:val="0"/>
                    <w:jc w:val="center"/>
                    <w:rPr>
                      <w:rFonts w:hint="default" w:ascii="Times New Roman" w:hAnsi="Times New Roman" w:cs="Times New Roman"/>
                      <w:kern w:val="24"/>
                      <w:szCs w:val="21"/>
                      <w:highlight w:val="none"/>
                    </w:rPr>
                  </w:pPr>
                </w:p>
              </w:tc>
            </w:tr>
            <w:tr w14:paraId="57916E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0FD46951">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利用方</w:t>
                  </w:r>
                </w:p>
              </w:tc>
              <w:tc>
                <w:tcPr>
                  <w:tcW w:w="1160" w:type="pct"/>
                  <w:shd w:val="clear" w:color="auto" w:fill="auto"/>
                  <w:vAlign w:val="center"/>
                </w:tcPr>
                <w:p w14:paraId="62D8FA8D">
                  <w:pPr>
                    <w:adjustRightInd w:val="0"/>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187394</w:t>
                  </w:r>
                </w:p>
              </w:tc>
              <w:tc>
                <w:tcPr>
                  <w:tcW w:w="2593" w:type="pct"/>
                  <w:shd w:val="clear" w:color="auto" w:fill="auto"/>
                  <w:vAlign w:val="center"/>
                </w:tcPr>
                <w:p w14:paraId="3910E0EB">
                  <w:pPr>
                    <w:adjustRightInd w:val="0"/>
                    <w:snapToGrid w:val="0"/>
                    <w:jc w:val="center"/>
                    <w:rPr>
                      <w:rFonts w:hint="default" w:ascii="Times New Roman" w:hAnsi="Times New Roman" w:cs="Times New Roman"/>
                      <w:bCs/>
                      <w:szCs w:val="21"/>
                      <w:highlight w:val="none"/>
                    </w:rPr>
                  </w:pPr>
                </w:p>
              </w:tc>
            </w:tr>
            <w:tr w14:paraId="1896C3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41E4C2A5">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填方</w:t>
                  </w:r>
                </w:p>
              </w:tc>
              <w:tc>
                <w:tcPr>
                  <w:tcW w:w="1160" w:type="pct"/>
                  <w:shd w:val="clear" w:color="auto" w:fill="auto"/>
                  <w:vAlign w:val="center"/>
                </w:tcPr>
                <w:p w14:paraId="000C198D">
                  <w:pPr>
                    <w:adjustRightInd w:val="0"/>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782108</w:t>
                  </w:r>
                </w:p>
              </w:tc>
              <w:tc>
                <w:tcPr>
                  <w:tcW w:w="2593" w:type="pct"/>
                  <w:shd w:val="clear" w:color="auto" w:fill="auto"/>
                  <w:vAlign w:val="center"/>
                </w:tcPr>
                <w:p w14:paraId="6B3CDA7C">
                  <w:pPr>
                    <w:adjustRightInd w:val="0"/>
                    <w:snapToGrid w:val="0"/>
                    <w:jc w:val="center"/>
                    <w:rPr>
                      <w:rFonts w:hint="default" w:ascii="Times New Roman" w:hAnsi="Times New Roman" w:cs="Times New Roman"/>
                      <w:bCs/>
                      <w:szCs w:val="21"/>
                      <w:highlight w:val="none"/>
                    </w:rPr>
                  </w:pPr>
                </w:p>
              </w:tc>
            </w:tr>
            <w:tr w14:paraId="542EBF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6C051344">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借方</w:t>
                  </w:r>
                </w:p>
              </w:tc>
              <w:tc>
                <w:tcPr>
                  <w:tcW w:w="1160" w:type="pct"/>
                  <w:shd w:val="clear" w:color="auto" w:fill="auto"/>
                  <w:vAlign w:val="center"/>
                </w:tcPr>
                <w:p w14:paraId="19C108EC">
                  <w:pPr>
                    <w:adjustRightInd w:val="0"/>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735494</w:t>
                  </w:r>
                </w:p>
              </w:tc>
              <w:tc>
                <w:tcPr>
                  <w:tcW w:w="2593" w:type="pct"/>
                  <w:shd w:val="clear" w:color="auto" w:fill="auto"/>
                  <w:vAlign w:val="center"/>
                </w:tcPr>
                <w:p w14:paraId="1D800AE5">
                  <w:pPr>
                    <w:adjustRightInd w:val="0"/>
                    <w:snapToGrid w:val="0"/>
                    <w:jc w:val="center"/>
                    <w:rPr>
                      <w:rFonts w:hint="default" w:ascii="Times New Roman" w:hAnsi="Times New Roman" w:cs="Times New Roman"/>
                      <w:bCs/>
                      <w:szCs w:val="21"/>
                      <w:highlight w:val="none"/>
                    </w:rPr>
                  </w:pPr>
                </w:p>
              </w:tc>
            </w:tr>
            <w:tr w14:paraId="34A098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1938C79F">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弃方</w:t>
                  </w:r>
                </w:p>
              </w:tc>
              <w:tc>
                <w:tcPr>
                  <w:tcW w:w="1160" w:type="pct"/>
                  <w:shd w:val="clear" w:color="auto" w:fill="auto"/>
                  <w:vAlign w:val="center"/>
                </w:tcPr>
                <w:p w14:paraId="324EDE01">
                  <w:pPr>
                    <w:adjustRightInd w:val="0"/>
                    <w:snapToGrid w:val="0"/>
                    <w:jc w:val="center"/>
                    <w:rPr>
                      <w:rFonts w:hint="default" w:ascii="Times New Roman" w:hAnsi="Times New Roman" w:eastAsia="宋体" w:cs="Times New Roman"/>
                      <w:kern w:val="24"/>
                      <w:szCs w:val="21"/>
                      <w:highlight w:val="none"/>
                      <w:lang w:val="en-US" w:eastAsia="zh-CN"/>
                    </w:rPr>
                  </w:pPr>
                  <w:r>
                    <w:rPr>
                      <w:rFonts w:hint="default" w:ascii="Times New Roman" w:hAnsi="Times New Roman" w:cs="Times New Roman"/>
                      <w:kern w:val="24"/>
                      <w:szCs w:val="21"/>
                      <w:highlight w:val="none"/>
                      <w:lang w:val="en-US" w:eastAsia="zh-CN"/>
                    </w:rPr>
                    <w:t>10977</w:t>
                  </w:r>
                </w:p>
              </w:tc>
              <w:tc>
                <w:tcPr>
                  <w:tcW w:w="2593" w:type="pct"/>
                  <w:shd w:val="clear" w:color="auto" w:fill="auto"/>
                  <w:vAlign w:val="center"/>
                </w:tcPr>
                <w:p w14:paraId="16A78B88">
                  <w:pPr>
                    <w:adjustRightInd w:val="0"/>
                    <w:snapToGrid w:val="0"/>
                    <w:jc w:val="both"/>
                    <w:rPr>
                      <w:rFonts w:hint="default" w:ascii="Times New Roman" w:hAnsi="Times New Roman" w:cs="Times New Roman"/>
                      <w:szCs w:val="21"/>
                      <w:highlight w:val="none"/>
                    </w:rPr>
                  </w:pPr>
                  <w:r>
                    <w:rPr>
                      <w:rFonts w:hint="default" w:ascii="Times New Roman" w:hAnsi="Times New Roman" w:cs="Times New Roman"/>
                      <w:szCs w:val="21"/>
                      <w:highlight w:val="none"/>
                    </w:rPr>
                    <w:t>土方余方10977</w:t>
                  </w:r>
                  <w:r>
                    <w:rPr>
                      <w:rFonts w:hint="default" w:ascii="Times New Roman" w:hAnsi="Times New Roman" w:cs="Times New Roman"/>
                      <w:szCs w:val="21"/>
                      <w:highlight w:val="none"/>
                      <w:lang w:eastAsia="zh-CN"/>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就近填塘；表土57691</w:t>
                  </w:r>
                  <w:r>
                    <w:rPr>
                      <w:rFonts w:hint="default" w:ascii="Times New Roman" w:hAnsi="Times New Roman" w:cs="Times New Roman"/>
                      <w:szCs w:val="21"/>
                      <w:highlight w:val="none"/>
                      <w:lang w:eastAsia="zh-CN"/>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临时堆存在表土暂存场，全部由庆安县庆禾农业发展有限公司外运并进行综合利用，重点用于土地改良</w:t>
                  </w:r>
                </w:p>
              </w:tc>
            </w:tr>
          </w:tbl>
          <w:p w14:paraId="178509F3">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color w:val="auto"/>
                <w:highlight w:val="none"/>
              </w:rPr>
            </w:pPr>
            <w:r>
              <w:rPr>
                <w:rFonts w:hint="default" w:ascii="Times New Roman" w:hAnsi="Times New Roman" w:cs="Times New Roman"/>
                <w:b/>
                <w:bCs/>
                <w:kern w:val="0"/>
                <w:sz w:val="24"/>
                <w:szCs w:val="24"/>
                <w:highlight w:val="none"/>
                <w:lang w:val="en-US" w:eastAsia="zh-CN" w:bidi="ar-SA"/>
              </w:rPr>
              <w:t>四、工程量统计</w:t>
            </w:r>
          </w:p>
          <w:p w14:paraId="19C348C7">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jc w:val="center"/>
              <w:textAlignment w:val="auto"/>
              <w:rPr>
                <w:rFonts w:hint="default" w:ascii="Times New Roman" w:hAnsi="Times New Roman" w:cs="Times New Roman"/>
                <w:b/>
                <w:bCs/>
                <w:color w:val="auto"/>
                <w:sz w:val="21"/>
                <w:szCs w:val="21"/>
                <w:highlight w:val="yellow"/>
              </w:rPr>
            </w:pPr>
            <w:r>
              <w:rPr>
                <w:rFonts w:hint="default" w:ascii="Times New Roman" w:hAnsi="Times New Roman" w:cs="Times New Roman"/>
                <w:b/>
                <w:bCs/>
                <w:color w:val="auto"/>
                <w:sz w:val="21"/>
                <w:szCs w:val="21"/>
                <w:highlight w:val="yellow"/>
              </w:rPr>
              <w:t>表2</w:t>
            </w:r>
            <w:r>
              <w:rPr>
                <w:rFonts w:hint="default" w:ascii="Times New Roman" w:hAnsi="Times New Roman" w:cs="Times New Roman"/>
                <w:b/>
                <w:bCs/>
                <w:color w:val="auto"/>
                <w:sz w:val="21"/>
                <w:szCs w:val="21"/>
                <w:highlight w:val="yellow"/>
                <w:lang w:eastAsia="zh-CN"/>
              </w:rPr>
              <w:t>—</w:t>
            </w:r>
            <w:r>
              <w:rPr>
                <w:rFonts w:hint="default" w:ascii="Times New Roman" w:hAnsi="Times New Roman" w:cs="Times New Roman"/>
                <w:b/>
                <w:bCs/>
                <w:color w:val="auto"/>
                <w:sz w:val="21"/>
                <w:szCs w:val="21"/>
                <w:highlight w:val="yellow"/>
                <w:lang w:val="en-US" w:eastAsia="zh-CN"/>
              </w:rPr>
              <w:t>7  工程量</w:t>
            </w:r>
            <w:r>
              <w:rPr>
                <w:rFonts w:hint="default" w:ascii="Times New Roman" w:hAnsi="Times New Roman" w:cs="Times New Roman"/>
                <w:b/>
                <w:bCs/>
                <w:color w:val="auto"/>
                <w:sz w:val="21"/>
                <w:szCs w:val="21"/>
                <w:highlight w:val="yellow"/>
              </w:rPr>
              <w:t>统计表</w:t>
            </w:r>
          </w:p>
          <w:tbl>
            <w:tblPr>
              <w:tblStyle w:val="80"/>
              <w:tblW w:w="4997"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639"/>
              <w:gridCol w:w="3107"/>
              <w:gridCol w:w="584"/>
              <w:gridCol w:w="915"/>
              <w:gridCol w:w="3673"/>
            </w:tblGrid>
            <w:tr w14:paraId="1BAAB93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3F4B3CC1">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序号</w:t>
                  </w:r>
                </w:p>
              </w:tc>
              <w:tc>
                <w:tcPr>
                  <w:tcW w:w="1741" w:type="pct"/>
                  <w:noWrap w:val="0"/>
                  <w:vAlign w:val="center"/>
                </w:tcPr>
                <w:p w14:paraId="7C281D58">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工程名称</w:t>
                  </w:r>
                </w:p>
              </w:tc>
              <w:tc>
                <w:tcPr>
                  <w:tcW w:w="327" w:type="pct"/>
                  <w:noWrap w:val="0"/>
                  <w:vAlign w:val="center"/>
                </w:tcPr>
                <w:p w14:paraId="6182166F">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单位</w:t>
                  </w:r>
                </w:p>
              </w:tc>
              <w:tc>
                <w:tcPr>
                  <w:tcW w:w="513" w:type="pct"/>
                  <w:noWrap w:val="0"/>
                  <w:vAlign w:val="center"/>
                </w:tcPr>
                <w:p w14:paraId="2C8E0136">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数量</w:t>
                  </w:r>
                </w:p>
              </w:tc>
              <w:tc>
                <w:tcPr>
                  <w:tcW w:w="2059" w:type="pct"/>
                  <w:noWrap w:val="0"/>
                  <w:vAlign w:val="center"/>
                </w:tcPr>
                <w:p w14:paraId="7549F5B6">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备注</w:t>
                  </w:r>
                </w:p>
              </w:tc>
            </w:tr>
            <w:tr w14:paraId="788D65E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210660F2">
                  <w:pPr>
                    <w:widowControl/>
                    <w:shd w:val="clear" w:color="auto" w:fill="auto"/>
                    <w:spacing w:line="240" w:lineRule="auto"/>
                    <w:jc w:val="center"/>
                    <w:textAlignment w:val="center"/>
                    <w:rPr>
                      <w:rFonts w:hint="default" w:ascii="Times New Roman" w:hAnsi="Times New Roman" w:eastAsia="等线" w:cs="Times New Roman"/>
                      <w:b/>
                      <w:bCs/>
                      <w:color w:val="000000"/>
                      <w:kern w:val="2"/>
                      <w:sz w:val="21"/>
                      <w:szCs w:val="21"/>
                      <w:highlight w:val="yellow"/>
                      <w:lang w:val="en-US" w:eastAsia="zh-CN" w:bidi="ar-SA"/>
                    </w:rPr>
                  </w:pPr>
                  <w:r>
                    <w:rPr>
                      <w:rFonts w:hint="eastAsia" w:eastAsia="等线" w:cs="Times New Roman"/>
                      <w:b/>
                      <w:bCs/>
                      <w:color w:val="000000"/>
                      <w:kern w:val="2"/>
                      <w:sz w:val="21"/>
                      <w:szCs w:val="21"/>
                      <w:highlight w:val="yellow"/>
                      <w:lang w:val="en-US" w:eastAsia="zh-CN" w:bidi="ar-SA"/>
                    </w:rPr>
                    <w:t>1</w:t>
                  </w:r>
                </w:p>
              </w:tc>
              <w:tc>
                <w:tcPr>
                  <w:tcW w:w="1741" w:type="pct"/>
                  <w:shd w:val="clear"/>
                  <w:noWrap w:val="0"/>
                  <w:vAlign w:val="center"/>
                </w:tcPr>
                <w:p w14:paraId="75AA4D8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土方开挖</w:t>
                  </w:r>
                </w:p>
              </w:tc>
              <w:tc>
                <w:tcPr>
                  <w:tcW w:w="327" w:type="pct"/>
                  <w:shd w:val="clear"/>
                  <w:noWrap w:val="0"/>
                  <w:vAlign w:val="center"/>
                </w:tcPr>
                <w:p w14:paraId="47891D34">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spacing w:val="-4"/>
                      <w:kern w:val="52"/>
                      <w:highlight w:val="yellow"/>
                      <w:vertAlign w:val="superscript"/>
                    </w:rPr>
                    <w:t>3</w:t>
                  </w:r>
                </w:p>
              </w:tc>
              <w:tc>
                <w:tcPr>
                  <w:tcW w:w="513" w:type="pct"/>
                  <w:shd w:val="clear"/>
                  <w:noWrap w:val="0"/>
                  <w:vAlign w:val="center"/>
                </w:tcPr>
                <w:p w14:paraId="6918BD99">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default" w:ascii="Times New Roman" w:hAnsi="Times New Roman" w:cs="Times New Roman"/>
                      <w:kern w:val="24"/>
                      <w:szCs w:val="21"/>
                      <w:highlight w:val="yellow"/>
                      <w:lang w:val="en-US" w:eastAsia="zh-CN"/>
                    </w:rPr>
                    <w:t>256062</w:t>
                  </w:r>
                </w:p>
              </w:tc>
              <w:tc>
                <w:tcPr>
                  <w:tcW w:w="2059" w:type="pct"/>
                  <w:shd w:val="clear"/>
                  <w:noWrap w:val="0"/>
                  <w:vAlign w:val="center"/>
                </w:tcPr>
                <w:p w14:paraId="77CBC1A8">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利用筑堤</w:t>
                  </w:r>
                </w:p>
              </w:tc>
            </w:tr>
            <w:tr w14:paraId="70CD615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4FE25C23">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2</w:t>
                  </w:r>
                </w:p>
              </w:tc>
              <w:tc>
                <w:tcPr>
                  <w:tcW w:w="1741" w:type="pct"/>
                  <w:shd w:val="clear"/>
                  <w:noWrap w:val="0"/>
                  <w:vAlign w:val="center"/>
                </w:tcPr>
                <w:p w14:paraId="4D23BA6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清基</w:t>
                  </w:r>
                  <w:r>
                    <w:rPr>
                      <w:rFonts w:hint="default" w:ascii="Times New Roman" w:hAnsi="Times New Roman" w:eastAsia="等线" w:cs="Times New Roman"/>
                      <w:color w:val="000000"/>
                      <w:kern w:val="0"/>
                      <w:sz w:val="21"/>
                      <w:szCs w:val="21"/>
                      <w:highlight w:val="yellow"/>
                      <w:lang w:bidi="ar"/>
                    </w:rPr>
                    <w:t>30c</w:t>
                  </w: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color w:val="000000"/>
                      <w:kern w:val="0"/>
                      <w:sz w:val="21"/>
                      <w:szCs w:val="21"/>
                      <w:highlight w:val="yellow"/>
                      <w:lang w:bidi="ar"/>
                    </w:rPr>
                    <w:t>（</w:t>
                  </w:r>
                  <w:r>
                    <w:rPr>
                      <w:rFonts w:hint="default" w:ascii="Times New Roman" w:hAnsi="Times New Roman" w:cs="Times New Roman"/>
                      <w:color w:val="000000"/>
                      <w:kern w:val="0"/>
                      <w:sz w:val="21"/>
                      <w:szCs w:val="21"/>
                      <w:highlight w:val="yellow"/>
                      <w:lang w:eastAsia="zh-CN" w:bidi="ar"/>
                    </w:rPr>
                    <w:t>外运15km</w:t>
                  </w:r>
                  <w:r>
                    <w:rPr>
                      <w:rFonts w:hint="default" w:ascii="Times New Roman" w:hAnsi="Times New Roman" w:cs="Times New Roman"/>
                      <w:color w:val="000000"/>
                      <w:kern w:val="0"/>
                      <w:sz w:val="21"/>
                      <w:szCs w:val="21"/>
                      <w:highlight w:val="yellow"/>
                      <w:lang w:bidi="ar"/>
                    </w:rPr>
                    <w:t>）</w:t>
                  </w:r>
                </w:p>
              </w:tc>
              <w:tc>
                <w:tcPr>
                  <w:tcW w:w="327" w:type="pct"/>
                  <w:shd w:val="clear"/>
                  <w:noWrap w:val="0"/>
                  <w:vAlign w:val="center"/>
                </w:tcPr>
                <w:p w14:paraId="30C0F4D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spacing w:val="-4"/>
                      <w:kern w:val="52"/>
                      <w:highlight w:val="yellow"/>
                      <w:vertAlign w:val="superscript"/>
                    </w:rPr>
                    <w:t>3</w:t>
                  </w:r>
                </w:p>
              </w:tc>
              <w:tc>
                <w:tcPr>
                  <w:tcW w:w="513" w:type="pct"/>
                  <w:shd w:val="clear"/>
                  <w:noWrap w:val="0"/>
                  <w:vAlign w:val="center"/>
                </w:tcPr>
                <w:p w14:paraId="5C884C73">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57691</w:t>
                  </w:r>
                </w:p>
              </w:tc>
              <w:tc>
                <w:tcPr>
                  <w:tcW w:w="2059" w:type="pct"/>
                  <w:shd w:val="clear"/>
                  <w:noWrap w:val="0"/>
                  <w:vAlign w:val="center"/>
                </w:tcPr>
                <w:p w14:paraId="6993B3B7">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eastAsia="zh-CN" w:bidi="ar"/>
                    </w:rPr>
                    <w:t>外运15km</w:t>
                  </w:r>
                  <w:r>
                    <w:rPr>
                      <w:rFonts w:hint="default" w:ascii="Times New Roman" w:hAnsi="Times New Roman" w:cs="Times New Roman"/>
                      <w:color w:val="000000"/>
                      <w:kern w:val="0"/>
                      <w:sz w:val="21"/>
                      <w:szCs w:val="21"/>
                      <w:highlight w:val="yellow"/>
                      <w:lang w:bidi="ar"/>
                    </w:rPr>
                    <w:t>至指定表土暂存场</w:t>
                  </w:r>
                </w:p>
              </w:tc>
            </w:tr>
            <w:tr w14:paraId="6CE9A4D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0F511F2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3</w:t>
                  </w:r>
                </w:p>
              </w:tc>
              <w:tc>
                <w:tcPr>
                  <w:tcW w:w="1741" w:type="pct"/>
                  <w:shd w:val="clear"/>
                  <w:noWrap w:val="0"/>
                  <w:vAlign w:val="center"/>
                </w:tcPr>
                <w:p w14:paraId="2D1CB4ED">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清基</w:t>
                  </w:r>
                  <w:r>
                    <w:rPr>
                      <w:rFonts w:hint="default" w:ascii="Times New Roman" w:hAnsi="Times New Roman" w:eastAsia="等线" w:cs="Times New Roman"/>
                      <w:color w:val="000000"/>
                      <w:kern w:val="0"/>
                      <w:sz w:val="21"/>
                      <w:szCs w:val="21"/>
                      <w:highlight w:val="yellow"/>
                      <w:lang w:bidi="ar"/>
                    </w:rPr>
                    <w:t>30c</w:t>
                  </w:r>
                  <w:r>
                    <w:rPr>
                      <w:rFonts w:hint="default" w:ascii="Times New Roman" w:hAnsi="Times New Roman" w:eastAsia="等线" w:cs="Times New Roman"/>
                      <w:color w:val="000000"/>
                      <w:kern w:val="0"/>
                      <w:sz w:val="21"/>
                      <w:szCs w:val="21"/>
                      <w:highlight w:val="yellow"/>
                      <w:lang w:eastAsia="zh-CN" w:bidi="ar"/>
                    </w:rPr>
                    <w:t>m</w:t>
                  </w:r>
                </w:p>
              </w:tc>
              <w:tc>
                <w:tcPr>
                  <w:tcW w:w="327" w:type="pct"/>
                  <w:shd w:val="clear"/>
                  <w:noWrap w:val="0"/>
                  <w:vAlign w:val="center"/>
                </w:tcPr>
                <w:p w14:paraId="3C817F08">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spacing w:val="-4"/>
                      <w:kern w:val="52"/>
                      <w:highlight w:val="yellow"/>
                      <w:vertAlign w:val="superscript"/>
                    </w:rPr>
                    <w:t>3</w:t>
                  </w:r>
                </w:p>
              </w:tc>
              <w:tc>
                <w:tcPr>
                  <w:tcW w:w="513" w:type="pct"/>
                  <w:shd w:val="clear"/>
                  <w:noWrap w:val="0"/>
                  <w:vAlign w:val="center"/>
                </w:tcPr>
                <w:p w14:paraId="1E2BF718">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10977</w:t>
                  </w:r>
                </w:p>
              </w:tc>
              <w:tc>
                <w:tcPr>
                  <w:tcW w:w="2059" w:type="pct"/>
                  <w:shd w:val="clear"/>
                  <w:noWrap w:val="0"/>
                  <w:vAlign w:val="center"/>
                </w:tcPr>
                <w:p w14:paraId="6C6F526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回填堤坡腐殖土</w:t>
                  </w:r>
                </w:p>
              </w:tc>
            </w:tr>
            <w:tr w14:paraId="7FEDEA5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67C567A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4</w:t>
                  </w:r>
                </w:p>
              </w:tc>
              <w:tc>
                <w:tcPr>
                  <w:tcW w:w="1741" w:type="pct"/>
                  <w:shd w:val="clear"/>
                  <w:noWrap w:val="0"/>
                  <w:vAlign w:val="center"/>
                </w:tcPr>
                <w:p w14:paraId="5C9E386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雷诺护垫</w:t>
                  </w:r>
                </w:p>
              </w:tc>
              <w:tc>
                <w:tcPr>
                  <w:tcW w:w="327" w:type="pct"/>
                  <w:shd w:val="clear"/>
                  <w:noWrap w:val="0"/>
                  <w:vAlign w:val="center"/>
                </w:tcPr>
                <w:p w14:paraId="65620CE5">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spacing w:val="-4"/>
                      <w:kern w:val="52"/>
                      <w:highlight w:val="yellow"/>
                      <w:vertAlign w:val="superscript"/>
                    </w:rPr>
                    <w:t>3</w:t>
                  </w:r>
                </w:p>
              </w:tc>
              <w:tc>
                <w:tcPr>
                  <w:tcW w:w="513" w:type="pct"/>
                  <w:shd w:val="clear"/>
                  <w:noWrap w:val="0"/>
                  <w:vAlign w:val="center"/>
                </w:tcPr>
                <w:p w14:paraId="64B1311B">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25766</w:t>
                  </w:r>
                </w:p>
              </w:tc>
              <w:tc>
                <w:tcPr>
                  <w:tcW w:w="2059" w:type="pct"/>
                  <w:shd w:val="clear"/>
                  <w:noWrap w:val="0"/>
                  <w:vAlign w:val="center"/>
                </w:tcPr>
                <w:p w14:paraId="2A516BD1">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厚</w:t>
                  </w:r>
                  <w:r>
                    <w:rPr>
                      <w:rFonts w:hint="default" w:ascii="Times New Roman" w:hAnsi="Times New Roman" w:eastAsia="等线" w:cs="Times New Roman"/>
                      <w:color w:val="000000"/>
                      <w:kern w:val="0"/>
                      <w:sz w:val="21"/>
                      <w:szCs w:val="21"/>
                      <w:highlight w:val="yellow"/>
                      <w:lang w:bidi="ar"/>
                    </w:rPr>
                    <w:t>23c</w:t>
                  </w:r>
                  <w:r>
                    <w:rPr>
                      <w:rFonts w:hint="default" w:ascii="Times New Roman" w:hAnsi="Times New Roman" w:eastAsia="等线" w:cs="Times New Roman"/>
                      <w:color w:val="000000"/>
                      <w:kern w:val="0"/>
                      <w:sz w:val="21"/>
                      <w:szCs w:val="21"/>
                      <w:highlight w:val="yellow"/>
                      <w:lang w:eastAsia="zh-CN" w:bidi="ar"/>
                    </w:rPr>
                    <w:t>m</w:t>
                  </w:r>
                </w:p>
              </w:tc>
            </w:tr>
            <w:tr w14:paraId="755CDF3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68BEE64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5</w:t>
                  </w:r>
                </w:p>
              </w:tc>
              <w:tc>
                <w:tcPr>
                  <w:tcW w:w="1741" w:type="pct"/>
                  <w:shd w:val="clear"/>
                  <w:noWrap w:val="0"/>
                  <w:vAlign w:val="center"/>
                </w:tcPr>
                <w:p w14:paraId="4C4124ED">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碎石垫层</w:t>
                  </w:r>
                </w:p>
              </w:tc>
              <w:tc>
                <w:tcPr>
                  <w:tcW w:w="327" w:type="pct"/>
                  <w:shd w:val="clear"/>
                  <w:noWrap w:val="0"/>
                  <w:vAlign w:val="center"/>
                </w:tcPr>
                <w:p w14:paraId="69850DD1">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spacing w:val="-4"/>
                      <w:kern w:val="52"/>
                      <w:highlight w:val="yellow"/>
                      <w:vertAlign w:val="superscript"/>
                    </w:rPr>
                    <w:t>3</w:t>
                  </w:r>
                </w:p>
              </w:tc>
              <w:tc>
                <w:tcPr>
                  <w:tcW w:w="513" w:type="pct"/>
                  <w:shd w:val="clear"/>
                  <w:noWrap w:val="0"/>
                  <w:vAlign w:val="center"/>
                </w:tcPr>
                <w:p w14:paraId="43F0424E">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344291</w:t>
                  </w:r>
                </w:p>
              </w:tc>
              <w:tc>
                <w:tcPr>
                  <w:tcW w:w="2059" w:type="pct"/>
                  <w:shd w:val="clear"/>
                  <w:noWrap w:val="0"/>
                  <w:vAlign w:val="center"/>
                </w:tcPr>
                <w:p w14:paraId="47ACD7E5">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厚</w:t>
                  </w:r>
                  <w:r>
                    <w:rPr>
                      <w:rFonts w:hint="default" w:ascii="Times New Roman" w:hAnsi="Times New Roman" w:eastAsia="等线" w:cs="Times New Roman"/>
                      <w:color w:val="000000"/>
                      <w:kern w:val="0"/>
                      <w:sz w:val="21"/>
                      <w:szCs w:val="21"/>
                      <w:highlight w:val="yellow"/>
                      <w:lang w:bidi="ar"/>
                    </w:rPr>
                    <w:t>10c</w:t>
                  </w:r>
                  <w:r>
                    <w:rPr>
                      <w:rFonts w:hint="default" w:ascii="Times New Roman" w:hAnsi="Times New Roman" w:eastAsia="等线" w:cs="Times New Roman"/>
                      <w:color w:val="000000"/>
                      <w:kern w:val="0"/>
                      <w:sz w:val="21"/>
                      <w:szCs w:val="21"/>
                      <w:highlight w:val="yellow"/>
                      <w:lang w:eastAsia="zh-CN" w:bidi="ar"/>
                    </w:rPr>
                    <w:t>m</w:t>
                  </w:r>
                </w:p>
              </w:tc>
            </w:tr>
            <w:tr w14:paraId="47A3BAD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244FCF4A">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6</w:t>
                  </w:r>
                </w:p>
              </w:tc>
              <w:tc>
                <w:tcPr>
                  <w:tcW w:w="1741" w:type="pct"/>
                  <w:shd w:val="clear"/>
                  <w:noWrap w:val="0"/>
                  <w:vAlign w:val="center"/>
                </w:tcPr>
                <w:p w14:paraId="19324027">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无纺布</w:t>
                  </w:r>
                </w:p>
              </w:tc>
              <w:tc>
                <w:tcPr>
                  <w:tcW w:w="327" w:type="pct"/>
                  <w:shd w:val="clear"/>
                  <w:noWrap w:val="0"/>
                  <w:vAlign w:val="center"/>
                </w:tcPr>
                <w:p w14:paraId="738CF71D">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eastAsia="宋体" w:cs="Times New Roman"/>
                      <w:kern w:val="0"/>
                      <w:sz w:val="18"/>
                      <w:szCs w:val="28"/>
                      <w:highlight w:val="yellow"/>
                      <w:vertAlign w:val="superscript"/>
                      <w:lang w:val="en-US" w:eastAsia="zh-CN"/>
                    </w:rPr>
                    <w:t>2</w:t>
                  </w:r>
                </w:p>
              </w:tc>
              <w:tc>
                <w:tcPr>
                  <w:tcW w:w="513" w:type="pct"/>
                  <w:shd w:val="clear"/>
                  <w:noWrap w:val="0"/>
                  <w:vAlign w:val="center"/>
                </w:tcPr>
                <w:p w14:paraId="0BAE135C">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167256</w:t>
                  </w:r>
                </w:p>
              </w:tc>
              <w:tc>
                <w:tcPr>
                  <w:tcW w:w="2059" w:type="pct"/>
                  <w:shd w:val="clear"/>
                  <w:noWrap w:val="0"/>
                  <w:vAlign w:val="center"/>
                </w:tcPr>
                <w:p w14:paraId="7DD8704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bidi="ar"/>
                    </w:rPr>
                    <w:t>15kN/</w:t>
                  </w:r>
                  <w:r>
                    <w:rPr>
                      <w:rFonts w:hint="default" w:ascii="Times New Roman" w:hAnsi="Times New Roman" w:eastAsia="等线" w:cs="Times New Roman"/>
                      <w:color w:val="000000"/>
                      <w:kern w:val="0"/>
                      <w:sz w:val="21"/>
                      <w:szCs w:val="21"/>
                      <w:highlight w:val="yellow"/>
                      <w:lang w:eastAsia="zh-CN" w:bidi="ar"/>
                    </w:rPr>
                    <w:t>m</w:t>
                  </w:r>
                </w:p>
              </w:tc>
            </w:tr>
            <w:tr w14:paraId="203E499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05EE35AA">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7</w:t>
                  </w:r>
                </w:p>
              </w:tc>
              <w:tc>
                <w:tcPr>
                  <w:tcW w:w="1741" w:type="pct"/>
                  <w:shd w:val="clear"/>
                  <w:noWrap w:val="0"/>
                  <w:vAlign w:val="center"/>
                </w:tcPr>
                <w:p w14:paraId="72D4A522">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格宾石笼固脚</w:t>
                  </w:r>
                </w:p>
              </w:tc>
              <w:tc>
                <w:tcPr>
                  <w:tcW w:w="327" w:type="pct"/>
                  <w:shd w:val="clear"/>
                  <w:noWrap w:val="0"/>
                  <w:vAlign w:val="center"/>
                </w:tcPr>
                <w:p w14:paraId="5D864AB4">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spacing w:val="-4"/>
                      <w:kern w:val="52"/>
                      <w:highlight w:val="yellow"/>
                      <w:vertAlign w:val="superscript"/>
                    </w:rPr>
                    <w:t>3</w:t>
                  </w:r>
                </w:p>
              </w:tc>
              <w:tc>
                <w:tcPr>
                  <w:tcW w:w="513" w:type="pct"/>
                  <w:shd w:val="clear"/>
                  <w:noWrap w:val="0"/>
                  <w:vAlign w:val="center"/>
                </w:tcPr>
                <w:p w14:paraId="01087CCC">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29759</w:t>
                  </w:r>
                </w:p>
              </w:tc>
              <w:tc>
                <w:tcPr>
                  <w:tcW w:w="2059" w:type="pct"/>
                  <w:shd w:val="clear"/>
                  <w:noWrap w:val="0"/>
                  <w:vAlign w:val="center"/>
                </w:tcPr>
                <w:p w14:paraId="11768FB1">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宽</w:t>
                  </w:r>
                  <w:r>
                    <w:rPr>
                      <w:rFonts w:hint="default" w:ascii="Times New Roman" w:hAnsi="Times New Roman" w:eastAsia="等线" w:cs="Times New Roman"/>
                      <w:color w:val="000000"/>
                      <w:kern w:val="0"/>
                      <w:sz w:val="21"/>
                      <w:szCs w:val="21"/>
                      <w:highlight w:val="yellow"/>
                      <w:lang w:bidi="ar"/>
                    </w:rPr>
                    <w:t>1.0</w:t>
                  </w: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color w:val="000000"/>
                      <w:kern w:val="0"/>
                      <w:sz w:val="21"/>
                      <w:szCs w:val="21"/>
                      <w:highlight w:val="yellow"/>
                      <w:lang w:bidi="ar"/>
                    </w:rPr>
                    <w:t>，高</w:t>
                  </w:r>
                  <w:r>
                    <w:rPr>
                      <w:rFonts w:hint="default" w:ascii="Times New Roman" w:hAnsi="Times New Roman" w:eastAsia="等线" w:cs="Times New Roman"/>
                      <w:color w:val="000000"/>
                      <w:kern w:val="0"/>
                      <w:sz w:val="21"/>
                      <w:szCs w:val="21"/>
                      <w:highlight w:val="yellow"/>
                      <w:lang w:bidi="ar"/>
                    </w:rPr>
                    <w:t>1.0</w:t>
                  </w:r>
                  <w:r>
                    <w:rPr>
                      <w:rFonts w:hint="default" w:ascii="Times New Roman" w:hAnsi="Times New Roman" w:eastAsia="等线" w:cs="Times New Roman"/>
                      <w:color w:val="000000"/>
                      <w:kern w:val="0"/>
                      <w:sz w:val="21"/>
                      <w:szCs w:val="21"/>
                      <w:highlight w:val="yellow"/>
                      <w:lang w:eastAsia="zh-CN" w:bidi="ar"/>
                    </w:rPr>
                    <w:t>m</w:t>
                  </w:r>
                </w:p>
              </w:tc>
            </w:tr>
            <w:tr w14:paraId="2A1D8DD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373BB0BF">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8</w:t>
                  </w:r>
                </w:p>
              </w:tc>
              <w:tc>
                <w:tcPr>
                  <w:tcW w:w="1741" w:type="pct"/>
                  <w:shd w:val="clear"/>
                  <w:noWrap w:val="0"/>
                  <w:vAlign w:val="center"/>
                </w:tcPr>
                <w:p w14:paraId="27D87D7A">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背水侧填筑腐殖土</w:t>
                  </w:r>
                </w:p>
              </w:tc>
              <w:tc>
                <w:tcPr>
                  <w:tcW w:w="327" w:type="pct"/>
                  <w:shd w:val="clear"/>
                  <w:noWrap w:val="0"/>
                  <w:vAlign w:val="center"/>
                </w:tcPr>
                <w:p w14:paraId="66B35918">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spacing w:val="-4"/>
                      <w:kern w:val="52"/>
                      <w:highlight w:val="yellow"/>
                      <w:vertAlign w:val="superscript"/>
                    </w:rPr>
                    <w:t>3</w:t>
                  </w:r>
                </w:p>
              </w:tc>
              <w:tc>
                <w:tcPr>
                  <w:tcW w:w="513" w:type="pct"/>
                  <w:shd w:val="clear"/>
                  <w:noWrap w:val="0"/>
                  <w:vAlign w:val="center"/>
                </w:tcPr>
                <w:p w14:paraId="03EDBE25">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33732</w:t>
                  </w:r>
                </w:p>
              </w:tc>
              <w:tc>
                <w:tcPr>
                  <w:tcW w:w="2059" w:type="pct"/>
                  <w:shd w:val="clear"/>
                  <w:noWrap w:val="0"/>
                  <w:vAlign w:val="center"/>
                </w:tcPr>
                <w:p w14:paraId="51CF6E9E">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利用清基方</w:t>
                  </w:r>
                </w:p>
              </w:tc>
            </w:tr>
            <w:tr w14:paraId="32379DE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5097A1EF">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9</w:t>
                  </w:r>
                </w:p>
              </w:tc>
              <w:tc>
                <w:tcPr>
                  <w:tcW w:w="1741" w:type="pct"/>
                  <w:shd w:val="clear"/>
                  <w:noWrap w:val="0"/>
                  <w:vAlign w:val="center"/>
                </w:tcPr>
                <w:p w14:paraId="3FA0173E">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草籽护坡</w:t>
                  </w:r>
                </w:p>
              </w:tc>
              <w:tc>
                <w:tcPr>
                  <w:tcW w:w="327" w:type="pct"/>
                  <w:shd w:val="clear"/>
                  <w:noWrap w:val="0"/>
                  <w:vAlign w:val="center"/>
                </w:tcPr>
                <w:p w14:paraId="1A64D981">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hm</w:t>
                  </w:r>
                  <w:r>
                    <w:rPr>
                      <w:rFonts w:hint="default" w:ascii="Times New Roman" w:hAnsi="Times New Roman" w:eastAsia="宋体" w:cs="Times New Roman"/>
                      <w:b w:val="0"/>
                      <w:bCs w:val="0"/>
                      <w:sz w:val="21"/>
                      <w:szCs w:val="21"/>
                      <w:highlight w:val="yellow"/>
                      <w:vertAlign w:val="superscript"/>
                      <w:lang w:val="en-US" w:eastAsia="zh-CN"/>
                    </w:rPr>
                    <w:t>2</w:t>
                  </w:r>
                </w:p>
              </w:tc>
              <w:tc>
                <w:tcPr>
                  <w:tcW w:w="513" w:type="pct"/>
                  <w:shd w:val="clear"/>
                  <w:noWrap w:val="0"/>
                  <w:vAlign w:val="center"/>
                </w:tcPr>
                <w:p w14:paraId="74B11643">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11</w:t>
                  </w:r>
                </w:p>
              </w:tc>
              <w:tc>
                <w:tcPr>
                  <w:tcW w:w="2059" w:type="pct"/>
                  <w:shd w:val="clear"/>
                  <w:noWrap w:val="0"/>
                  <w:vAlign w:val="center"/>
                </w:tcPr>
                <w:p w14:paraId="3F5D0A40">
                  <w:pPr>
                    <w:widowControl/>
                    <w:shd w:val="clear" w:color="auto" w:fill="auto"/>
                    <w:spacing w:line="240" w:lineRule="auto"/>
                    <w:jc w:val="center"/>
                    <w:rPr>
                      <w:rFonts w:hint="default" w:ascii="Times New Roman" w:hAnsi="Times New Roman" w:eastAsia="等线" w:cs="Times New Roman"/>
                      <w:color w:val="000000"/>
                      <w:kern w:val="2"/>
                      <w:sz w:val="21"/>
                      <w:szCs w:val="21"/>
                      <w:highlight w:val="yellow"/>
                      <w:lang w:val="en-US" w:eastAsia="zh-CN" w:bidi="ar-SA"/>
                    </w:rPr>
                  </w:pPr>
                </w:p>
              </w:tc>
            </w:tr>
            <w:tr w14:paraId="52B6AB4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24FA3596">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10</w:t>
                  </w:r>
                </w:p>
              </w:tc>
              <w:tc>
                <w:tcPr>
                  <w:tcW w:w="1741" w:type="pct"/>
                  <w:shd w:val="clear"/>
                  <w:noWrap w:val="0"/>
                  <w:vAlign w:val="center"/>
                </w:tcPr>
                <w:p w14:paraId="3A26E29C">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风化砂</w:t>
                  </w:r>
                  <w:r>
                    <w:rPr>
                      <w:rFonts w:hint="default" w:ascii="Times New Roman" w:hAnsi="Times New Roman" w:eastAsia="等线" w:cs="Times New Roman"/>
                      <w:color w:val="000000"/>
                      <w:kern w:val="0"/>
                      <w:sz w:val="21"/>
                      <w:szCs w:val="21"/>
                      <w:highlight w:val="yellow"/>
                      <w:lang w:bidi="ar"/>
                    </w:rPr>
                    <w:t>10c</w:t>
                  </w:r>
                  <w:r>
                    <w:rPr>
                      <w:rFonts w:hint="default" w:ascii="Times New Roman" w:hAnsi="Times New Roman" w:eastAsia="等线" w:cs="Times New Roman"/>
                      <w:color w:val="000000"/>
                      <w:kern w:val="0"/>
                      <w:sz w:val="21"/>
                      <w:szCs w:val="21"/>
                      <w:highlight w:val="yellow"/>
                      <w:lang w:eastAsia="zh-CN" w:bidi="ar"/>
                    </w:rPr>
                    <w:t>m</w:t>
                  </w:r>
                </w:p>
              </w:tc>
              <w:tc>
                <w:tcPr>
                  <w:tcW w:w="327" w:type="pct"/>
                  <w:shd w:val="clear"/>
                  <w:noWrap w:val="0"/>
                  <w:vAlign w:val="center"/>
                </w:tcPr>
                <w:p w14:paraId="037D6E2B">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eastAsia="宋体" w:cs="Times New Roman"/>
                      <w:kern w:val="0"/>
                      <w:sz w:val="18"/>
                      <w:szCs w:val="28"/>
                      <w:highlight w:val="yellow"/>
                      <w:vertAlign w:val="superscript"/>
                      <w:lang w:val="en-US" w:eastAsia="zh-CN"/>
                    </w:rPr>
                    <w:t>2</w:t>
                  </w:r>
                </w:p>
              </w:tc>
              <w:tc>
                <w:tcPr>
                  <w:tcW w:w="513" w:type="pct"/>
                  <w:shd w:val="clear"/>
                  <w:noWrap w:val="0"/>
                  <w:vAlign w:val="center"/>
                </w:tcPr>
                <w:p w14:paraId="44A62B89">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38910</w:t>
                  </w:r>
                </w:p>
              </w:tc>
              <w:tc>
                <w:tcPr>
                  <w:tcW w:w="2059" w:type="pct"/>
                  <w:noWrap w:val="0"/>
                  <w:vAlign w:val="center"/>
                </w:tcPr>
                <w:p w14:paraId="0716388A">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p>
              </w:tc>
            </w:tr>
            <w:tr w14:paraId="41E8193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22E731A8">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11</w:t>
                  </w:r>
                </w:p>
              </w:tc>
              <w:tc>
                <w:tcPr>
                  <w:tcW w:w="1741" w:type="pct"/>
                  <w:shd w:val="clear"/>
                  <w:noWrap w:val="0"/>
                  <w:vAlign w:val="center"/>
                </w:tcPr>
                <w:p w14:paraId="6958712E">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土毛石基础</w:t>
                  </w:r>
                  <w:r>
                    <w:rPr>
                      <w:rFonts w:hint="default" w:ascii="Times New Roman" w:hAnsi="Times New Roman" w:eastAsia="等线" w:cs="Times New Roman"/>
                      <w:color w:val="000000"/>
                      <w:kern w:val="0"/>
                      <w:sz w:val="21"/>
                      <w:szCs w:val="21"/>
                      <w:highlight w:val="yellow"/>
                      <w:lang w:bidi="ar"/>
                    </w:rPr>
                    <w:t>20c</w:t>
                  </w:r>
                  <w:r>
                    <w:rPr>
                      <w:rFonts w:hint="default" w:ascii="Times New Roman" w:hAnsi="Times New Roman" w:eastAsia="等线" w:cs="Times New Roman"/>
                      <w:color w:val="000000"/>
                      <w:kern w:val="0"/>
                      <w:sz w:val="21"/>
                      <w:szCs w:val="21"/>
                      <w:highlight w:val="yellow"/>
                      <w:lang w:eastAsia="zh-CN" w:bidi="ar"/>
                    </w:rPr>
                    <w:t>m</w:t>
                  </w:r>
                </w:p>
              </w:tc>
              <w:tc>
                <w:tcPr>
                  <w:tcW w:w="327" w:type="pct"/>
                  <w:shd w:val="clear"/>
                  <w:noWrap w:val="0"/>
                  <w:vAlign w:val="center"/>
                </w:tcPr>
                <w:p w14:paraId="007BB535">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eastAsia="宋体" w:cs="Times New Roman"/>
                      <w:kern w:val="0"/>
                      <w:sz w:val="18"/>
                      <w:szCs w:val="28"/>
                      <w:highlight w:val="yellow"/>
                      <w:vertAlign w:val="superscript"/>
                      <w:lang w:val="en-US" w:eastAsia="zh-CN"/>
                    </w:rPr>
                    <w:t>2</w:t>
                  </w:r>
                </w:p>
              </w:tc>
              <w:tc>
                <w:tcPr>
                  <w:tcW w:w="513" w:type="pct"/>
                  <w:shd w:val="clear"/>
                  <w:noWrap w:val="0"/>
                  <w:vAlign w:val="center"/>
                </w:tcPr>
                <w:p w14:paraId="327E673F">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yellow"/>
                      <w:lang w:val="en-US" w:eastAsia="zh-CN" w:bidi="ar"/>
                    </w:rPr>
                  </w:pPr>
                  <w:r>
                    <w:rPr>
                      <w:rFonts w:hint="eastAsia" w:eastAsia="等线" w:cs="Times New Roman"/>
                      <w:color w:val="000000"/>
                      <w:kern w:val="0"/>
                      <w:sz w:val="21"/>
                      <w:szCs w:val="21"/>
                      <w:highlight w:val="yellow"/>
                      <w:lang w:val="en-US" w:eastAsia="zh-CN" w:bidi="ar"/>
                    </w:rPr>
                    <w:t>41773</w:t>
                  </w:r>
                </w:p>
              </w:tc>
              <w:tc>
                <w:tcPr>
                  <w:tcW w:w="2059" w:type="pct"/>
                  <w:noWrap w:val="0"/>
                  <w:vAlign w:val="center"/>
                </w:tcPr>
                <w:p w14:paraId="6EE3DD24">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p>
              </w:tc>
            </w:tr>
            <w:tr w14:paraId="55FD9BB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7A6537E7">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12</w:t>
                  </w:r>
                </w:p>
              </w:tc>
              <w:tc>
                <w:tcPr>
                  <w:tcW w:w="1741" w:type="pct"/>
                  <w:shd w:val="clear"/>
                  <w:noWrap w:val="0"/>
                  <w:vAlign w:val="center"/>
                </w:tcPr>
                <w:p w14:paraId="29944FAE">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上堤路</w:t>
                  </w:r>
                </w:p>
              </w:tc>
              <w:tc>
                <w:tcPr>
                  <w:tcW w:w="327" w:type="pct"/>
                  <w:shd w:val="clear"/>
                  <w:noWrap w:val="0"/>
                  <w:vAlign w:val="center"/>
                </w:tcPr>
                <w:p w14:paraId="3D8A566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处</w:t>
                  </w:r>
                </w:p>
              </w:tc>
              <w:tc>
                <w:tcPr>
                  <w:tcW w:w="513" w:type="pct"/>
                  <w:shd w:val="clear"/>
                  <w:noWrap w:val="0"/>
                  <w:vAlign w:val="center"/>
                </w:tcPr>
                <w:p w14:paraId="35549EEA">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20</w:t>
                  </w:r>
                </w:p>
              </w:tc>
              <w:tc>
                <w:tcPr>
                  <w:tcW w:w="2059" w:type="pct"/>
                  <w:noWrap w:val="0"/>
                  <w:vAlign w:val="center"/>
                </w:tcPr>
                <w:p w14:paraId="4B1C2610">
                  <w:pPr>
                    <w:widowControl/>
                    <w:shd w:val="clear" w:color="auto" w:fill="auto"/>
                    <w:spacing w:line="240" w:lineRule="auto"/>
                    <w:jc w:val="center"/>
                    <w:rPr>
                      <w:rFonts w:hint="default" w:ascii="Times New Roman" w:hAnsi="Times New Roman" w:eastAsia="等线" w:cs="Times New Roman"/>
                      <w:color w:val="000000"/>
                      <w:kern w:val="2"/>
                      <w:sz w:val="21"/>
                      <w:szCs w:val="21"/>
                      <w:highlight w:val="yellow"/>
                      <w:lang w:val="en-US" w:eastAsia="zh-CN" w:bidi="ar-SA"/>
                    </w:rPr>
                  </w:pPr>
                </w:p>
              </w:tc>
            </w:tr>
            <w:tr w14:paraId="717945B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2D3466F8">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13</w:t>
                  </w:r>
                </w:p>
              </w:tc>
              <w:tc>
                <w:tcPr>
                  <w:tcW w:w="1741" w:type="pct"/>
                  <w:shd w:val="clear"/>
                  <w:noWrap w:val="0"/>
                  <w:vAlign w:val="center"/>
                </w:tcPr>
                <w:p w14:paraId="1346BADB">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错车平台</w:t>
                  </w:r>
                </w:p>
              </w:tc>
              <w:tc>
                <w:tcPr>
                  <w:tcW w:w="327" w:type="pct"/>
                  <w:shd w:val="clear"/>
                  <w:noWrap w:val="0"/>
                  <w:vAlign w:val="center"/>
                </w:tcPr>
                <w:p w14:paraId="3BA7F72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处</w:t>
                  </w:r>
                </w:p>
              </w:tc>
              <w:tc>
                <w:tcPr>
                  <w:tcW w:w="513" w:type="pct"/>
                  <w:shd w:val="clear"/>
                  <w:noWrap w:val="0"/>
                  <w:vAlign w:val="center"/>
                </w:tcPr>
                <w:p w14:paraId="7067FEA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20</w:t>
                  </w:r>
                </w:p>
              </w:tc>
              <w:tc>
                <w:tcPr>
                  <w:tcW w:w="2059" w:type="pct"/>
                  <w:noWrap w:val="0"/>
                  <w:vAlign w:val="center"/>
                </w:tcPr>
                <w:p w14:paraId="6CBD1258">
                  <w:pPr>
                    <w:widowControl/>
                    <w:shd w:val="clear" w:color="auto" w:fill="auto"/>
                    <w:spacing w:line="240" w:lineRule="auto"/>
                    <w:jc w:val="center"/>
                    <w:rPr>
                      <w:rFonts w:hint="default" w:ascii="Times New Roman" w:hAnsi="Times New Roman" w:eastAsia="等线" w:cs="Times New Roman"/>
                      <w:color w:val="000000"/>
                      <w:kern w:val="2"/>
                      <w:sz w:val="21"/>
                      <w:szCs w:val="21"/>
                      <w:highlight w:val="yellow"/>
                      <w:lang w:val="en-US" w:eastAsia="zh-CN" w:bidi="ar-SA"/>
                    </w:rPr>
                  </w:pPr>
                </w:p>
              </w:tc>
            </w:tr>
            <w:tr w14:paraId="3B13CC0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5965FC8F">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14</w:t>
                  </w:r>
                </w:p>
              </w:tc>
              <w:tc>
                <w:tcPr>
                  <w:tcW w:w="1741" w:type="pct"/>
                  <w:shd w:val="clear"/>
                  <w:noWrap w:val="0"/>
                  <w:vAlign w:val="center"/>
                </w:tcPr>
                <w:p w14:paraId="2BF5B615">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挡墙砼</w:t>
                  </w:r>
                </w:p>
              </w:tc>
              <w:tc>
                <w:tcPr>
                  <w:tcW w:w="327" w:type="pct"/>
                  <w:shd w:val="clear"/>
                  <w:noWrap w:val="0"/>
                  <w:vAlign w:val="center"/>
                </w:tcPr>
                <w:p w14:paraId="0D804CAD">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spacing w:val="-4"/>
                      <w:kern w:val="52"/>
                      <w:highlight w:val="yellow"/>
                      <w:vertAlign w:val="superscript"/>
                    </w:rPr>
                    <w:t>3</w:t>
                  </w:r>
                </w:p>
              </w:tc>
              <w:tc>
                <w:tcPr>
                  <w:tcW w:w="513" w:type="pct"/>
                  <w:shd w:val="clear"/>
                  <w:noWrap w:val="0"/>
                  <w:vAlign w:val="center"/>
                </w:tcPr>
                <w:p w14:paraId="56F1DE7D">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9660</w:t>
                  </w:r>
                </w:p>
              </w:tc>
              <w:tc>
                <w:tcPr>
                  <w:tcW w:w="2059" w:type="pct"/>
                  <w:shd w:val="clear"/>
                  <w:noWrap w:val="0"/>
                  <w:vAlign w:val="center"/>
                </w:tcPr>
                <w:p w14:paraId="20E2312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bidi="ar"/>
                    </w:rPr>
                    <w:t>C25F200</w:t>
                  </w:r>
                  <w:r>
                    <w:rPr>
                      <w:rFonts w:hint="default" w:ascii="Times New Roman" w:hAnsi="Times New Roman" w:cs="Times New Roman"/>
                      <w:color w:val="000000"/>
                      <w:kern w:val="0"/>
                      <w:sz w:val="21"/>
                      <w:szCs w:val="21"/>
                      <w:highlight w:val="yellow"/>
                      <w:lang w:bidi="ar"/>
                    </w:rPr>
                    <w:t>、</w:t>
                  </w:r>
                  <w:r>
                    <w:rPr>
                      <w:rFonts w:hint="default" w:ascii="Times New Roman" w:hAnsi="Times New Roman" w:eastAsia="等线" w:cs="Times New Roman"/>
                      <w:color w:val="000000"/>
                      <w:kern w:val="0"/>
                      <w:sz w:val="21"/>
                      <w:szCs w:val="21"/>
                      <w:highlight w:val="yellow"/>
                      <w:lang w:bidi="ar"/>
                    </w:rPr>
                    <w:t>40c</w:t>
                  </w:r>
                  <w:r>
                    <w:rPr>
                      <w:rFonts w:hint="default" w:ascii="Times New Roman" w:hAnsi="Times New Roman" w:eastAsia="等线" w:cs="Times New Roman"/>
                      <w:color w:val="000000"/>
                      <w:kern w:val="0"/>
                      <w:sz w:val="21"/>
                      <w:szCs w:val="21"/>
                      <w:highlight w:val="yellow"/>
                      <w:lang w:eastAsia="zh-CN" w:bidi="ar"/>
                    </w:rPr>
                    <w:t>m</w:t>
                  </w:r>
                </w:p>
              </w:tc>
            </w:tr>
            <w:tr w14:paraId="77070F3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7AA88816">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15</w:t>
                  </w:r>
                </w:p>
              </w:tc>
              <w:tc>
                <w:tcPr>
                  <w:tcW w:w="1741" w:type="pct"/>
                  <w:shd w:val="clear"/>
                  <w:noWrap w:val="0"/>
                  <w:vAlign w:val="center"/>
                </w:tcPr>
                <w:p w14:paraId="5A84318D">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素砼垫层</w:t>
                  </w:r>
                </w:p>
              </w:tc>
              <w:tc>
                <w:tcPr>
                  <w:tcW w:w="327" w:type="pct"/>
                  <w:shd w:val="clear"/>
                  <w:noWrap w:val="0"/>
                  <w:vAlign w:val="center"/>
                </w:tcPr>
                <w:p w14:paraId="2C48F8C5">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spacing w:val="-4"/>
                      <w:kern w:val="52"/>
                      <w:highlight w:val="yellow"/>
                      <w:vertAlign w:val="superscript"/>
                    </w:rPr>
                    <w:t>3</w:t>
                  </w:r>
                </w:p>
              </w:tc>
              <w:tc>
                <w:tcPr>
                  <w:tcW w:w="513" w:type="pct"/>
                  <w:shd w:val="clear"/>
                  <w:noWrap w:val="0"/>
                  <w:vAlign w:val="center"/>
                </w:tcPr>
                <w:p w14:paraId="7FE1C03E">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941</w:t>
                  </w:r>
                </w:p>
              </w:tc>
              <w:tc>
                <w:tcPr>
                  <w:tcW w:w="2059" w:type="pct"/>
                  <w:shd w:val="clear"/>
                  <w:noWrap w:val="0"/>
                  <w:vAlign w:val="center"/>
                </w:tcPr>
                <w:p w14:paraId="3D900D1A">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bidi="ar"/>
                    </w:rPr>
                    <w:t>10c</w:t>
                  </w:r>
                  <w:r>
                    <w:rPr>
                      <w:rFonts w:hint="default" w:ascii="Times New Roman" w:hAnsi="Times New Roman" w:eastAsia="等线" w:cs="Times New Roman"/>
                      <w:color w:val="000000"/>
                      <w:kern w:val="0"/>
                      <w:sz w:val="21"/>
                      <w:szCs w:val="21"/>
                      <w:highlight w:val="yellow"/>
                      <w:lang w:eastAsia="zh-CN" w:bidi="ar"/>
                    </w:rPr>
                    <w:t>m</w:t>
                  </w:r>
                </w:p>
              </w:tc>
            </w:tr>
            <w:tr w14:paraId="0EE3DBC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7A862E0F">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16</w:t>
                  </w:r>
                </w:p>
              </w:tc>
              <w:tc>
                <w:tcPr>
                  <w:tcW w:w="1741" w:type="pct"/>
                  <w:shd w:val="clear"/>
                  <w:noWrap w:val="0"/>
                  <w:vAlign w:val="center"/>
                </w:tcPr>
                <w:p w14:paraId="2C258426">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挤塑板</w:t>
                  </w:r>
                </w:p>
              </w:tc>
              <w:tc>
                <w:tcPr>
                  <w:tcW w:w="327" w:type="pct"/>
                  <w:shd w:val="clear"/>
                  <w:noWrap w:val="0"/>
                  <w:vAlign w:val="center"/>
                </w:tcPr>
                <w:p w14:paraId="4A0F95BE">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eastAsia="宋体" w:cs="Times New Roman"/>
                      <w:kern w:val="0"/>
                      <w:sz w:val="18"/>
                      <w:szCs w:val="28"/>
                      <w:highlight w:val="yellow"/>
                      <w:vertAlign w:val="superscript"/>
                      <w:lang w:val="en-US" w:eastAsia="zh-CN"/>
                    </w:rPr>
                    <w:t>2</w:t>
                  </w:r>
                </w:p>
              </w:tc>
              <w:tc>
                <w:tcPr>
                  <w:tcW w:w="513" w:type="pct"/>
                  <w:shd w:val="clear"/>
                  <w:noWrap w:val="0"/>
                  <w:vAlign w:val="center"/>
                </w:tcPr>
                <w:p w14:paraId="0C111A3F">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9408</w:t>
                  </w:r>
                </w:p>
              </w:tc>
              <w:tc>
                <w:tcPr>
                  <w:tcW w:w="2059" w:type="pct"/>
                  <w:shd w:val="clear"/>
                  <w:noWrap w:val="0"/>
                  <w:vAlign w:val="center"/>
                </w:tcPr>
                <w:p w14:paraId="649B4D17">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bidi="ar"/>
                    </w:rPr>
                    <w:t>10c</w:t>
                  </w: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cs="Times New Roman"/>
                      <w:color w:val="000000"/>
                      <w:kern w:val="0"/>
                      <w:sz w:val="21"/>
                      <w:szCs w:val="21"/>
                      <w:highlight w:val="yellow"/>
                      <w:lang w:bidi="ar"/>
                    </w:rPr>
                    <w:t>（</w:t>
                  </w:r>
                  <w:r>
                    <w:rPr>
                      <w:rFonts w:hint="default" w:ascii="Times New Roman" w:hAnsi="Times New Roman" w:eastAsia="等线" w:cs="Times New Roman"/>
                      <w:color w:val="000000"/>
                      <w:kern w:val="0"/>
                      <w:sz w:val="21"/>
                      <w:szCs w:val="21"/>
                      <w:highlight w:val="yellow"/>
                      <w:lang w:bidi="ar"/>
                    </w:rPr>
                    <w:t>150kPa</w:t>
                  </w:r>
                  <w:r>
                    <w:rPr>
                      <w:rFonts w:hint="default" w:ascii="Times New Roman" w:hAnsi="Times New Roman" w:cs="Times New Roman"/>
                      <w:color w:val="000000"/>
                      <w:kern w:val="0"/>
                      <w:sz w:val="21"/>
                      <w:szCs w:val="21"/>
                      <w:highlight w:val="yellow"/>
                      <w:lang w:bidi="ar"/>
                    </w:rPr>
                    <w:t>）</w:t>
                  </w:r>
                </w:p>
              </w:tc>
            </w:tr>
            <w:tr w14:paraId="05C64F7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3282AF2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17</w:t>
                  </w:r>
                </w:p>
              </w:tc>
              <w:tc>
                <w:tcPr>
                  <w:tcW w:w="1741" w:type="pct"/>
                  <w:shd w:val="clear"/>
                  <w:noWrap w:val="0"/>
                  <w:vAlign w:val="center"/>
                </w:tcPr>
                <w:p w14:paraId="4F58DA93">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复合土工膜</w:t>
                  </w:r>
                </w:p>
              </w:tc>
              <w:tc>
                <w:tcPr>
                  <w:tcW w:w="327" w:type="pct"/>
                  <w:shd w:val="clear"/>
                  <w:noWrap w:val="0"/>
                  <w:vAlign w:val="center"/>
                </w:tcPr>
                <w:p w14:paraId="634C849A">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eastAsia="宋体" w:cs="Times New Roman"/>
                      <w:kern w:val="0"/>
                      <w:sz w:val="18"/>
                      <w:szCs w:val="28"/>
                      <w:highlight w:val="yellow"/>
                      <w:vertAlign w:val="superscript"/>
                      <w:lang w:val="en-US" w:eastAsia="zh-CN"/>
                    </w:rPr>
                    <w:t>2</w:t>
                  </w:r>
                </w:p>
              </w:tc>
              <w:tc>
                <w:tcPr>
                  <w:tcW w:w="513" w:type="pct"/>
                  <w:shd w:val="clear"/>
                  <w:noWrap w:val="0"/>
                  <w:vAlign w:val="center"/>
                </w:tcPr>
                <w:p w14:paraId="4C075921">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16762</w:t>
                  </w:r>
                </w:p>
              </w:tc>
              <w:tc>
                <w:tcPr>
                  <w:tcW w:w="2059" w:type="pct"/>
                  <w:shd w:val="clear"/>
                  <w:noWrap w:val="0"/>
                  <w:vAlign w:val="center"/>
                </w:tcPr>
                <w:p w14:paraId="1686935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两布一膜（</w:t>
                  </w:r>
                  <w:r>
                    <w:rPr>
                      <w:rFonts w:hint="default" w:ascii="Times New Roman" w:hAnsi="Times New Roman" w:eastAsia="等线" w:cs="Times New Roman"/>
                      <w:color w:val="000000"/>
                      <w:kern w:val="0"/>
                      <w:sz w:val="21"/>
                      <w:szCs w:val="21"/>
                      <w:highlight w:val="yellow"/>
                      <w:lang w:bidi="ar"/>
                    </w:rPr>
                    <w:t>200g/</w:t>
                  </w: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eastAsia="宋体" w:cs="Times New Roman"/>
                      <w:kern w:val="0"/>
                      <w:sz w:val="18"/>
                      <w:szCs w:val="28"/>
                      <w:highlight w:val="yellow"/>
                      <w:vertAlign w:val="superscript"/>
                      <w:lang w:val="en-US" w:eastAsia="zh-CN"/>
                    </w:rPr>
                    <w:t>2</w:t>
                  </w:r>
                  <w:r>
                    <w:rPr>
                      <w:rFonts w:hint="default" w:ascii="Times New Roman" w:hAnsi="Times New Roman" w:eastAsia="等线" w:cs="Times New Roman"/>
                      <w:color w:val="000000"/>
                      <w:kern w:val="0"/>
                      <w:sz w:val="21"/>
                      <w:szCs w:val="21"/>
                      <w:highlight w:val="yellow"/>
                      <w:lang w:bidi="ar"/>
                    </w:rPr>
                    <w:t>/0.30</w:t>
                  </w:r>
                  <w:r>
                    <w:rPr>
                      <w:rFonts w:hint="default" w:ascii="Times New Roman" w:hAnsi="Times New Roman" w:eastAsia="等线" w:cs="Times New Roman"/>
                      <w:color w:val="000000"/>
                      <w:kern w:val="0"/>
                      <w:sz w:val="21"/>
                      <w:szCs w:val="21"/>
                      <w:highlight w:val="yellow"/>
                      <w:lang w:eastAsia="zh-CN" w:bidi="ar"/>
                    </w:rPr>
                    <w:t>mm</w:t>
                  </w:r>
                  <w:r>
                    <w:rPr>
                      <w:rFonts w:hint="default" w:ascii="Times New Roman" w:hAnsi="Times New Roman" w:eastAsia="等线" w:cs="Times New Roman"/>
                      <w:color w:val="000000"/>
                      <w:kern w:val="0"/>
                      <w:sz w:val="21"/>
                      <w:szCs w:val="21"/>
                      <w:highlight w:val="yellow"/>
                      <w:lang w:bidi="ar"/>
                    </w:rPr>
                    <w:t>/200g/</w:t>
                  </w: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eastAsia="宋体" w:cs="Times New Roman"/>
                      <w:kern w:val="0"/>
                      <w:sz w:val="18"/>
                      <w:szCs w:val="28"/>
                      <w:highlight w:val="yellow"/>
                      <w:vertAlign w:val="superscript"/>
                      <w:lang w:val="en-US" w:eastAsia="zh-CN"/>
                    </w:rPr>
                    <w:t>2</w:t>
                  </w:r>
                  <w:r>
                    <w:rPr>
                      <w:rFonts w:hint="default" w:ascii="Times New Roman" w:hAnsi="Times New Roman" w:cs="Times New Roman"/>
                      <w:color w:val="000000"/>
                      <w:kern w:val="0"/>
                      <w:sz w:val="21"/>
                      <w:szCs w:val="21"/>
                      <w:highlight w:val="yellow"/>
                      <w:lang w:bidi="ar"/>
                    </w:rPr>
                    <w:t>）</w:t>
                  </w:r>
                </w:p>
              </w:tc>
            </w:tr>
            <w:tr w14:paraId="6DDCA0D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58530AD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18</w:t>
                  </w:r>
                </w:p>
              </w:tc>
              <w:tc>
                <w:tcPr>
                  <w:tcW w:w="1741" w:type="pct"/>
                  <w:shd w:val="clear"/>
                  <w:noWrap w:val="0"/>
                  <w:vAlign w:val="center"/>
                </w:tcPr>
                <w:p w14:paraId="1808DF63">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橡胶止水</w:t>
                  </w:r>
                </w:p>
              </w:tc>
              <w:tc>
                <w:tcPr>
                  <w:tcW w:w="327" w:type="pct"/>
                  <w:shd w:val="clear"/>
                  <w:noWrap w:val="0"/>
                  <w:vAlign w:val="center"/>
                </w:tcPr>
                <w:p w14:paraId="2F304B66">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p>
              </w:tc>
              <w:tc>
                <w:tcPr>
                  <w:tcW w:w="513" w:type="pct"/>
                  <w:shd w:val="clear"/>
                  <w:noWrap w:val="0"/>
                  <w:vAlign w:val="center"/>
                </w:tcPr>
                <w:p w14:paraId="6B02F1D1">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1173</w:t>
                  </w:r>
                </w:p>
              </w:tc>
              <w:tc>
                <w:tcPr>
                  <w:tcW w:w="2059" w:type="pct"/>
                  <w:shd w:val="clear"/>
                  <w:noWrap w:val="0"/>
                  <w:vAlign w:val="center"/>
                </w:tcPr>
                <w:p w14:paraId="728D895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bidi="ar"/>
                    </w:rPr>
                    <w:t>651</w:t>
                  </w:r>
                  <w:r>
                    <w:rPr>
                      <w:rFonts w:hint="default" w:ascii="Times New Roman" w:hAnsi="Times New Roman" w:cs="Times New Roman"/>
                      <w:color w:val="000000"/>
                      <w:kern w:val="0"/>
                      <w:sz w:val="21"/>
                      <w:szCs w:val="21"/>
                      <w:highlight w:val="yellow"/>
                      <w:lang w:bidi="ar"/>
                    </w:rPr>
                    <w:t>型橡胶止水</w:t>
                  </w:r>
                </w:p>
              </w:tc>
            </w:tr>
            <w:tr w14:paraId="4D7E265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35ED05B6">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19</w:t>
                  </w:r>
                </w:p>
              </w:tc>
              <w:tc>
                <w:tcPr>
                  <w:tcW w:w="1741" w:type="pct"/>
                  <w:shd w:val="clear"/>
                  <w:noWrap w:val="0"/>
                  <w:vAlign w:val="center"/>
                </w:tcPr>
                <w:p w14:paraId="4E5B90F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聚乙烯填缝板</w:t>
                  </w:r>
                </w:p>
              </w:tc>
              <w:tc>
                <w:tcPr>
                  <w:tcW w:w="327" w:type="pct"/>
                  <w:shd w:val="clear"/>
                  <w:noWrap w:val="0"/>
                  <w:vAlign w:val="center"/>
                </w:tcPr>
                <w:p w14:paraId="5461E262">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eastAsia="宋体" w:cs="Times New Roman"/>
                      <w:kern w:val="0"/>
                      <w:sz w:val="18"/>
                      <w:szCs w:val="28"/>
                      <w:highlight w:val="yellow"/>
                      <w:vertAlign w:val="superscript"/>
                      <w:lang w:val="en-US" w:eastAsia="zh-CN"/>
                    </w:rPr>
                    <w:t>2</w:t>
                  </w:r>
                </w:p>
              </w:tc>
              <w:tc>
                <w:tcPr>
                  <w:tcW w:w="513" w:type="pct"/>
                  <w:shd w:val="clear"/>
                  <w:noWrap w:val="0"/>
                  <w:vAlign w:val="center"/>
                </w:tcPr>
                <w:p w14:paraId="78BE07FA">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964</w:t>
                  </w:r>
                </w:p>
              </w:tc>
              <w:tc>
                <w:tcPr>
                  <w:tcW w:w="2059" w:type="pct"/>
                  <w:shd w:val="clear"/>
                  <w:noWrap w:val="0"/>
                  <w:vAlign w:val="center"/>
                </w:tcPr>
                <w:p w14:paraId="1CC1C1FF">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bidi="ar"/>
                    </w:rPr>
                    <w:t>2c</w:t>
                  </w:r>
                  <w:r>
                    <w:rPr>
                      <w:rFonts w:hint="default" w:ascii="Times New Roman" w:hAnsi="Times New Roman" w:eastAsia="等线" w:cs="Times New Roman"/>
                      <w:color w:val="000000"/>
                      <w:kern w:val="0"/>
                      <w:sz w:val="21"/>
                      <w:szCs w:val="21"/>
                      <w:highlight w:val="yellow"/>
                      <w:lang w:eastAsia="zh-CN" w:bidi="ar"/>
                    </w:rPr>
                    <w:t>m</w:t>
                  </w:r>
                </w:p>
              </w:tc>
            </w:tr>
            <w:tr w14:paraId="5A74F23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0694C891">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20</w:t>
                  </w:r>
                </w:p>
              </w:tc>
              <w:tc>
                <w:tcPr>
                  <w:tcW w:w="1741" w:type="pct"/>
                  <w:shd w:val="clear"/>
                  <w:noWrap w:val="0"/>
                  <w:vAlign w:val="center"/>
                </w:tcPr>
                <w:p w14:paraId="3365672F">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钢筋</w:t>
                  </w:r>
                </w:p>
              </w:tc>
              <w:tc>
                <w:tcPr>
                  <w:tcW w:w="327" w:type="pct"/>
                  <w:shd w:val="clear"/>
                  <w:noWrap w:val="0"/>
                  <w:vAlign w:val="center"/>
                </w:tcPr>
                <w:p w14:paraId="36507AD4">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bidi="ar"/>
                    </w:rPr>
                    <w:t>t</w:t>
                  </w:r>
                </w:p>
              </w:tc>
              <w:tc>
                <w:tcPr>
                  <w:tcW w:w="513" w:type="pct"/>
                  <w:shd w:val="clear"/>
                  <w:noWrap w:val="0"/>
                  <w:vAlign w:val="center"/>
                </w:tcPr>
                <w:p w14:paraId="54B4289C">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609</w:t>
                  </w:r>
                </w:p>
              </w:tc>
              <w:tc>
                <w:tcPr>
                  <w:tcW w:w="2059" w:type="pct"/>
                  <w:shd w:val="clear"/>
                  <w:noWrap w:val="0"/>
                  <w:vAlign w:val="center"/>
                </w:tcPr>
                <w:p w14:paraId="40A1C098">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bidi="ar"/>
                    </w:rPr>
                    <w:t>HRB400</w:t>
                  </w:r>
                </w:p>
              </w:tc>
            </w:tr>
            <w:tr w14:paraId="5BED57F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58" w:type="pct"/>
                  <w:noWrap w:val="0"/>
                  <w:vAlign w:val="center"/>
                </w:tcPr>
                <w:p w14:paraId="7B8A0A5B">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21</w:t>
                  </w:r>
                </w:p>
              </w:tc>
              <w:tc>
                <w:tcPr>
                  <w:tcW w:w="1741" w:type="pct"/>
                  <w:shd w:val="clear"/>
                  <w:noWrap w:val="0"/>
                  <w:vAlign w:val="center"/>
                </w:tcPr>
                <w:p w14:paraId="683647CB">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cs="Times New Roman"/>
                      <w:color w:val="000000"/>
                      <w:kern w:val="0"/>
                      <w:sz w:val="21"/>
                      <w:szCs w:val="21"/>
                      <w:highlight w:val="yellow"/>
                      <w:lang w:bidi="ar"/>
                    </w:rPr>
                    <w:t>模板</w:t>
                  </w:r>
                </w:p>
              </w:tc>
              <w:tc>
                <w:tcPr>
                  <w:tcW w:w="327" w:type="pct"/>
                  <w:shd w:val="clear"/>
                  <w:noWrap w:val="0"/>
                  <w:vAlign w:val="center"/>
                </w:tcPr>
                <w:p w14:paraId="1BB9671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default" w:ascii="Times New Roman" w:hAnsi="Times New Roman" w:eastAsia="等线" w:cs="Times New Roman"/>
                      <w:color w:val="000000"/>
                      <w:kern w:val="0"/>
                      <w:sz w:val="21"/>
                      <w:szCs w:val="21"/>
                      <w:highlight w:val="yellow"/>
                      <w:lang w:eastAsia="zh-CN" w:bidi="ar"/>
                    </w:rPr>
                    <w:t>m</w:t>
                  </w:r>
                  <w:r>
                    <w:rPr>
                      <w:rFonts w:hint="default" w:ascii="Times New Roman" w:hAnsi="Times New Roman" w:eastAsia="宋体" w:cs="Times New Roman"/>
                      <w:kern w:val="0"/>
                      <w:sz w:val="18"/>
                      <w:szCs w:val="28"/>
                      <w:highlight w:val="yellow"/>
                      <w:vertAlign w:val="superscript"/>
                      <w:lang w:val="en-US" w:eastAsia="zh-CN"/>
                    </w:rPr>
                    <w:t>2</w:t>
                  </w:r>
                </w:p>
              </w:tc>
              <w:tc>
                <w:tcPr>
                  <w:tcW w:w="513" w:type="pct"/>
                  <w:shd w:val="clear"/>
                  <w:noWrap w:val="0"/>
                  <w:vAlign w:val="center"/>
                </w:tcPr>
                <w:p w14:paraId="1376B40C">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yellow"/>
                      <w:lang w:val="en-US" w:eastAsia="zh-CN" w:bidi="ar-SA"/>
                    </w:rPr>
                  </w:pPr>
                  <w:r>
                    <w:rPr>
                      <w:rFonts w:hint="eastAsia" w:eastAsia="等线" w:cs="Times New Roman"/>
                      <w:color w:val="000000"/>
                      <w:kern w:val="2"/>
                      <w:sz w:val="21"/>
                      <w:szCs w:val="21"/>
                      <w:highlight w:val="yellow"/>
                      <w:lang w:val="en-US" w:eastAsia="zh-CN" w:bidi="ar-SA"/>
                    </w:rPr>
                    <w:t>14490</w:t>
                  </w:r>
                </w:p>
              </w:tc>
              <w:tc>
                <w:tcPr>
                  <w:tcW w:w="2059" w:type="pct"/>
                  <w:shd w:val="clear"/>
                  <w:noWrap w:val="0"/>
                  <w:vAlign w:val="center"/>
                </w:tcPr>
                <w:p w14:paraId="505DA891">
                  <w:pPr>
                    <w:widowControl/>
                    <w:shd w:val="clear" w:color="auto" w:fill="auto"/>
                    <w:spacing w:line="240" w:lineRule="auto"/>
                    <w:jc w:val="center"/>
                    <w:rPr>
                      <w:rFonts w:hint="default" w:ascii="Times New Roman" w:hAnsi="Times New Roman" w:eastAsia="等线" w:cs="Times New Roman"/>
                      <w:color w:val="000000"/>
                      <w:kern w:val="2"/>
                      <w:sz w:val="21"/>
                      <w:szCs w:val="21"/>
                      <w:highlight w:val="yellow"/>
                      <w:lang w:val="en-US" w:eastAsia="zh-CN" w:bidi="ar-SA"/>
                    </w:rPr>
                  </w:pPr>
                </w:p>
              </w:tc>
            </w:tr>
          </w:tbl>
          <w:p w14:paraId="163F6A36">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2、结构</w:t>
            </w:r>
          </w:p>
          <w:p w14:paraId="63C54A73">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堤防</w:t>
            </w:r>
          </w:p>
          <w:p w14:paraId="389D1C59">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highlight w:val="none"/>
                <w:lang w:val="en-US" w:eastAsia="zh-CN"/>
              </w:rPr>
              <w:t>堤防迎水侧采用23c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厚雷诺护垫防护，下设10c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碎石垫层及一层无纺布。护坡顶部设23c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厚宽0.5</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雷诺护垫封顶，下部采用宽1.0</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、高1.0</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格宾石笼固脚。堤防背水侧采用草籽护坡。</w:t>
            </w:r>
          </w:p>
          <w:p w14:paraId="58083E54">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highlight w:val="none"/>
                <w:lang w:val="en-US" w:eastAsia="zh-CN"/>
              </w:rPr>
              <w:t>防洪墙为悬臂式挡土墙，墙高3.5</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，底宽2.8</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，墙体基础高0.6</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，挡墙墙身顶宽0.4</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，防洪墙前设置50c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格宾石笼护砌，护砌边坡1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1.0，边坡处采用复合土工膜防渗，护砌底部采用无纺布反滤，护脚处采用50c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格宾石笼，下设10c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碎石垫层和无纺布一层。</w:t>
            </w:r>
          </w:p>
          <w:p w14:paraId="40FF1FD9">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护岸</w:t>
            </w:r>
          </w:p>
          <w:p w14:paraId="572AFD2F">
            <w:pPr>
              <w:pStyle w:val="84"/>
              <w:keepNext w:val="0"/>
              <w:keepLines w:val="0"/>
              <w:pageBreakBefore w:val="0"/>
              <w:kinsoku/>
              <w:wordWrap/>
              <w:overflowPunct/>
              <w:topLinePunct w:val="0"/>
              <w:autoSpaceDE/>
              <w:autoSpaceDN/>
              <w:bidi w:val="0"/>
              <w:snapToGrid w:val="0"/>
              <w:spacing w:line="500" w:lineRule="exact"/>
              <w:ind w:right="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护岸工程采用格宾石笼墙式护岸型式，墙高1.5～3.5m，为重力式挡土墙护坡，采用格宾石笼绑扎，呈阶梯式布置，每层高度为50cm，下铺10cm碎石垫层和一层无纺布。挡土墙迎水侧错台宽度0.25m，格宾石笼与土基衔接处用无纺布反滤。格宾石笼挡墙前设置格宾石笼护脚，长度为3.0m。</w:t>
            </w:r>
          </w:p>
          <w:p w14:paraId="5F4FD790">
            <w:pPr>
              <w:pStyle w:val="84"/>
              <w:keepNext w:val="0"/>
              <w:keepLines w:val="0"/>
              <w:pageBreakBefore w:val="0"/>
              <w:kinsoku/>
              <w:wordWrap/>
              <w:overflowPunct/>
              <w:topLinePunct w:val="0"/>
              <w:autoSpaceDE/>
              <w:autoSpaceDN/>
              <w:bidi w:val="0"/>
              <w:snapToGrid w:val="0"/>
              <w:spacing w:line="500" w:lineRule="exact"/>
              <w:ind w:right="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建筑物</w:t>
            </w:r>
          </w:p>
          <w:p w14:paraId="3B1BD53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1）1号</w:t>
            </w:r>
            <w:r>
              <w:rPr>
                <w:rFonts w:hint="default" w:ascii="Times New Roman" w:hAnsi="Times New Roman" w:cs="Times New Roman"/>
                <w:sz w:val="24"/>
                <w:szCs w:val="24"/>
                <w:highlight w:val="none"/>
                <w:lang w:eastAsia="zh-CN"/>
              </w:rPr>
              <w:t>排水闸</w:t>
            </w:r>
          </w:p>
          <w:p w14:paraId="0342C21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，渠底高程为185.51</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71C4B1AA">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，采用钢筋混凝土结构，底板顶高程为185.51</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2CC0F79B">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洞身段长12.0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（1段），采用钢筋混凝土结构方涵，洞高1.8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（宽×高），单孔，洞身上部壁厚0.4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09D81AF2">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，采用开敞式结构，闸底板高程为185.51</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5F9DD76B">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，采用钢筋混凝土结构，消力池底高程185.01</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1EA87047">
            <w:pPr>
              <w:pStyle w:val="84"/>
              <w:keepNext w:val="0"/>
              <w:keepLines w:val="0"/>
              <w:pageBreakBefore w:val="0"/>
              <w:kinsoku/>
              <w:wordWrap/>
              <w:overflowPunct/>
              <w:topLinePunct w:val="0"/>
              <w:autoSpaceDE/>
              <w:autoSpaceDN/>
              <w:bidi w:val="0"/>
              <w:snapToGrid w:val="0"/>
              <w:spacing w:line="500" w:lineRule="exact"/>
              <w:ind w:right="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sz w:val="24"/>
                <w:szCs w:val="24"/>
                <w:highlight w:val="none"/>
              </w:rPr>
              <w:t>出口海漫段长8.0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，渠底高程为185.51</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33866BB5">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78D99B63">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，渠底高程为187.48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26DBCC05">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，采用钢筋混凝土结构，底板顶高程为187.48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5171553F">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洞身段长20.0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（2段，每段洞身长10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（宽×高），单孔，洞身上部壁厚0.4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30754A8C">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，采用开敞式结构，闸底板高程为187.48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34CDA346">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，采用钢筋混凝土结构，消力池底高程186.98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0678196C">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出口海漫段长8.0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，渠底高程为187.48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5BC40AEA">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023F72CE">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，渠底高程为186.64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368A6CE2">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，采用钢筋混凝土结构，底板顶高程为186.64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3E09CC64">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洞身段长22.5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（3段，每段长7.5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（宽×高），单孔，洞身上部壁厚0.4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5FD8BC63">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，采用开敞式结构，闸底板高程为186.64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43D51C3E">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，采用钢筋混凝土结构，消力池底高程186.14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24415949">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出口海漫段长8.0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，渠底高程为186.64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0882BC0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05168392">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，渠底高程为189.74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0FB316BF">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，采用钢筋混凝土结构，底板顶高程为189.74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75C575A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洞身段长16.0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（2段，每段洞身长8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，孔口尺寸为2.5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（宽×高），单孔，洞身上部壁厚0.4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35031680">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，采用开敞式结构，闸底板高程为189.74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56C43AA6">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，采用钢筋混凝土结构，消力池底高程189.24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3145C63E">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出口海漫段长8.0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，渠底高程为189.74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59DE8899">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60D4D44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，渠底高程为189.94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1960E6FA">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，采用钢筋混凝土结构，底板顶高程为189.94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0A887389">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洞身段长11.0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（1段），采用钢筋混凝土结构方涵，洞高1.8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（宽×高），单孔，洞身上部壁厚0.4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60D9F97B">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，采用开敞式结构，闸底板高程为189.94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123B2012">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，采用钢筋混凝土结构，消力池底高程189.44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32859DBE">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出口海漫段长8.0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，渠底高程为189.94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1A90C1D0">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7</w:t>
            </w:r>
            <w:r>
              <w:rPr>
                <w:rFonts w:hint="default" w:ascii="Times New Roman" w:hAnsi="Times New Roman" w:cs="Times New Roman"/>
                <w:sz w:val="24"/>
                <w:szCs w:val="24"/>
                <w:highlight w:val="none"/>
              </w:rPr>
              <w:t>号排水闸</w:t>
            </w:r>
          </w:p>
          <w:p w14:paraId="62D93127">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，闸门尺寸为2.5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，单孔，渠底高程为190.80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6D64224A">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闸室段长6.0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，采用开敞式结构，闸底板高程为190.80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5564F172">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lang w:val="en-US" w:eastAsia="zh-CN"/>
              </w:rPr>
              <w:t>7</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49AAFD0A">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，渠底高程为193.73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7B47F598">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，采用钢筋混凝土结构，底板顶高程为193.73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29D3DFAE">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洞身段长13.0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（2段，每段洞身长7.5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（宽×高），单孔，洞身上部壁厚0.4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0A31C88B">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，采用开敞式结构，闸底板高程为193.73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3CA5A023">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，采用钢筋混凝土结构，消力池底高程193.23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34EC7B06">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出口海漫段长8.0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，渠底高程为193.73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7DC859EB">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779CFAC2">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，渠底高程为193.24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碎石垫层和一层无纺布。底部设置格宾石笼固脚，尺寸为1.2</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×0.8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4B6D7D63">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，采用钢筋混凝土结构，底板顶高程为193.24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035CC60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洞身段长13.0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（2段，每段洞身长6.5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（宽×高），3孔，洞身上部壁厚0.4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274D8FBB">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，采用开敞式结构，闸底板高程为193.24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38ADA36A">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，采用钢筋混凝土结构，消力池底高程192.74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，底宽为6.0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77FE3620">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出口海漫段长15.0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，渠底高程为193.24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碎石垫层和一层无纺布。底部设置格宾石笼固脚，尺寸为1.2</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×0.8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5227974B">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10</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39875DA9">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，渠底高程为190.75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6405F8E9">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，采用钢筋混凝土结构，底板顶高程为190.75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38F29C4F">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洞身段长16.0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（2段，每段洞身长8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（宽×高），单孔，洞身上部壁厚0.4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76F9DFE6">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，采用开敞式结构，闸底板高程为190.75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4F7E34B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，采用钢筋混凝土结构，消力池底高程190.25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6CBB4842">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出口海漫段长8.0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，渠底宽2.0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，渠底高程为190.75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12BF52AF">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1</w:t>
            </w:r>
            <w:r>
              <w:rPr>
                <w:rFonts w:hint="default" w:ascii="Times New Roman" w:hAnsi="Times New Roman" w:cs="Times New Roman"/>
                <w:sz w:val="24"/>
                <w:szCs w:val="24"/>
                <w:highlight w:val="none"/>
                <w:lang w:val="en-US" w:eastAsia="zh-CN"/>
              </w:rPr>
              <w:t>0</w:t>
            </w:r>
            <w:r>
              <w:rPr>
                <w:rFonts w:hint="default" w:ascii="Times New Roman" w:hAnsi="Times New Roman" w:cs="Times New Roman"/>
                <w:sz w:val="24"/>
                <w:szCs w:val="24"/>
                <w:highlight w:val="none"/>
              </w:rPr>
              <w:t>）1</w:t>
            </w: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号</w:t>
            </w:r>
            <w:r>
              <w:rPr>
                <w:rFonts w:hint="default" w:ascii="Times New Roman" w:hAnsi="Times New Roman" w:cs="Times New Roman"/>
                <w:sz w:val="24"/>
                <w:szCs w:val="24"/>
                <w:highlight w:val="none"/>
                <w:lang w:eastAsia="zh-CN"/>
              </w:rPr>
              <w:t>排水闸</w:t>
            </w:r>
          </w:p>
          <w:p w14:paraId="7B4F1E18">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，渠底高程为198.27</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73E8689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，采用钢筋混凝土结构，底板顶高程为198.27</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7576A935">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洞身段长11</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（1段），采用钢筋混凝土结构方涵，洞高1.8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（宽×高），单孔，洞身上部壁厚0.4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5C598E53">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，采用开敞式结构，闸底板高程为198.27</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3EDF6242">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，采用钢筋混凝土结构，消力池底高程197.77</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3119C183">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出口海漫段长8.0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，渠底高程为198.27</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4730E09B">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2号</w:t>
            </w:r>
            <w:r>
              <w:rPr>
                <w:rFonts w:hint="default" w:ascii="Times New Roman" w:hAnsi="Times New Roman" w:cs="Times New Roman"/>
                <w:sz w:val="24"/>
                <w:szCs w:val="24"/>
                <w:highlight w:val="none"/>
                <w:lang w:eastAsia="zh-CN"/>
              </w:rPr>
              <w:t>排水闸</w:t>
            </w:r>
          </w:p>
          <w:p w14:paraId="51160122">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引渠段长5.0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，渠底高程为196.74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12A159D1">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进口段长5.0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，采用钢筋混凝土结构，底板顶高程为196.74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6DE58AF6">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洞身段长13.0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（2段，每段洞身长7.5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），采用钢筋混凝土结构方涵，洞高1.8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，孔口尺寸为1.5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（宽×高），单孔，洞身上部壁厚0.4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，洞身下部壁厚0.5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56EE5A2D">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闸室段长2.3</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，采用开敞式结构，闸底板高程为196.74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，底板厚1.6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，上部设置排架和工作桥，闸门采用平板铸铁闸门，螺杆启闭机启闭。</w:t>
            </w:r>
          </w:p>
          <w:p w14:paraId="63D5E994">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消力池段长6.5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，消力池深0.5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，采用钢筋混凝土结构，消力池底高程196.24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，底宽为1.5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，底板厚0.6</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68360D59">
            <w:pPr>
              <w:pStyle w:val="116"/>
              <w:keepNext w:val="0"/>
              <w:keepLines w:val="0"/>
              <w:pageBreakBefore w:val="0"/>
              <w:shd w:val="clear" w:color="auto" w:fill="auto"/>
              <w:kinsoku/>
              <w:wordWrap/>
              <w:overflowPunct/>
              <w:topLinePunct w:val="0"/>
              <w:autoSpaceDE/>
              <w:autoSpaceDN/>
              <w:bidi w:val="0"/>
              <w:snapToGrid w:val="0"/>
              <w:spacing w:before="0" w:after="0" w:line="500" w:lineRule="exact"/>
              <w:ind w:righ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出口海漫段长8.0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，渠底宽1.5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，渠底高程为196.74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，采用30c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厚雷诺护垫护坡护底，下设10c</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碎石垫层和一层无纺布。</w:t>
            </w:r>
          </w:p>
          <w:p w14:paraId="3B77A6F7">
            <w:pPr>
              <w:pStyle w:val="84"/>
              <w:keepNext w:val="0"/>
              <w:keepLines w:val="0"/>
              <w:pageBreakBefore w:val="0"/>
              <w:kinsoku/>
              <w:wordWrap/>
              <w:overflowPunct/>
              <w:topLinePunct w:val="0"/>
              <w:autoSpaceDE/>
              <w:autoSpaceDN/>
              <w:bidi w:val="0"/>
              <w:snapToGrid w:val="0"/>
              <w:spacing w:line="500" w:lineRule="exact"/>
              <w:ind w:right="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12）4号排水闸站</w:t>
            </w:r>
          </w:p>
          <w:p w14:paraId="26E648B2">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新建闸站1座，为自排和强排结合的排水闸站。排水闸站在外江水位低于堤内水位时，开闸自排；当外江水位高于堤内水位时开泵强排。</w:t>
            </w:r>
          </w:p>
          <w:p w14:paraId="27FE757D">
            <w:pPr>
              <w:keepNext w:val="0"/>
              <w:keepLines w:val="0"/>
              <w:pageBreakBefore w:val="0"/>
              <w:kinsoku/>
              <w:wordWrap/>
              <w:overflowPunct/>
              <w:topLinePunct w:val="0"/>
              <w:autoSpaceDE/>
              <w:autoSpaceDN/>
              <w:bidi w:val="0"/>
              <w:adjustRightInd w:val="0"/>
              <w:snapToGrid w:val="0"/>
              <w:spacing w:line="500" w:lineRule="exact"/>
              <w:ind w:firstLine="42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highlight w:val="none"/>
                <w:lang w:val="en-US" w:eastAsia="zh-CN"/>
              </w:rPr>
              <w:t>六、</w:t>
            </w:r>
            <w:r>
              <w:rPr>
                <w:rFonts w:hint="default" w:ascii="Times New Roman" w:hAnsi="Times New Roman" w:cs="Times New Roman"/>
                <w:b/>
                <w:bCs/>
                <w:color w:val="auto"/>
                <w:sz w:val="24"/>
                <w:highlight w:val="none"/>
              </w:rPr>
              <w:t>施工总布置</w:t>
            </w:r>
          </w:p>
          <w:p w14:paraId="11720C78">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1、施工生产生活区布置</w:t>
            </w:r>
          </w:p>
          <w:p w14:paraId="77926641">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设置3处生产生活区，分别位于发展乡发达村、发富村、县马场。1）发达村施工生产生活区占地面积4.05亩，占地类型为耕地；2）发富村施工生产生活区占地面积2.70亩，占地类型为耕地；3）县马场施工生产生活区占地面积6.75亩，占地类型为耕地。</w:t>
            </w:r>
          </w:p>
          <w:p w14:paraId="10EAC881">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生产区由施工仓库、</w:t>
            </w:r>
            <w:r>
              <w:rPr>
                <w:rFonts w:hint="default" w:ascii="Times New Roman" w:hAnsi="Times New Roman" w:cs="Times New Roman"/>
                <w:color w:val="auto"/>
                <w:highlight w:val="none"/>
                <w:lang w:val="en-US" w:eastAsia="zh-CN"/>
              </w:rPr>
              <w:t>混凝土拌和系统</w:t>
            </w:r>
            <w:r>
              <w:rPr>
                <w:rFonts w:hint="default" w:ascii="Times New Roman" w:hAnsi="Times New Roman" w:cs="Times New Roman"/>
                <w:color w:val="auto"/>
                <w:highlight w:val="none"/>
              </w:rPr>
              <w:t>组成。施工区不设集中的大型机械修配厂，大型的维修以</w:t>
            </w:r>
            <w:r>
              <w:rPr>
                <w:rFonts w:hint="default" w:ascii="Times New Roman" w:hAnsi="Times New Roman" w:cs="Times New Roman"/>
                <w:color w:val="auto"/>
                <w:highlight w:val="none"/>
                <w:lang w:val="en-US" w:eastAsia="zh-CN"/>
              </w:rPr>
              <w:t>绥化市庆安县</w:t>
            </w:r>
            <w:r>
              <w:rPr>
                <w:rFonts w:hint="default" w:ascii="Times New Roman" w:hAnsi="Times New Roman" w:cs="Times New Roman"/>
                <w:color w:val="auto"/>
                <w:highlight w:val="none"/>
              </w:rPr>
              <w:t>为中心，大修理业务可以外协委托</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不会产生废机油；简单维修在机械设备维修厂进行</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生活区由办公室和临时休息室组成。</w:t>
            </w:r>
          </w:p>
          <w:p w14:paraId="2D883852">
            <w:pPr>
              <w:pStyle w:val="84"/>
              <w:keepNext w:val="0"/>
              <w:keepLines w:val="0"/>
              <w:pageBreakBefore w:val="0"/>
              <w:kinsoku/>
              <w:wordWrap/>
              <w:overflowPunct/>
              <w:topLinePunct w:val="0"/>
              <w:autoSpaceDE/>
              <w:autoSpaceDN/>
              <w:bidi w:val="0"/>
              <w:snapToGrid w:val="0"/>
              <w:spacing w:line="500" w:lineRule="exact"/>
              <w:ind w:firstLine="482"/>
              <w:jc w:val="center"/>
              <w:textAlignment w:val="auto"/>
              <w:rPr>
                <w:rFonts w:hint="default" w:ascii="Times New Roman" w:hAnsi="Times New Roman" w:cs="Times New Roman"/>
                <w:b/>
                <w:bCs/>
                <w:color w:val="auto"/>
                <w:sz w:val="21"/>
                <w:szCs w:val="21"/>
                <w:highlight w:val="yellow"/>
              </w:rPr>
            </w:pPr>
            <w:r>
              <w:rPr>
                <w:rFonts w:hint="default" w:ascii="Times New Roman" w:hAnsi="Times New Roman" w:cs="Times New Roman"/>
                <w:b/>
                <w:bCs/>
                <w:color w:val="auto"/>
                <w:sz w:val="21"/>
                <w:szCs w:val="21"/>
                <w:highlight w:val="yellow"/>
              </w:rPr>
              <w:t>表2</w:t>
            </w:r>
            <w:r>
              <w:rPr>
                <w:rFonts w:hint="default" w:ascii="Times New Roman" w:hAnsi="Times New Roman" w:cs="Times New Roman"/>
                <w:b/>
                <w:bCs/>
                <w:color w:val="auto"/>
                <w:sz w:val="21"/>
                <w:szCs w:val="21"/>
                <w:highlight w:val="yellow"/>
                <w:lang w:eastAsia="zh-CN"/>
              </w:rPr>
              <w:t>—</w:t>
            </w:r>
            <w:r>
              <w:rPr>
                <w:rFonts w:hint="default" w:ascii="Times New Roman" w:hAnsi="Times New Roman" w:cs="Times New Roman"/>
                <w:b/>
                <w:bCs/>
                <w:color w:val="auto"/>
                <w:sz w:val="21"/>
                <w:szCs w:val="21"/>
                <w:highlight w:val="yellow"/>
                <w:lang w:val="en-US" w:eastAsia="zh-CN"/>
              </w:rPr>
              <w:t xml:space="preserve">8  </w:t>
            </w:r>
            <w:r>
              <w:rPr>
                <w:rFonts w:hint="default" w:ascii="Times New Roman" w:hAnsi="Times New Roman" w:cs="Times New Roman"/>
                <w:b/>
                <w:bCs/>
                <w:color w:val="auto"/>
                <w:sz w:val="21"/>
                <w:szCs w:val="21"/>
                <w:highlight w:val="yellow"/>
              </w:rPr>
              <w:t>施工生产</w:t>
            </w:r>
            <w:r>
              <w:rPr>
                <w:rFonts w:hint="default" w:ascii="Times New Roman" w:hAnsi="Times New Roman" w:cs="Times New Roman"/>
                <w:b/>
                <w:bCs/>
                <w:color w:val="auto"/>
                <w:sz w:val="21"/>
                <w:szCs w:val="21"/>
                <w:highlight w:val="yellow"/>
                <w:lang w:val="en-US" w:eastAsia="zh-CN"/>
              </w:rPr>
              <w:t>生活</w:t>
            </w:r>
            <w:r>
              <w:rPr>
                <w:rFonts w:hint="default" w:ascii="Times New Roman" w:hAnsi="Times New Roman" w:cs="Times New Roman"/>
                <w:b/>
                <w:bCs/>
                <w:color w:val="auto"/>
                <w:sz w:val="21"/>
                <w:szCs w:val="21"/>
                <w:highlight w:val="yellow"/>
              </w:rPr>
              <w:t>区布置表</w:t>
            </w:r>
          </w:p>
          <w:tbl>
            <w:tblPr>
              <w:tblStyle w:val="80"/>
              <w:tblW w:w="4997" w:type="pct"/>
              <w:tblInd w:w="-3"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2609"/>
              <w:gridCol w:w="2444"/>
              <w:gridCol w:w="1320"/>
              <w:gridCol w:w="758"/>
              <w:gridCol w:w="1786"/>
            </w:tblGrid>
            <w:tr w14:paraId="61EB80D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462" w:type="pct"/>
                  <w:tcBorders>
                    <w:bottom w:val="single" w:color="000000" w:sz="4" w:space="0"/>
                    <w:right w:val="single" w:color="000000" w:sz="4" w:space="0"/>
                    <w:tl2br w:val="nil"/>
                  </w:tcBorders>
                  <w:shd w:val="clear" w:color="auto" w:fill="FFFFFF"/>
                  <w:noWrap w:val="0"/>
                  <w:vAlign w:val="center"/>
                </w:tcPr>
                <w:p w14:paraId="03867021">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yellow"/>
                    </w:rPr>
                  </w:pPr>
                  <w:r>
                    <w:rPr>
                      <w:rFonts w:hint="default" w:ascii="Times New Roman" w:hAnsi="Times New Roman" w:cs="Times New Roman"/>
                      <w:b w:val="0"/>
                      <w:color w:val="auto"/>
                      <w:spacing w:val="3"/>
                      <w:sz w:val="21"/>
                      <w:szCs w:val="21"/>
                      <w:highlight w:val="yellow"/>
                    </w:rPr>
                    <w:t>项目</w:t>
                  </w:r>
                </w:p>
              </w:tc>
              <w:tc>
                <w:tcPr>
                  <w:tcW w:w="1370" w:type="pct"/>
                  <w:tcBorders>
                    <w:left w:val="single" w:color="000000" w:sz="4" w:space="0"/>
                    <w:bottom w:val="single" w:color="000000" w:sz="4" w:space="0"/>
                    <w:right w:val="single" w:color="auto" w:sz="4" w:space="0"/>
                  </w:tcBorders>
                  <w:shd w:val="clear" w:color="auto" w:fill="FFFFFF"/>
                  <w:noWrap w:val="0"/>
                  <w:vAlign w:val="center"/>
                </w:tcPr>
                <w:p w14:paraId="3E38133F">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yellow"/>
                      <w:lang w:val="en-US" w:eastAsia="zh-CN" w:bidi="ar-SA"/>
                    </w:rPr>
                  </w:pPr>
                  <w:r>
                    <w:rPr>
                      <w:rFonts w:hint="default" w:ascii="Times New Roman" w:hAnsi="Times New Roman" w:cs="Times New Roman"/>
                      <w:b w:val="0"/>
                      <w:color w:val="auto"/>
                      <w:spacing w:val="7"/>
                      <w:sz w:val="21"/>
                      <w:szCs w:val="21"/>
                      <w:highlight w:val="yellow"/>
                    </w:rPr>
                    <w:t>建筑面积</w:t>
                  </w:r>
                  <w:r>
                    <w:rPr>
                      <w:rFonts w:hint="default" w:ascii="Times New Roman" w:hAnsi="Times New Roman" w:eastAsia="宋体" w:cs="Times New Roman"/>
                      <w:b w:val="0"/>
                      <w:color w:val="auto"/>
                      <w:spacing w:val="7"/>
                      <w:sz w:val="21"/>
                      <w:szCs w:val="21"/>
                      <w:highlight w:val="yellow"/>
                      <w:lang w:eastAsia="zh-CN"/>
                    </w:rPr>
                    <w:t>（</w:t>
                  </w:r>
                  <w:r>
                    <w:rPr>
                      <w:rFonts w:hint="default" w:ascii="Times New Roman" w:hAnsi="Times New Roman" w:eastAsia="宋体" w:cs="Times New Roman"/>
                      <w:b w:val="0"/>
                      <w:color w:val="auto"/>
                      <w:spacing w:val="7"/>
                      <w:sz w:val="21"/>
                      <w:szCs w:val="21"/>
                      <w:highlight w:val="yellow"/>
                      <w:lang w:val="en-US" w:eastAsia="zh-CN"/>
                    </w:rPr>
                    <w:t>m</w:t>
                  </w:r>
                  <w:r>
                    <w:rPr>
                      <w:rFonts w:hint="default" w:ascii="Times New Roman" w:hAnsi="Times New Roman" w:eastAsia="宋体" w:cs="Times New Roman"/>
                      <w:b w:val="0"/>
                      <w:color w:val="auto"/>
                      <w:spacing w:val="7"/>
                      <w:sz w:val="21"/>
                      <w:szCs w:val="21"/>
                      <w:highlight w:val="yellow"/>
                      <w:vertAlign w:val="superscript"/>
                      <w:lang w:val="en-US" w:eastAsia="zh-CN"/>
                    </w:rPr>
                    <w:t>2</w:t>
                  </w:r>
                  <w:r>
                    <w:rPr>
                      <w:rFonts w:hint="default" w:ascii="Times New Roman" w:hAnsi="Times New Roman" w:eastAsia="宋体" w:cs="Times New Roman"/>
                      <w:b w:val="0"/>
                      <w:color w:val="auto"/>
                      <w:spacing w:val="7"/>
                      <w:sz w:val="21"/>
                      <w:szCs w:val="21"/>
                      <w:highlight w:val="yellow"/>
                      <w:lang w:eastAsia="zh-CN"/>
                    </w:rPr>
                    <w:t>）</w:t>
                  </w:r>
                </w:p>
              </w:tc>
              <w:tc>
                <w:tcPr>
                  <w:tcW w:w="740" w:type="pct"/>
                  <w:tcBorders>
                    <w:left w:val="single" w:color="auto" w:sz="4" w:space="0"/>
                    <w:bottom w:val="single" w:color="000000" w:sz="4" w:space="0"/>
                    <w:right w:val="single" w:color="000000" w:sz="4" w:space="0"/>
                  </w:tcBorders>
                  <w:shd w:val="clear" w:color="auto" w:fill="FFFFFF"/>
                  <w:noWrap w:val="0"/>
                  <w:vAlign w:val="center"/>
                </w:tcPr>
                <w:p w14:paraId="3EB66F0E">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Times New Roman" w:cs="Times New Roman"/>
                      <w:b w:val="0"/>
                      <w:color w:val="auto"/>
                      <w:kern w:val="2"/>
                      <w:sz w:val="21"/>
                      <w:szCs w:val="21"/>
                      <w:highlight w:val="yellow"/>
                      <w:lang w:val="en-US" w:eastAsia="en-US" w:bidi="ar-SA"/>
                    </w:rPr>
                  </w:pPr>
                  <w:r>
                    <w:rPr>
                      <w:rFonts w:hint="default" w:ascii="Times New Roman" w:hAnsi="Times New Roman" w:cs="Times New Roman"/>
                      <w:b w:val="0"/>
                      <w:color w:val="auto"/>
                      <w:spacing w:val="-1"/>
                      <w:sz w:val="21"/>
                      <w:szCs w:val="21"/>
                      <w:highlight w:val="yellow"/>
                    </w:rPr>
                    <w:t>占地面积</w:t>
                  </w:r>
                  <w:r>
                    <w:rPr>
                      <w:rFonts w:hint="default" w:ascii="Times New Roman" w:hAnsi="Times New Roman" w:eastAsia="宋体" w:cs="Times New Roman"/>
                      <w:b w:val="0"/>
                      <w:color w:val="auto"/>
                      <w:spacing w:val="7"/>
                      <w:sz w:val="21"/>
                      <w:szCs w:val="21"/>
                      <w:highlight w:val="yellow"/>
                      <w:lang w:eastAsia="zh-CN"/>
                    </w:rPr>
                    <w:t>（</w:t>
                  </w:r>
                  <w:r>
                    <w:rPr>
                      <w:rFonts w:hint="default" w:ascii="Times New Roman" w:hAnsi="Times New Roman" w:eastAsia="宋体" w:cs="Times New Roman"/>
                      <w:b w:val="0"/>
                      <w:color w:val="auto"/>
                      <w:spacing w:val="7"/>
                      <w:sz w:val="21"/>
                      <w:szCs w:val="21"/>
                      <w:highlight w:val="yellow"/>
                      <w:lang w:val="en-US" w:eastAsia="zh-CN"/>
                    </w:rPr>
                    <w:t>m</w:t>
                  </w:r>
                  <w:r>
                    <w:rPr>
                      <w:rFonts w:hint="default" w:ascii="Times New Roman" w:hAnsi="Times New Roman" w:eastAsia="宋体" w:cs="Times New Roman"/>
                      <w:b w:val="0"/>
                      <w:color w:val="auto"/>
                      <w:spacing w:val="7"/>
                      <w:sz w:val="21"/>
                      <w:szCs w:val="21"/>
                      <w:highlight w:val="yellow"/>
                      <w:vertAlign w:val="superscript"/>
                      <w:lang w:val="en-US" w:eastAsia="zh-CN"/>
                    </w:rPr>
                    <w:t>2</w:t>
                  </w:r>
                  <w:r>
                    <w:rPr>
                      <w:rFonts w:hint="default" w:ascii="Times New Roman" w:hAnsi="Times New Roman" w:eastAsia="宋体" w:cs="Times New Roman"/>
                      <w:b w:val="0"/>
                      <w:color w:val="auto"/>
                      <w:spacing w:val="7"/>
                      <w:sz w:val="21"/>
                      <w:szCs w:val="21"/>
                      <w:highlight w:val="yellow"/>
                      <w:lang w:eastAsia="zh-CN"/>
                    </w:rPr>
                    <w:t>）</w:t>
                  </w:r>
                </w:p>
              </w:tc>
              <w:tc>
                <w:tcPr>
                  <w:tcW w:w="425" w:type="pct"/>
                  <w:tcBorders>
                    <w:left w:val="single" w:color="000000" w:sz="4" w:space="0"/>
                    <w:right w:val="single" w:color="000000" w:sz="4" w:space="0"/>
                  </w:tcBorders>
                  <w:shd w:val="clear" w:color="auto" w:fill="FFFFFF"/>
                  <w:noWrap w:val="0"/>
                  <w:vAlign w:val="center"/>
                </w:tcPr>
                <w:p w14:paraId="6D2A586B">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4"/>
                      <w:sz w:val="21"/>
                      <w:szCs w:val="21"/>
                      <w:highlight w:val="yellow"/>
                      <w:lang w:val="en-US" w:eastAsia="zh-CN"/>
                    </w:rPr>
                  </w:pPr>
                  <w:r>
                    <w:rPr>
                      <w:rFonts w:hint="default" w:ascii="Times New Roman" w:hAnsi="Times New Roman" w:eastAsia="宋体" w:cs="Times New Roman"/>
                      <w:b w:val="0"/>
                      <w:color w:val="auto"/>
                      <w:spacing w:val="4"/>
                      <w:sz w:val="21"/>
                      <w:szCs w:val="21"/>
                      <w:highlight w:val="yellow"/>
                      <w:lang w:val="en-US" w:eastAsia="zh-CN"/>
                    </w:rPr>
                    <w:t>处</w:t>
                  </w:r>
                </w:p>
              </w:tc>
              <w:tc>
                <w:tcPr>
                  <w:tcW w:w="1001" w:type="pct"/>
                  <w:tcBorders>
                    <w:left w:val="single" w:color="000000" w:sz="4" w:space="0"/>
                    <w:bottom w:val="single" w:color="000000" w:sz="4" w:space="0"/>
                  </w:tcBorders>
                  <w:shd w:val="clear" w:color="auto" w:fill="FFFFFF"/>
                  <w:noWrap w:val="0"/>
                  <w:vAlign w:val="center"/>
                </w:tcPr>
                <w:p w14:paraId="62B40BEA">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4"/>
                      <w:sz w:val="21"/>
                      <w:szCs w:val="21"/>
                      <w:highlight w:val="yellow"/>
                      <w:lang w:val="en-US" w:eastAsia="zh-CN"/>
                    </w:rPr>
                  </w:pPr>
                  <w:r>
                    <w:rPr>
                      <w:rFonts w:hint="default" w:ascii="Times New Roman" w:hAnsi="Times New Roman" w:eastAsia="宋体" w:cs="Times New Roman"/>
                      <w:b w:val="0"/>
                      <w:color w:val="auto"/>
                      <w:spacing w:val="4"/>
                      <w:sz w:val="21"/>
                      <w:szCs w:val="21"/>
                      <w:highlight w:val="yellow"/>
                      <w:lang w:val="en-US" w:eastAsia="zh-CN"/>
                    </w:rPr>
                    <w:t>总占地面积</w:t>
                  </w:r>
                  <w:r>
                    <w:rPr>
                      <w:rFonts w:hint="default" w:ascii="Times New Roman" w:hAnsi="Times New Roman" w:eastAsia="宋体" w:cs="Times New Roman"/>
                      <w:b w:val="0"/>
                      <w:color w:val="auto"/>
                      <w:spacing w:val="7"/>
                      <w:sz w:val="21"/>
                      <w:szCs w:val="21"/>
                      <w:highlight w:val="yellow"/>
                      <w:lang w:eastAsia="zh-CN"/>
                    </w:rPr>
                    <w:t>（</w:t>
                  </w:r>
                  <w:r>
                    <w:rPr>
                      <w:rFonts w:hint="default" w:ascii="Times New Roman" w:hAnsi="Times New Roman" w:eastAsia="宋体" w:cs="Times New Roman"/>
                      <w:b w:val="0"/>
                      <w:color w:val="auto"/>
                      <w:spacing w:val="7"/>
                      <w:sz w:val="21"/>
                      <w:szCs w:val="21"/>
                      <w:highlight w:val="yellow"/>
                      <w:lang w:val="en-US" w:eastAsia="zh-CN"/>
                    </w:rPr>
                    <w:t>m</w:t>
                  </w:r>
                  <w:r>
                    <w:rPr>
                      <w:rFonts w:hint="default" w:ascii="Times New Roman" w:hAnsi="Times New Roman" w:eastAsia="宋体" w:cs="Times New Roman"/>
                      <w:b w:val="0"/>
                      <w:color w:val="auto"/>
                      <w:spacing w:val="7"/>
                      <w:sz w:val="21"/>
                      <w:szCs w:val="21"/>
                      <w:highlight w:val="yellow"/>
                      <w:vertAlign w:val="superscript"/>
                      <w:lang w:val="en-US" w:eastAsia="zh-CN"/>
                    </w:rPr>
                    <w:t>2</w:t>
                  </w:r>
                  <w:r>
                    <w:rPr>
                      <w:rFonts w:hint="default" w:ascii="Times New Roman" w:hAnsi="Times New Roman" w:eastAsia="宋体" w:cs="Times New Roman"/>
                      <w:b w:val="0"/>
                      <w:color w:val="auto"/>
                      <w:spacing w:val="7"/>
                      <w:sz w:val="21"/>
                      <w:szCs w:val="21"/>
                      <w:highlight w:val="yellow"/>
                      <w:lang w:eastAsia="zh-CN"/>
                    </w:rPr>
                    <w:t>）</w:t>
                  </w:r>
                </w:p>
              </w:tc>
            </w:tr>
            <w:tr w14:paraId="67CDFB3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0956D60C">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yellow"/>
                    </w:rPr>
                  </w:pPr>
                  <w:r>
                    <w:rPr>
                      <w:rFonts w:hint="default" w:ascii="Times New Roman" w:hAnsi="Times New Roman" w:cs="Times New Roman"/>
                      <w:b w:val="0"/>
                      <w:bCs/>
                      <w:color w:val="auto"/>
                      <w:spacing w:val="6"/>
                      <w:sz w:val="21"/>
                      <w:szCs w:val="21"/>
                      <w:highlight w:val="yellow"/>
                    </w:rPr>
                    <w:t>一、生产区（施工工厂）</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D57D40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539EF7B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23A80BD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72417C9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r>
            <w:tr w14:paraId="610900F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3AC7C09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yellow"/>
                    </w:rPr>
                  </w:pPr>
                  <w:r>
                    <w:rPr>
                      <w:rFonts w:hint="default" w:ascii="Times New Roman" w:hAnsi="Times New Roman" w:eastAsia="宋体" w:cs="Times New Roman"/>
                      <w:b w:val="0"/>
                      <w:color w:val="auto"/>
                      <w:spacing w:val="8"/>
                      <w:sz w:val="21"/>
                      <w:szCs w:val="21"/>
                      <w:highlight w:val="yellow"/>
                      <w:lang w:val="en-US" w:eastAsia="zh-CN"/>
                    </w:rPr>
                    <w:t>砼</w:t>
                  </w:r>
                  <w:r>
                    <w:rPr>
                      <w:rFonts w:hint="default" w:ascii="Times New Roman" w:hAnsi="Times New Roman" w:eastAsia="宋体" w:cs="Times New Roman"/>
                      <w:b w:val="0"/>
                      <w:color w:val="auto"/>
                      <w:spacing w:val="8"/>
                      <w:sz w:val="21"/>
                      <w:szCs w:val="21"/>
                      <w:highlight w:val="yellow"/>
                      <w:lang w:eastAsia="zh-CN"/>
                    </w:rPr>
                    <w:t>拌和</w:t>
                  </w:r>
                  <w:r>
                    <w:rPr>
                      <w:rFonts w:hint="default" w:ascii="Times New Roman" w:hAnsi="Times New Roman" w:cs="Times New Roman"/>
                      <w:b w:val="0"/>
                      <w:color w:val="auto"/>
                      <w:spacing w:val="8"/>
                      <w:sz w:val="21"/>
                      <w:szCs w:val="21"/>
                      <w:highlight w:val="yellow"/>
                    </w:rPr>
                    <w:t>系统</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B3F16D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yellow"/>
                      <w:lang w:val="en-US" w:eastAsia="zh-CN" w:bidi="ar-SA"/>
                    </w:rPr>
                  </w:pPr>
                  <w:r>
                    <w:rPr>
                      <w:rFonts w:hint="default" w:ascii="Times New Roman" w:hAnsi="Times New Roman" w:eastAsia="宋体" w:cs="Times New Roman"/>
                      <w:b w:val="0"/>
                      <w:color w:val="auto"/>
                      <w:sz w:val="21"/>
                      <w:szCs w:val="21"/>
                      <w:highlight w:val="yellow"/>
                      <w:lang w:val="en-US" w:eastAsia="zh-CN"/>
                    </w:rPr>
                    <w:t>500</w:t>
                  </w: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09BDA50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yellow"/>
                      <w:lang w:val="en-US" w:eastAsia="zh-CN" w:bidi="ar-SA"/>
                    </w:rPr>
                  </w:pPr>
                  <w:r>
                    <w:rPr>
                      <w:rFonts w:hint="default" w:ascii="Times New Roman" w:hAnsi="Times New Roman" w:eastAsia="宋体" w:cs="Times New Roman"/>
                      <w:b w:val="0"/>
                      <w:color w:val="auto"/>
                      <w:sz w:val="21"/>
                      <w:szCs w:val="21"/>
                      <w:highlight w:val="yellow"/>
                      <w:lang w:val="en-US" w:eastAsia="zh-CN"/>
                    </w:rPr>
                    <w:t>1800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4EE613C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yellow"/>
                      <w:lang w:val="en-US" w:eastAsia="zh-CN" w:bidi="ar-SA"/>
                    </w:rPr>
                  </w:pPr>
                  <w:r>
                    <w:rPr>
                      <w:rFonts w:hint="eastAsia" w:cs="Times New Roman"/>
                      <w:b w:val="0"/>
                      <w:color w:val="auto"/>
                      <w:kern w:val="2"/>
                      <w:sz w:val="21"/>
                      <w:szCs w:val="21"/>
                      <w:highlight w:val="yellow"/>
                      <w:lang w:val="en-US" w:eastAsia="zh-CN" w:bidi="ar-SA"/>
                    </w:rPr>
                    <w:t>5</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7AAE1A96">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yellow"/>
                      <w:lang w:val="en-US" w:eastAsia="zh-CN" w:bidi="ar-SA"/>
                    </w:rPr>
                  </w:pPr>
                  <w:r>
                    <w:rPr>
                      <w:rFonts w:hint="default" w:ascii="Times New Roman" w:hAnsi="Times New Roman" w:eastAsia="宋体" w:cs="Times New Roman"/>
                      <w:b w:val="0"/>
                      <w:color w:val="auto"/>
                      <w:sz w:val="21"/>
                      <w:szCs w:val="21"/>
                      <w:highlight w:val="yellow"/>
                      <w:lang w:val="en-US" w:eastAsia="zh-CN"/>
                    </w:rPr>
                    <w:t>3750</w:t>
                  </w:r>
                </w:p>
              </w:tc>
            </w:tr>
            <w:tr w14:paraId="2ABA4DA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502B0B85">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8"/>
                      <w:sz w:val="21"/>
                      <w:szCs w:val="21"/>
                      <w:highlight w:val="yellow"/>
                      <w:lang w:val="en-US" w:eastAsia="zh-CN"/>
                    </w:rPr>
                  </w:pPr>
                  <w:r>
                    <w:rPr>
                      <w:rFonts w:hint="default" w:ascii="Times New Roman" w:hAnsi="Times New Roman" w:eastAsia="宋体" w:cs="Times New Roman"/>
                      <w:b w:val="0"/>
                      <w:color w:val="auto"/>
                      <w:spacing w:val="8"/>
                      <w:sz w:val="21"/>
                      <w:szCs w:val="21"/>
                      <w:highlight w:val="yellow"/>
                      <w:lang w:val="en-US" w:eastAsia="zh-CN"/>
                    </w:rPr>
                    <w:t>机械设备维修厂</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46820C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100</w:t>
                  </w: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4B04912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400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30B5813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5</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0B6F373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2000</w:t>
                  </w:r>
                </w:p>
              </w:tc>
            </w:tr>
            <w:tr w14:paraId="3647B3D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6F65AF2B">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8"/>
                      <w:sz w:val="21"/>
                      <w:szCs w:val="21"/>
                      <w:highlight w:val="yellow"/>
                      <w:lang w:val="en-US" w:eastAsia="zh-CN"/>
                    </w:rPr>
                  </w:pPr>
                  <w:r>
                    <w:rPr>
                      <w:rFonts w:hint="default" w:ascii="Times New Roman" w:hAnsi="Times New Roman" w:eastAsia="宋体" w:cs="Times New Roman"/>
                      <w:b w:val="0"/>
                      <w:color w:val="auto"/>
                      <w:spacing w:val="8"/>
                      <w:sz w:val="21"/>
                      <w:szCs w:val="21"/>
                      <w:highlight w:val="yellow"/>
                      <w:lang w:val="en-US" w:eastAsia="zh-CN"/>
                    </w:rPr>
                    <w:t>小计</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495591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500</w:t>
                  </w: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2031201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1800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74F47E4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0EC6E1D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3750</w:t>
                  </w:r>
                </w:p>
              </w:tc>
            </w:tr>
            <w:tr w14:paraId="10D6B6D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2A345304">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yellow"/>
                    </w:rPr>
                  </w:pPr>
                  <w:r>
                    <w:rPr>
                      <w:rFonts w:hint="default" w:ascii="Times New Roman" w:hAnsi="Times New Roman" w:cs="Times New Roman"/>
                      <w:b w:val="0"/>
                      <w:bCs/>
                      <w:color w:val="auto"/>
                      <w:spacing w:val="6"/>
                      <w:sz w:val="21"/>
                      <w:szCs w:val="21"/>
                      <w:highlight w:val="yellow"/>
                    </w:rPr>
                    <w:t>二、生产区（施工仓库）</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761FD4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44DD261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2EEF441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0A4A1A6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r>
            <w:tr w14:paraId="50927E3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2FC7667F">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yellow"/>
                      <w:lang w:val="en-US"/>
                    </w:rPr>
                  </w:pPr>
                  <w:r>
                    <w:rPr>
                      <w:rFonts w:hint="default" w:ascii="Times New Roman" w:hAnsi="Times New Roman" w:eastAsia="宋体" w:cs="Times New Roman"/>
                      <w:b w:val="0"/>
                      <w:color w:val="auto"/>
                      <w:spacing w:val="6"/>
                      <w:sz w:val="21"/>
                      <w:szCs w:val="21"/>
                      <w:highlight w:val="yellow"/>
                      <w:lang w:val="en-US" w:eastAsia="zh-CN"/>
                    </w:rPr>
                    <w:t>水泥库</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AD1EE4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100</w:t>
                  </w: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15BC72D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350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09695DD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5</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1A2075E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1750</w:t>
                  </w:r>
                </w:p>
              </w:tc>
            </w:tr>
            <w:tr w14:paraId="34052CF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052F3A57">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6"/>
                      <w:sz w:val="21"/>
                      <w:szCs w:val="21"/>
                      <w:highlight w:val="yellow"/>
                      <w:lang w:val="en-US" w:eastAsia="zh-CN"/>
                    </w:rPr>
                  </w:pPr>
                  <w:r>
                    <w:rPr>
                      <w:rFonts w:hint="default" w:ascii="Times New Roman" w:hAnsi="Times New Roman" w:eastAsia="宋体" w:cs="Times New Roman"/>
                      <w:b w:val="0"/>
                      <w:color w:val="auto"/>
                      <w:spacing w:val="6"/>
                      <w:sz w:val="21"/>
                      <w:szCs w:val="21"/>
                      <w:highlight w:val="yellow"/>
                      <w:lang w:val="en-US" w:eastAsia="zh-CN"/>
                    </w:rPr>
                    <w:t>其他库</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704628C">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yellow"/>
                      <w:lang w:val="en-US" w:eastAsia="zh-CN" w:bidi="ar-SA"/>
                    </w:rPr>
                  </w:pPr>
                  <w:r>
                    <w:rPr>
                      <w:rFonts w:hint="eastAsia" w:cs="Times New Roman"/>
                      <w:b w:val="0"/>
                      <w:color w:val="auto"/>
                      <w:sz w:val="21"/>
                      <w:szCs w:val="21"/>
                      <w:highlight w:val="yellow"/>
                      <w:lang w:val="en-US" w:eastAsia="zh-CN"/>
                    </w:rPr>
                    <w:t>200</w:t>
                  </w: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3A0DC6A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yellow"/>
                      <w:lang w:val="en-US" w:eastAsia="zh-CN" w:bidi="ar-SA"/>
                    </w:rPr>
                  </w:pPr>
                  <w:r>
                    <w:rPr>
                      <w:rFonts w:hint="eastAsia" w:cs="Times New Roman"/>
                      <w:b w:val="0"/>
                      <w:color w:val="auto"/>
                      <w:sz w:val="21"/>
                      <w:szCs w:val="21"/>
                      <w:highlight w:val="yellow"/>
                      <w:lang w:val="en-US" w:eastAsia="zh-CN"/>
                    </w:rPr>
                    <w:t>700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3CDB2BC4">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yellow"/>
                      <w:lang w:val="en-US" w:eastAsia="zh-CN" w:bidi="ar-SA"/>
                    </w:rPr>
                  </w:pPr>
                  <w:r>
                    <w:rPr>
                      <w:rFonts w:hint="default" w:ascii="Times New Roman" w:hAnsi="Times New Roman" w:eastAsia="宋体" w:cs="Times New Roman"/>
                      <w:b w:val="0"/>
                      <w:color w:val="auto"/>
                      <w:sz w:val="21"/>
                      <w:szCs w:val="21"/>
                      <w:highlight w:val="yellow"/>
                      <w:lang w:val="en-US" w:eastAsia="zh-CN"/>
                    </w:rPr>
                    <w:t>5</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69F6060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yellow"/>
                      <w:lang w:val="en-US" w:eastAsia="zh-CN" w:bidi="ar-SA"/>
                    </w:rPr>
                  </w:pPr>
                  <w:r>
                    <w:rPr>
                      <w:rFonts w:hint="eastAsia" w:cs="Times New Roman"/>
                      <w:b w:val="0"/>
                      <w:color w:val="auto"/>
                      <w:sz w:val="21"/>
                      <w:szCs w:val="21"/>
                      <w:highlight w:val="yellow"/>
                      <w:lang w:val="en-US" w:eastAsia="zh-CN"/>
                    </w:rPr>
                    <w:t>3500</w:t>
                  </w:r>
                </w:p>
              </w:tc>
            </w:tr>
            <w:tr w14:paraId="752E9AD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30055BE8">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6"/>
                      <w:sz w:val="21"/>
                      <w:szCs w:val="21"/>
                      <w:highlight w:val="yellow"/>
                      <w:lang w:val="en-US" w:eastAsia="zh-CN"/>
                    </w:rPr>
                  </w:pPr>
                  <w:r>
                    <w:rPr>
                      <w:rFonts w:hint="default" w:ascii="Times New Roman" w:hAnsi="Times New Roman" w:eastAsia="宋体" w:cs="Times New Roman"/>
                      <w:b w:val="0"/>
                      <w:color w:val="auto"/>
                      <w:spacing w:val="6"/>
                      <w:sz w:val="21"/>
                      <w:szCs w:val="21"/>
                      <w:highlight w:val="yellow"/>
                      <w:lang w:val="en-US" w:eastAsia="zh-CN"/>
                    </w:rPr>
                    <w:t>小计</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08B4FD1">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08EDF2F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294F8D4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5307CC0A">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5250</w:t>
                  </w:r>
                </w:p>
              </w:tc>
            </w:tr>
            <w:tr w14:paraId="2370531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01BB98FD">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both"/>
                    <w:textAlignment w:val="auto"/>
                    <w:rPr>
                      <w:rFonts w:hint="default" w:ascii="Times New Roman" w:hAnsi="Times New Roman" w:eastAsia="宋体" w:cs="Times New Roman"/>
                      <w:b w:val="0"/>
                      <w:color w:val="auto"/>
                      <w:spacing w:val="6"/>
                      <w:sz w:val="21"/>
                      <w:szCs w:val="21"/>
                      <w:highlight w:val="yellow"/>
                      <w:lang w:val="en-US" w:eastAsia="zh-CN"/>
                    </w:rPr>
                  </w:pPr>
                  <w:r>
                    <w:rPr>
                      <w:rFonts w:hint="default" w:ascii="Times New Roman" w:hAnsi="Times New Roman" w:eastAsia="宋体" w:cs="Times New Roman"/>
                      <w:b w:val="0"/>
                      <w:color w:val="auto"/>
                      <w:spacing w:val="6"/>
                      <w:sz w:val="21"/>
                      <w:szCs w:val="21"/>
                      <w:highlight w:val="yellow"/>
                      <w:lang w:val="en-US" w:eastAsia="zh-CN"/>
                    </w:rPr>
                    <w:t>三、临时道路</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60D709A">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6C3DF79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133600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3BA2BCEA">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35999E9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133600</w:t>
                  </w:r>
                </w:p>
              </w:tc>
            </w:tr>
            <w:tr w14:paraId="438BCF1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647BAB01">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both"/>
                    <w:textAlignment w:val="auto"/>
                    <w:rPr>
                      <w:rFonts w:hint="default" w:ascii="Times New Roman" w:hAnsi="Times New Roman" w:eastAsia="宋体" w:cs="Times New Roman"/>
                      <w:b w:val="0"/>
                      <w:color w:val="auto"/>
                      <w:spacing w:val="6"/>
                      <w:sz w:val="21"/>
                      <w:szCs w:val="21"/>
                      <w:highlight w:val="yellow"/>
                      <w:lang w:val="en-US" w:eastAsia="zh-CN"/>
                    </w:rPr>
                  </w:pPr>
                  <w:r>
                    <w:rPr>
                      <w:rFonts w:hint="default" w:ascii="Times New Roman" w:hAnsi="Times New Roman" w:eastAsia="宋体" w:cs="Times New Roman"/>
                      <w:b w:val="0"/>
                      <w:color w:val="auto"/>
                      <w:spacing w:val="6"/>
                      <w:sz w:val="21"/>
                      <w:szCs w:val="21"/>
                      <w:highlight w:val="yellow"/>
                      <w:lang w:val="en-US" w:eastAsia="zh-CN"/>
                    </w:rPr>
                    <w:t>四、防洪墙施工临时占地</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813895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15DF8EA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13560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37F60516">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24554D21">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13560</w:t>
                  </w:r>
                </w:p>
              </w:tc>
            </w:tr>
            <w:tr w14:paraId="05F78C6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1F7202C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both"/>
                    <w:textAlignment w:val="auto"/>
                    <w:rPr>
                      <w:rFonts w:hint="default" w:ascii="Times New Roman" w:hAnsi="Times New Roman" w:eastAsia="宋体" w:cs="Times New Roman"/>
                      <w:b w:val="0"/>
                      <w:color w:val="auto"/>
                      <w:spacing w:val="6"/>
                      <w:sz w:val="21"/>
                      <w:szCs w:val="21"/>
                      <w:highlight w:val="yellow"/>
                      <w:lang w:val="en-US" w:eastAsia="zh-CN"/>
                    </w:rPr>
                  </w:pPr>
                  <w:r>
                    <w:rPr>
                      <w:rFonts w:hint="default" w:ascii="Times New Roman" w:hAnsi="Times New Roman" w:eastAsia="宋体" w:cs="Times New Roman"/>
                      <w:b w:val="0"/>
                      <w:color w:val="auto"/>
                      <w:spacing w:val="6"/>
                      <w:sz w:val="21"/>
                      <w:szCs w:val="21"/>
                      <w:highlight w:val="yellow"/>
                      <w:lang w:val="en-US" w:eastAsia="zh-CN"/>
                    </w:rPr>
                    <w:t>五、表土暂存场</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5E3B2C6">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5DF0B5C7">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5B8D3DE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3</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18458B1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yellow"/>
                      <w:lang w:val="en-US" w:eastAsia="zh-CN"/>
                    </w:rPr>
                  </w:pPr>
                  <w:r>
                    <w:rPr>
                      <w:rFonts w:hint="default" w:ascii="Times New Roman" w:hAnsi="Times New Roman" w:eastAsia="宋体" w:cs="Times New Roman"/>
                      <w:b w:val="0"/>
                      <w:color w:val="auto"/>
                      <w:sz w:val="21"/>
                      <w:szCs w:val="21"/>
                      <w:highlight w:val="yellow"/>
                      <w:lang w:val="en-US" w:eastAsia="zh-CN"/>
                    </w:rPr>
                    <w:t>19527</w:t>
                  </w:r>
                </w:p>
              </w:tc>
            </w:tr>
            <w:tr w14:paraId="4662AA6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462" w:type="pct"/>
                  <w:tcBorders>
                    <w:top w:val="single" w:color="000000" w:sz="4" w:space="0"/>
                    <w:right w:val="single" w:color="000000" w:sz="4" w:space="0"/>
                  </w:tcBorders>
                  <w:shd w:val="clear" w:color="auto" w:fill="FFFFFF"/>
                  <w:noWrap w:val="0"/>
                  <w:vAlign w:val="center"/>
                </w:tcPr>
                <w:p w14:paraId="51FDD60A">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yellow"/>
                    </w:rPr>
                  </w:pPr>
                  <w:r>
                    <w:rPr>
                      <w:rFonts w:hint="default" w:ascii="Times New Roman" w:hAnsi="Times New Roman" w:cs="Times New Roman"/>
                      <w:b w:val="0"/>
                      <w:bCs/>
                      <w:color w:val="auto"/>
                      <w:spacing w:val="4"/>
                      <w:sz w:val="21"/>
                      <w:szCs w:val="21"/>
                      <w:highlight w:val="yellow"/>
                    </w:rPr>
                    <w:t>合计</w:t>
                  </w:r>
                </w:p>
              </w:tc>
              <w:tc>
                <w:tcPr>
                  <w:tcW w:w="1370" w:type="pct"/>
                  <w:tcBorders>
                    <w:top w:val="single" w:color="000000" w:sz="4" w:space="0"/>
                    <w:left w:val="single" w:color="000000" w:sz="4" w:space="0"/>
                    <w:right w:val="single" w:color="000000" w:sz="4" w:space="0"/>
                  </w:tcBorders>
                  <w:shd w:val="clear" w:color="auto" w:fill="FFFFFF"/>
                  <w:noWrap w:val="0"/>
                  <w:vAlign w:val="center"/>
                </w:tcPr>
                <w:p w14:paraId="155127C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c>
                <w:tcPr>
                  <w:tcW w:w="740" w:type="pct"/>
                  <w:tcBorders>
                    <w:top w:val="single" w:color="000000" w:sz="4" w:space="0"/>
                    <w:left w:val="single" w:color="000000" w:sz="4" w:space="0"/>
                    <w:right w:val="nil"/>
                  </w:tcBorders>
                  <w:shd w:val="clear" w:color="auto" w:fill="FFFFFF"/>
                  <w:noWrap w:val="0"/>
                  <w:vAlign w:val="center"/>
                </w:tcPr>
                <w:p w14:paraId="5F9F04E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c>
                <w:tcPr>
                  <w:tcW w:w="425" w:type="pct"/>
                  <w:tcBorders>
                    <w:top w:val="single" w:color="000000" w:sz="4" w:space="0"/>
                    <w:left w:val="single" w:color="000000" w:sz="4" w:space="0"/>
                    <w:right w:val="nil"/>
                  </w:tcBorders>
                  <w:shd w:val="clear" w:color="auto" w:fill="FFFFFF"/>
                  <w:noWrap w:val="0"/>
                  <w:vAlign w:val="center"/>
                </w:tcPr>
                <w:p w14:paraId="209F61F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c>
                <w:tcPr>
                  <w:tcW w:w="1001" w:type="pct"/>
                  <w:tcBorders>
                    <w:top w:val="single" w:color="000000" w:sz="4" w:space="0"/>
                    <w:left w:val="single" w:color="000000" w:sz="4" w:space="0"/>
                  </w:tcBorders>
                  <w:shd w:val="clear" w:color="auto" w:fill="FFFFFF"/>
                  <w:noWrap w:val="0"/>
                  <w:vAlign w:val="center"/>
                </w:tcPr>
                <w:p w14:paraId="475F3F3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yellow"/>
                    </w:rPr>
                  </w:pPr>
                </w:p>
              </w:tc>
            </w:tr>
          </w:tbl>
          <w:p w14:paraId="46A947CA">
            <w:pPr>
              <w:pStyle w:val="84"/>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砼</w:t>
            </w:r>
            <w:r>
              <w:rPr>
                <w:rFonts w:hint="default" w:ascii="Times New Roman" w:hAnsi="Times New Roman" w:cs="Times New Roman"/>
                <w:color w:val="auto"/>
                <w:highlight w:val="none"/>
                <w:lang w:eastAsia="zh-CN"/>
              </w:rPr>
              <w:t>拌和</w:t>
            </w:r>
            <w:r>
              <w:rPr>
                <w:rFonts w:hint="default" w:ascii="Times New Roman" w:hAnsi="Times New Roman" w:cs="Times New Roman"/>
                <w:color w:val="auto"/>
                <w:highlight w:val="none"/>
              </w:rPr>
              <w:t>系统</w:t>
            </w:r>
            <w:r>
              <w:rPr>
                <w:rFonts w:hint="default" w:ascii="Times New Roman" w:hAnsi="Times New Roman" w:cs="Times New Roman"/>
                <w:color w:val="auto"/>
                <w:highlight w:val="none"/>
                <w:lang w:eastAsia="zh-CN"/>
              </w:rPr>
              <w:t>:拌和站</w:t>
            </w:r>
            <w:r>
              <w:rPr>
                <w:rFonts w:hint="default" w:ascii="Times New Roman" w:hAnsi="Times New Roman" w:cs="Times New Roman"/>
                <w:color w:val="auto"/>
                <w:highlight w:val="none"/>
              </w:rPr>
              <w:t>有0.8</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eastAsia="zh-CN"/>
              </w:rPr>
              <w:t>拌和</w:t>
            </w:r>
            <w:r>
              <w:rPr>
                <w:rFonts w:hint="default" w:ascii="Times New Roman" w:hAnsi="Times New Roman" w:cs="Times New Roman"/>
                <w:color w:val="auto"/>
                <w:highlight w:val="none"/>
              </w:rPr>
              <w:t>机1台，机动翻斗车1台，胶轮车12台。</w:t>
            </w:r>
          </w:p>
          <w:p w14:paraId="4F0CE7F5">
            <w:pPr>
              <w:pStyle w:val="84"/>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施工仓库</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由水泥库等组成。</w:t>
            </w:r>
          </w:p>
          <w:p w14:paraId="597146DB">
            <w:pPr>
              <w:pStyle w:val="84"/>
              <w:spacing w:line="360" w:lineRule="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2、风水电系统</w:t>
            </w:r>
          </w:p>
          <w:p w14:paraId="54784B7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施工用电采用</w:t>
            </w:r>
            <w:r>
              <w:rPr>
                <w:rFonts w:hint="default" w:ascii="Times New Roman" w:hAnsi="Times New Roman" w:cs="Times New Roman"/>
                <w:color w:val="auto"/>
                <w:sz w:val="24"/>
                <w:highlight w:val="none"/>
                <w:lang w:val="en-US" w:eastAsia="zh-CN"/>
              </w:rPr>
              <w:t>60kW移动柴油</w:t>
            </w:r>
            <w:r>
              <w:rPr>
                <w:rFonts w:hint="default" w:ascii="Times New Roman" w:hAnsi="Times New Roman" w:cs="Times New Roman"/>
                <w:color w:val="auto"/>
                <w:sz w:val="24"/>
                <w:highlight w:val="none"/>
              </w:rPr>
              <w:t>发电机组发电，</w:t>
            </w:r>
            <w:r>
              <w:rPr>
                <w:rFonts w:hint="default" w:ascii="Times New Roman" w:hAnsi="Times New Roman" w:cs="Times New Roman"/>
                <w:color w:val="auto"/>
                <w:sz w:val="24"/>
                <w:highlight w:val="none"/>
                <w:lang w:val="en-US" w:eastAsia="zh-CN"/>
              </w:rPr>
              <w:t>生产用水采用水泵抽取欧根河河水，生活用水采用桶装水</w:t>
            </w:r>
            <w:r>
              <w:rPr>
                <w:rFonts w:hint="default" w:ascii="Times New Roman" w:hAnsi="Times New Roman" w:cs="Times New Roman"/>
                <w:color w:val="auto"/>
                <w:sz w:val="24"/>
                <w:highlight w:val="none"/>
              </w:rPr>
              <w:t>。</w:t>
            </w:r>
          </w:p>
          <w:p w14:paraId="761B0B7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施工通信</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通信采用现有公共通信网络，不另外设置。</w:t>
            </w:r>
          </w:p>
          <w:p w14:paraId="7B315C70">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2"/>
                <w:sz w:val="24"/>
                <w:szCs w:val="24"/>
                <w:highlight w:val="none"/>
                <w:lang w:val="en-US" w:eastAsia="zh-CN" w:bidi="ar-SA"/>
              </w:rPr>
              <w:t>3、</w:t>
            </w:r>
            <w:r>
              <w:rPr>
                <w:rFonts w:hint="default" w:ascii="Times New Roman" w:hAnsi="Times New Roman" w:cs="Times New Roman"/>
                <w:b/>
                <w:bCs/>
                <w:color w:val="auto"/>
                <w:sz w:val="24"/>
                <w:highlight w:val="none"/>
              </w:rPr>
              <w:t>弃渣场</w:t>
            </w:r>
          </w:p>
          <w:p w14:paraId="5A30F3F3">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yellow"/>
              </w:rPr>
            </w:pPr>
            <w:r>
              <w:rPr>
                <w:rFonts w:hint="default" w:ascii="Times New Roman" w:hAnsi="Times New Roman" w:cs="Times New Roman"/>
                <w:color w:val="auto"/>
                <w:sz w:val="24"/>
                <w:highlight w:val="none"/>
                <w:lang w:val="en-US" w:eastAsia="zh-CN"/>
              </w:rPr>
              <w:t>不单独设置</w:t>
            </w:r>
            <w:r>
              <w:rPr>
                <w:rFonts w:hint="default" w:ascii="Times New Roman" w:hAnsi="Times New Roman" w:cs="Times New Roman"/>
                <w:color w:val="auto"/>
                <w:sz w:val="24"/>
                <w:highlight w:val="none"/>
              </w:rPr>
              <w:t>弃渣场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弃土中土方临时堆放在</w:t>
            </w:r>
            <w:r>
              <w:rPr>
                <w:rFonts w:hint="default" w:ascii="Times New Roman" w:hAnsi="Times New Roman" w:cs="Times New Roman"/>
                <w:color w:val="auto"/>
                <w:sz w:val="24"/>
                <w:highlight w:val="none"/>
              </w:rPr>
              <w:t>工程沿线的凹地内，</w:t>
            </w:r>
            <w:r>
              <w:rPr>
                <w:rFonts w:hint="default" w:ascii="Times New Roman" w:hAnsi="Times New Roman" w:cs="Times New Roman"/>
                <w:color w:val="auto"/>
                <w:sz w:val="24"/>
                <w:highlight w:val="none"/>
                <w:lang w:val="en-US" w:eastAsia="zh-CN"/>
              </w:rPr>
              <w:t>就近填塘</w:t>
            </w:r>
            <w:r>
              <w:rPr>
                <w:rFonts w:hint="default" w:ascii="Times New Roman" w:hAnsi="Times New Roman" w:cs="Times New Roman"/>
                <w:color w:val="auto"/>
                <w:sz w:val="24"/>
                <w:highlight w:val="none"/>
              </w:rPr>
              <w:t>。</w:t>
            </w:r>
            <w:r>
              <w:rPr>
                <w:rFonts w:hint="eastAsia" w:ascii="Times New Roman" w:hAnsi="Times New Roman" w:cs="Times New Roman"/>
                <w:color w:val="auto"/>
                <w:sz w:val="24"/>
                <w:szCs w:val="24"/>
                <w:highlight w:val="yellow"/>
                <w:lang w:val="en-US" w:eastAsia="zh-CN"/>
              </w:rPr>
              <w:t>余方填充坑塘，坑塘位于十六道岗水库，为本项目取土场。本项目取土782108m</w:t>
            </w:r>
            <w:r>
              <w:rPr>
                <w:rFonts w:hint="eastAsia" w:ascii="Times New Roman" w:hAnsi="Times New Roman" w:cs="Times New Roman"/>
                <w:color w:val="auto"/>
                <w:sz w:val="24"/>
                <w:szCs w:val="24"/>
                <w:highlight w:val="yellow"/>
                <w:vertAlign w:val="superscript"/>
                <w:lang w:val="en-US" w:eastAsia="zh-CN"/>
              </w:rPr>
              <w:t>3</w:t>
            </w:r>
            <w:r>
              <w:rPr>
                <w:rFonts w:hint="eastAsia" w:ascii="Times New Roman" w:hAnsi="Times New Roman" w:cs="Times New Roman"/>
                <w:color w:val="auto"/>
                <w:sz w:val="24"/>
                <w:szCs w:val="24"/>
                <w:highlight w:val="yellow"/>
                <w:lang w:val="en-US" w:eastAsia="zh-CN"/>
              </w:rPr>
              <w:t>，坑塘可填充782108m</w:t>
            </w:r>
            <w:r>
              <w:rPr>
                <w:rFonts w:hint="eastAsia" w:ascii="Times New Roman" w:hAnsi="Times New Roman" w:cs="Times New Roman"/>
                <w:color w:val="auto"/>
                <w:sz w:val="24"/>
                <w:szCs w:val="24"/>
                <w:highlight w:val="yellow"/>
                <w:vertAlign w:val="superscript"/>
                <w:lang w:val="en-US" w:eastAsia="zh-CN"/>
              </w:rPr>
              <w:t>3</w:t>
            </w:r>
            <w:r>
              <w:rPr>
                <w:rFonts w:hint="eastAsia" w:ascii="Times New Roman" w:hAnsi="Times New Roman" w:cs="Times New Roman"/>
                <w:color w:val="auto"/>
                <w:sz w:val="24"/>
                <w:szCs w:val="24"/>
                <w:highlight w:val="yellow"/>
                <w:lang w:val="en-US" w:eastAsia="zh-CN"/>
              </w:rPr>
              <w:t>，可以容纳本项目弃方</w:t>
            </w:r>
            <w:r>
              <w:rPr>
                <w:rFonts w:hint="default" w:ascii="Times New Roman" w:hAnsi="Times New Roman" w:cs="Times New Roman"/>
                <w:color w:val="auto"/>
                <w:sz w:val="24"/>
                <w:szCs w:val="24"/>
                <w:highlight w:val="yellow"/>
                <w:lang w:val="en-US" w:eastAsia="zh-CN"/>
              </w:rPr>
              <w:t>10977m</w:t>
            </w:r>
            <w:r>
              <w:rPr>
                <w:rFonts w:hint="default" w:ascii="Times New Roman" w:hAnsi="Times New Roman" w:cs="Times New Roman"/>
                <w:color w:val="auto"/>
                <w:sz w:val="24"/>
                <w:szCs w:val="24"/>
                <w:highlight w:val="yellow"/>
                <w:vertAlign w:val="superscript"/>
                <w:lang w:val="en-US" w:eastAsia="zh-CN"/>
              </w:rPr>
              <w:t>3</w:t>
            </w:r>
            <w:r>
              <w:rPr>
                <w:rFonts w:hint="eastAsia" w:ascii="Times New Roman" w:hAnsi="Times New Roman" w:cs="Times New Roman"/>
                <w:color w:val="auto"/>
                <w:sz w:val="24"/>
                <w:szCs w:val="24"/>
                <w:highlight w:val="yellow"/>
                <w:vertAlign w:val="baseline"/>
                <w:lang w:val="en-US" w:eastAsia="zh-CN"/>
              </w:rPr>
              <w:t>。</w:t>
            </w:r>
          </w:p>
          <w:p w14:paraId="68207B0B">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cs="Times New Roman"/>
                <w:b/>
                <w:bCs/>
                <w:color w:val="auto"/>
                <w:sz w:val="24"/>
                <w:highlight w:val="none"/>
                <w:lang w:val="en-US" w:eastAsia="zh-CN"/>
              </w:rPr>
              <w:t>表土暂存场</w:t>
            </w:r>
          </w:p>
          <w:p w14:paraId="2B3C2FC2">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本工程产生的剥离表土外运15km至发展乡指定地点表土暂存场保存，拟由庆安县庆禾农业发展有限公司用于土地改良等综合利用方式，庆安县庆禾农业发展有限公司根据省、市、县有关规范和指导意见，切实加强已剥离未利用土壤封层管控，采取切实可行的利用技术措施，做到应用尽用、高效利用。表土的运输、储存、利用等环节的安全、环保及水土保持由庆安县庆禾农业发展有限公司承担</w:t>
            </w:r>
            <w:r>
              <w:rPr>
                <w:rFonts w:hint="default" w:ascii="Times New Roman" w:hAnsi="Times New Roman" w:cs="Times New Roman"/>
                <w:bCs/>
                <w:color w:val="auto"/>
                <w:sz w:val="24"/>
                <w:highlight w:val="none"/>
              </w:rPr>
              <w:t>。</w:t>
            </w:r>
          </w:p>
          <w:p w14:paraId="18A1281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5、取土场</w:t>
            </w:r>
          </w:p>
          <w:p w14:paraId="5F493FF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设置1处取土场，位于十六道岗水库，占用720亩坑塘。</w:t>
            </w:r>
            <w:bookmarkStart w:id="117" w:name="_GoBack"/>
            <w:r>
              <w:rPr>
                <w:rFonts w:hint="default" w:ascii="Times New Roman" w:hAnsi="Times New Roman" w:cs="Times New Roman"/>
                <w:color w:val="auto"/>
                <w:sz w:val="24"/>
                <w:highlight w:val="none"/>
                <w:lang w:val="en-US" w:eastAsia="zh-CN"/>
              </w:rPr>
              <w:t>可取土量200万</w:t>
            </w:r>
            <w:r>
              <w:rPr>
                <w:rFonts w:hint="default" w:ascii="Times New Roman" w:hAnsi="Times New Roman" w:cs="Times New Roman"/>
                <w:color w:val="auto"/>
                <w:kern w:val="0"/>
                <w:sz w:val="24"/>
                <w:highlight w:val="none"/>
                <w:lang w:eastAsia="zh-CN"/>
              </w:rPr>
              <w:t>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w:t>
            </w:r>
            <w:r>
              <w:rPr>
                <w:rFonts w:hint="default" w:ascii="Times New Roman" w:hAnsi="Times New Roman" w:cs="Times New Roman"/>
                <w:color w:val="auto"/>
                <w:sz w:val="24"/>
                <w:highlight w:val="none"/>
                <w:lang w:val="en-US" w:eastAsia="zh-CN"/>
              </w:rPr>
              <w:t>可满足本项目土方782108</w:t>
            </w:r>
            <w:r>
              <w:rPr>
                <w:rFonts w:hint="default" w:ascii="Times New Roman" w:hAnsi="Times New Roman" w:cs="Times New Roman"/>
                <w:color w:val="auto"/>
                <w:kern w:val="0"/>
                <w:sz w:val="24"/>
                <w:highlight w:val="none"/>
                <w:lang w:eastAsia="zh-CN"/>
              </w:rPr>
              <w:t>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lang w:val="en-US" w:eastAsia="zh-CN"/>
              </w:rPr>
              <w:t>的需求。</w:t>
            </w:r>
            <w:bookmarkEnd w:id="117"/>
          </w:p>
          <w:p w14:paraId="42EFF96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、技术供应</w:t>
            </w:r>
          </w:p>
          <w:p w14:paraId="1F5C2A1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块石、碎石、毛石土从嘎达山石场采购，运距50k</w:t>
            </w:r>
            <w:r>
              <w:rPr>
                <w:rFonts w:hint="default" w:ascii="Times New Roman" w:hAnsi="Times New Roman" w:cs="Times New Roman"/>
                <w:color w:val="auto"/>
                <w:kern w:val="0"/>
                <w:sz w:val="24"/>
                <w:highlight w:val="none"/>
                <w:lang w:eastAsia="zh-CN"/>
              </w:rPr>
              <w:t>m</w:t>
            </w:r>
            <w:r>
              <w:rPr>
                <w:rFonts w:hint="default" w:ascii="Times New Roman" w:hAnsi="Times New Roman" w:eastAsia="宋体" w:cs="Times New Roman"/>
                <w:color w:val="auto"/>
                <w:kern w:val="0"/>
                <w:sz w:val="24"/>
                <w:highlight w:val="none"/>
              </w:rPr>
              <w:t>；水泥、钢筋、风化砂从庆安县采购，运距45k</w:t>
            </w:r>
            <w:r>
              <w:rPr>
                <w:rFonts w:hint="default" w:ascii="Times New Roman" w:hAnsi="Times New Roman" w:cs="Times New Roman"/>
                <w:color w:val="auto"/>
                <w:kern w:val="0"/>
                <w:sz w:val="24"/>
                <w:highlight w:val="none"/>
                <w:lang w:eastAsia="zh-CN"/>
              </w:rPr>
              <w:t>m</w:t>
            </w:r>
            <w:r>
              <w:rPr>
                <w:rFonts w:hint="default" w:ascii="Times New Roman" w:hAnsi="Times New Roman" w:eastAsia="宋体" w:cs="Times New Roman"/>
                <w:color w:val="auto"/>
                <w:kern w:val="0"/>
                <w:sz w:val="24"/>
                <w:highlight w:val="none"/>
              </w:rPr>
              <w:t>；柴油、汽油从发展乡采购，运距15k</w:t>
            </w:r>
            <w:r>
              <w:rPr>
                <w:rFonts w:hint="default" w:ascii="Times New Roman" w:hAnsi="Times New Roman" w:cs="Times New Roman"/>
                <w:color w:val="auto"/>
                <w:kern w:val="0"/>
                <w:sz w:val="24"/>
                <w:highlight w:val="none"/>
                <w:lang w:eastAsia="zh-CN"/>
              </w:rPr>
              <w:t>m</w:t>
            </w:r>
            <w:r>
              <w:rPr>
                <w:rFonts w:hint="default" w:ascii="Times New Roman" w:hAnsi="Times New Roman" w:eastAsia="宋体" w:cs="Times New Roman"/>
                <w:color w:val="auto"/>
                <w:kern w:val="0"/>
                <w:sz w:val="24"/>
                <w:highlight w:val="none"/>
              </w:rPr>
              <w:t>。材料全部用汽车运输到工地。建设实施所需要的建筑材料储量和质量完全能满足需要。</w:t>
            </w:r>
          </w:p>
          <w:p w14:paraId="3B3F6D8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本工程所需主要建筑材料</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柴油1753.34t，汽油11.75t，水泥4651.28t，块石119149.72</w:t>
            </w:r>
            <w:r>
              <w:rPr>
                <w:rFonts w:hint="default" w:ascii="Times New Roman" w:hAnsi="Times New Roman" w:cs="Times New Roman"/>
                <w:color w:val="auto"/>
                <w:kern w:val="0"/>
                <w:sz w:val="24"/>
                <w:highlight w:val="none"/>
                <w:lang w:eastAsia="zh-CN"/>
              </w:rPr>
              <w:t>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，砂8045.52</w:t>
            </w:r>
            <w:r>
              <w:rPr>
                <w:rFonts w:hint="default" w:ascii="Times New Roman" w:hAnsi="Times New Roman" w:cs="Times New Roman"/>
                <w:color w:val="auto"/>
                <w:kern w:val="0"/>
                <w:sz w:val="24"/>
                <w:highlight w:val="none"/>
                <w:lang w:eastAsia="zh-CN"/>
              </w:rPr>
              <w:t>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，碎石33844.93</w:t>
            </w:r>
            <w:r>
              <w:rPr>
                <w:rFonts w:hint="default" w:ascii="Times New Roman" w:hAnsi="Times New Roman" w:cs="Times New Roman"/>
                <w:color w:val="auto"/>
                <w:kern w:val="0"/>
                <w:sz w:val="24"/>
                <w:highlight w:val="none"/>
                <w:lang w:eastAsia="zh-CN"/>
              </w:rPr>
              <w:t>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，钢筋826.03t。</w:t>
            </w:r>
          </w:p>
          <w:p w14:paraId="1DCDD70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lang w:val="en-US" w:eastAsia="zh-CN"/>
              </w:rPr>
              <w:t>6</w:t>
            </w:r>
            <w:r>
              <w:rPr>
                <w:rFonts w:hint="default" w:ascii="Times New Roman" w:hAnsi="Times New Roman" w:cs="Times New Roman"/>
                <w:color w:val="auto"/>
                <w:kern w:val="0"/>
                <w:sz w:val="24"/>
                <w:szCs w:val="24"/>
                <w:highlight w:val="none"/>
              </w:rPr>
              <w:t>、交通运输</w:t>
            </w:r>
          </w:p>
          <w:p w14:paraId="457125D6">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本工程地处</w:t>
            </w:r>
            <w:r>
              <w:rPr>
                <w:rFonts w:hint="default" w:ascii="Times New Roman" w:hAnsi="Times New Roman" w:cs="Times New Roman"/>
                <w:color w:val="auto"/>
                <w:kern w:val="0"/>
                <w:sz w:val="24"/>
                <w:szCs w:val="24"/>
                <w:highlight w:val="none"/>
                <w:lang w:val="en-US" w:eastAsia="zh-CN"/>
              </w:rPr>
              <w:t>庆安县</w:t>
            </w:r>
            <w:r>
              <w:rPr>
                <w:rFonts w:hint="default" w:ascii="Times New Roman" w:hAnsi="Times New Roman" w:cs="Times New Roman"/>
                <w:color w:val="auto"/>
                <w:kern w:val="0"/>
                <w:sz w:val="24"/>
                <w:szCs w:val="24"/>
                <w:highlight w:val="none"/>
              </w:rPr>
              <w:t>，工程所在地有省道、县道、乡道及通村公路可直达施工地点，道路情况良好，对外交通便利，可满足工程所需建筑材料的运输。为满足工程施工期的土料运输、砼水平运输及其它生产、生活资料的运输，对新建堤防需新建临时道路，料场至堤防道路需新建。</w:t>
            </w:r>
          </w:p>
          <w:p w14:paraId="03190531">
            <w:pPr>
              <w:keepNext w:val="0"/>
              <w:keepLines w:val="0"/>
              <w:pageBreakBefore w:val="0"/>
              <w:widowControl w:val="0"/>
              <w:shd w:val="clear" w:color="auto" w:fill="auto"/>
              <w:kinsoku/>
              <w:wordWrap/>
              <w:overflowPunct/>
              <w:topLinePunct w:val="0"/>
              <w:autoSpaceDE/>
              <w:autoSpaceDN/>
              <w:bidi w:val="0"/>
              <w:spacing w:line="500" w:lineRule="exact"/>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本项目</w:t>
            </w:r>
            <w:r>
              <w:rPr>
                <w:rFonts w:hint="default" w:ascii="Times New Roman" w:hAnsi="Times New Roman" w:cs="Times New Roman"/>
                <w:sz w:val="24"/>
                <w:szCs w:val="24"/>
                <w:highlight w:val="none"/>
              </w:rPr>
              <w:t>新建临时道路26.72k</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，路面宽度为5.0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。新建临时道路情况见表7.5</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2。</w:t>
            </w:r>
          </w:p>
          <w:p w14:paraId="7A3B5316">
            <w:pPr>
              <w:keepNext w:val="0"/>
              <w:keepLines w:val="0"/>
              <w:pageBreakBefore w:val="0"/>
              <w:widowControl w:val="0"/>
              <w:shd w:val="clear" w:color="auto" w:fill="auto"/>
              <w:kinsoku/>
              <w:wordWrap/>
              <w:overflowPunct/>
              <w:topLinePunct w:val="0"/>
              <w:autoSpaceDE/>
              <w:autoSpaceDN/>
              <w:bidi w:val="0"/>
              <w:spacing w:line="500" w:lineRule="exac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表</w:t>
            </w:r>
            <w:r>
              <w:rPr>
                <w:rFonts w:hint="default" w:ascii="Times New Roman" w:hAnsi="Times New Roman" w:cs="Times New Roman"/>
                <w:b/>
                <w:bCs/>
                <w:sz w:val="21"/>
                <w:szCs w:val="21"/>
                <w:highlight w:val="none"/>
                <w:lang w:val="en-US" w:eastAsia="zh-CN"/>
              </w:rPr>
              <w:t>2—9</w:t>
            </w:r>
            <w:r>
              <w:rPr>
                <w:rFonts w:hint="default" w:ascii="Times New Roman" w:hAnsi="Times New Roman" w:cs="Times New Roman"/>
                <w:b/>
                <w:bCs/>
                <w:sz w:val="21"/>
                <w:szCs w:val="21"/>
                <w:highlight w:val="none"/>
              </w:rPr>
              <w:t xml:space="preserve">  临时道路统计表</w:t>
            </w:r>
          </w:p>
          <w:tbl>
            <w:tblPr>
              <w:tblStyle w:val="25"/>
              <w:tblW w:w="4997" w:type="pct"/>
              <w:tblInd w:w="0" w:type="dxa"/>
              <w:tblLayout w:type="fixed"/>
              <w:tblCellMar>
                <w:top w:w="0" w:type="dxa"/>
                <w:left w:w="108" w:type="dxa"/>
                <w:bottom w:w="0" w:type="dxa"/>
                <w:right w:w="108" w:type="dxa"/>
              </w:tblCellMar>
            </w:tblPr>
            <w:tblGrid>
              <w:gridCol w:w="1888"/>
              <w:gridCol w:w="2397"/>
              <w:gridCol w:w="1888"/>
              <w:gridCol w:w="2754"/>
            </w:tblGrid>
            <w:tr w14:paraId="6A526405">
              <w:trPr>
                <w:trHeight w:val="397" w:hRule="atLeast"/>
              </w:trPr>
              <w:tc>
                <w:tcPr>
                  <w:tcW w:w="1057" w:type="pct"/>
                  <w:tcBorders>
                    <w:top w:val="single" w:color="000000" w:sz="4" w:space="0"/>
                    <w:left w:val="single" w:color="000000" w:sz="4" w:space="0"/>
                    <w:bottom w:val="single" w:color="000000" w:sz="4" w:space="0"/>
                    <w:right w:val="single" w:color="000000" w:sz="4" w:space="0"/>
                  </w:tcBorders>
                  <w:noWrap/>
                  <w:vAlign w:val="center"/>
                </w:tcPr>
                <w:p w14:paraId="2D3C2F5E">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1"/>
                      <w:szCs w:val="21"/>
                      <w:highlight w:val="none"/>
                      <w:lang w:bidi="ar"/>
                    </w:rPr>
                    <w:t>序号</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0A96FC5F">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1"/>
                      <w:szCs w:val="21"/>
                      <w:highlight w:val="none"/>
                      <w:lang w:bidi="ar"/>
                    </w:rPr>
                    <w:t>名称</w:t>
                  </w:r>
                </w:p>
              </w:tc>
              <w:tc>
                <w:tcPr>
                  <w:tcW w:w="1057" w:type="pct"/>
                  <w:tcBorders>
                    <w:top w:val="single" w:color="000000" w:sz="4" w:space="0"/>
                    <w:left w:val="single" w:color="000000" w:sz="4" w:space="0"/>
                    <w:bottom w:val="single" w:color="000000" w:sz="4" w:space="0"/>
                    <w:right w:val="single" w:color="000000" w:sz="4" w:space="0"/>
                  </w:tcBorders>
                  <w:noWrap/>
                  <w:vAlign w:val="center"/>
                </w:tcPr>
                <w:p w14:paraId="26EE7E11">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lang w:eastAsia="zh-CN"/>
                    </w:rPr>
                  </w:pPr>
                  <w:r>
                    <w:rPr>
                      <w:rFonts w:hint="default" w:ascii="Times New Roman" w:hAnsi="Times New Roman" w:cs="Times New Roman"/>
                      <w:color w:val="000000"/>
                      <w:kern w:val="0"/>
                      <w:sz w:val="21"/>
                      <w:szCs w:val="21"/>
                      <w:highlight w:val="none"/>
                      <w:lang w:bidi="ar"/>
                    </w:rPr>
                    <w:t>长度（</w:t>
                  </w:r>
                  <w:r>
                    <w:rPr>
                      <w:rFonts w:hint="default" w:ascii="Times New Roman" w:hAnsi="Times New Roman" w:eastAsia="等线" w:cs="Times New Roman"/>
                      <w:color w:val="000000"/>
                      <w:kern w:val="0"/>
                      <w:sz w:val="21"/>
                      <w:szCs w:val="21"/>
                      <w:highlight w:val="none"/>
                      <w:lang w:eastAsia="zh-CN" w:bidi="ar"/>
                    </w:rPr>
                    <w:t>m）</w:t>
                  </w:r>
                </w:p>
              </w:tc>
              <w:tc>
                <w:tcPr>
                  <w:tcW w:w="1542" w:type="pct"/>
                  <w:tcBorders>
                    <w:top w:val="single" w:color="000000" w:sz="4" w:space="0"/>
                    <w:left w:val="single" w:color="000000" w:sz="4" w:space="0"/>
                    <w:bottom w:val="single" w:color="000000" w:sz="4" w:space="0"/>
                    <w:right w:val="single" w:color="000000" w:sz="4" w:space="0"/>
                  </w:tcBorders>
                  <w:noWrap/>
                  <w:vAlign w:val="center"/>
                </w:tcPr>
                <w:p w14:paraId="2950CA83">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1"/>
                      <w:szCs w:val="21"/>
                      <w:highlight w:val="none"/>
                      <w:lang w:bidi="ar"/>
                    </w:rPr>
                    <w:t>服务对象</w:t>
                  </w:r>
                </w:p>
              </w:tc>
            </w:tr>
            <w:tr w14:paraId="46D72BEF">
              <w:tblPrEx>
                <w:tblCellMar>
                  <w:top w:w="0" w:type="dxa"/>
                  <w:left w:w="108" w:type="dxa"/>
                  <w:bottom w:w="0" w:type="dxa"/>
                  <w:right w:w="108" w:type="dxa"/>
                </w:tblCellMar>
              </w:tblPrEx>
              <w:trPr>
                <w:trHeight w:val="397" w:hRule="atLeast"/>
              </w:trPr>
              <w:tc>
                <w:tcPr>
                  <w:tcW w:w="1057" w:type="pct"/>
                  <w:tcBorders>
                    <w:top w:val="single" w:color="000000" w:sz="4" w:space="0"/>
                    <w:left w:val="single" w:color="000000" w:sz="4" w:space="0"/>
                    <w:bottom w:val="single" w:color="000000" w:sz="4" w:space="0"/>
                    <w:right w:val="single" w:color="000000" w:sz="4" w:space="0"/>
                  </w:tcBorders>
                  <w:noWrap/>
                  <w:vAlign w:val="center"/>
                </w:tcPr>
                <w:p w14:paraId="64159E00">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1</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3B3F821D">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2"/>
                      <w:szCs w:val="22"/>
                      <w:highlight w:val="none"/>
                      <w:lang w:bidi="ar"/>
                    </w:rPr>
                    <w:t>临时道路1</w:t>
                  </w:r>
                </w:p>
              </w:tc>
              <w:tc>
                <w:tcPr>
                  <w:tcW w:w="1057" w:type="pct"/>
                  <w:tcBorders>
                    <w:top w:val="single" w:color="000000" w:sz="4" w:space="0"/>
                    <w:left w:val="single" w:color="000000" w:sz="4" w:space="0"/>
                    <w:bottom w:val="single" w:color="000000" w:sz="4" w:space="0"/>
                    <w:right w:val="single" w:color="000000" w:sz="4" w:space="0"/>
                  </w:tcBorders>
                  <w:noWrap/>
                  <w:vAlign w:val="center"/>
                </w:tcPr>
                <w:p w14:paraId="4D40D2BE">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4600</w:t>
                  </w:r>
                </w:p>
              </w:tc>
              <w:tc>
                <w:tcPr>
                  <w:tcW w:w="1542" w:type="pct"/>
                  <w:tcBorders>
                    <w:top w:val="single" w:color="000000" w:sz="4" w:space="0"/>
                    <w:left w:val="single" w:color="000000" w:sz="4" w:space="0"/>
                    <w:bottom w:val="single" w:color="000000" w:sz="4" w:space="0"/>
                    <w:right w:val="single" w:color="000000" w:sz="4" w:space="0"/>
                  </w:tcBorders>
                  <w:noWrap/>
                  <w:vAlign w:val="center"/>
                </w:tcPr>
                <w:p w14:paraId="711FF2EF">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1</w:t>
                  </w:r>
                  <w:r>
                    <w:rPr>
                      <w:rFonts w:hint="default" w:ascii="Times New Roman" w:hAnsi="Times New Roman" w:cs="Times New Roman"/>
                      <w:color w:val="000000"/>
                      <w:kern w:val="0"/>
                      <w:sz w:val="22"/>
                      <w:szCs w:val="22"/>
                      <w:highlight w:val="none"/>
                      <w:lang w:bidi="ar"/>
                    </w:rPr>
                    <w:t>号堤防</w:t>
                  </w:r>
                </w:p>
              </w:tc>
            </w:tr>
            <w:tr w14:paraId="1BBD926B">
              <w:tblPrEx>
                <w:tblCellMar>
                  <w:top w:w="0" w:type="dxa"/>
                  <w:left w:w="108" w:type="dxa"/>
                  <w:bottom w:w="0" w:type="dxa"/>
                  <w:right w:w="108" w:type="dxa"/>
                </w:tblCellMar>
              </w:tblPrEx>
              <w:trPr>
                <w:trHeight w:val="397" w:hRule="atLeast"/>
              </w:trPr>
              <w:tc>
                <w:tcPr>
                  <w:tcW w:w="1057" w:type="pct"/>
                  <w:tcBorders>
                    <w:top w:val="single" w:color="000000" w:sz="4" w:space="0"/>
                    <w:left w:val="single" w:color="000000" w:sz="4" w:space="0"/>
                    <w:bottom w:val="single" w:color="000000" w:sz="4" w:space="0"/>
                    <w:right w:val="single" w:color="000000" w:sz="4" w:space="0"/>
                  </w:tcBorders>
                  <w:noWrap/>
                  <w:vAlign w:val="center"/>
                </w:tcPr>
                <w:p w14:paraId="037D73DE">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2</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41BCAFEF">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2"/>
                      <w:szCs w:val="22"/>
                      <w:highlight w:val="none"/>
                      <w:lang w:bidi="ar"/>
                    </w:rPr>
                    <w:t>临时道路2</w:t>
                  </w:r>
                </w:p>
              </w:tc>
              <w:tc>
                <w:tcPr>
                  <w:tcW w:w="1057" w:type="pct"/>
                  <w:tcBorders>
                    <w:top w:val="single" w:color="000000" w:sz="4" w:space="0"/>
                    <w:left w:val="single" w:color="000000" w:sz="4" w:space="0"/>
                    <w:bottom w:val="single" w:color="000000" w:sz="4" w:space="0"/>
                    <w:right w:val="single" w:color="000000" w:sz="4" w:space="0"/>
                  </w:tcBorders>
                  <w:noWrap/>
                  <w:vAlign w:val="center"/>
                </w:tcPr>
                <w:p w14:paraId="28A49F10">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7600</w:t>
                  </w:r>
                </w:p>
              </w:tc>
              <w:tc>
                <w:tcPr>
                  <w:tcW w:w="1542" w:type="pct"/>
                  <w:tcBorders>
                    <w:top w:val="single" w:color="000000" w:sz="4" w:space="0"/>
                    <w:left w:val="single" w:color="000000" w:sz="4" w:space="0"/>
                    <w:bottom w:val="single" w:color="000000" w:sz="4" w:space="0"/>
                    <w:right w:val="single" w:color="000000" w:sz="4" w:space="0"/>
                  </w:tcBorders>
                  <w:noWrap/>
                  <w:vAlign w:val="center"/>
                </w:tcPr>
                <w:p w14:paraId="413614F2">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2</w:t>
                  </w:r>
                  <w:r>
                    <w:rPr>
                      <w:rFonts w:hint="default" w:ascii="Times New Roman" w:hAnsi="Times New Roman" w:cs="Times New Roman"/>
                      <w:color w:val="000000"/>
                      <w:kern w:val="0"/>
                      <w:sz w:val="22"/>
                      <w:szCs w:val="22"/>
                      <w:highlight w:val="none"/>
                      <w:lang w:bidi="ar"/>
                    </w:rPr>
                    <w:t>号堤防</w:t>
                  </w:r>
                </w:p>
              </w:tc>
            </w:tr>
            <w:tr w14:paraId="69273639">
              <w:tblPrEx>
                <w:tblCellMar>
                  <w:top w:w="0" w:type="dxa"/>
                  <w:left w:w="108" w:type="dxa"/>
                  <w:bottom w:w="0" w:type="dxa"/>
                  <w:right w:w="108" w:type="dxa"/>
                </w:tblCellMar>
              </w:tblPrEx>
              <w:trPr>
                <w:trHeight w:val="397" w:hRule="atLeast"/>
              </w:trPr>
              <w:tc>
                <w:tcPr>
                  <w:tcW w:w="1057" w:type="pct"/>
                  <w:tcBorders>
                    <w:top w:val="single" w:color="000000" w:sz="4" w:space="0"/>
                    <w:left w:val="single" w:color="000000" w:sz="4" w:space="0"/>
                    <w:bottom w:val="single" w:color="000000" w:sz="4" w:space="0"/>
                    <w:right w:val="single" w:color="000000" w:sz="4" w:space="0"/>
                  </w:tcBorders>
                  <w:noWrap/>
                  <w:vAlign w:val="center"/>
                </w:tcPr>
                <w:p w14:paraId="0A02D034">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3</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5DABCED0">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2"/>
                      <w:szCs w:val="22"/>
                      <w:highlight w:val="none"/>
                      <w:lang w:bidi="ar"/>
                    </w:rPr>
                    <w:t>临时道路3</w:t>
                  </w:r>
                </w:p>
              </w:tc>
              <w:tc>
                <w:tcPr>
                  <w:tcW w:w="1057" w:type="pct"/>
                  <w:tcBorders>
                    <w:top w:val="single" w:color="000000" w:sz="4" w:space="0"/>
                    <w:left w:val="single" w:color="000000" w:sz="4" w:space="0"/>
                    <w:bottom w:val="single" w:color="000000" w:sz="4" w:space="0"/>
                    <w:right w:val="single" w:color="000000" w:sz="4" w:space="0"/>
                  </w:tcBorders>
                  <w:noWrap/>
                  <w:vAlign w:val="center"/>
                </w:tcPr>
                <w:p w14:paraId="423A067A">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4360</w:t>
                  </w:r>
                </w:p>
              </w:tc>
              <w:tc>
                <w:tcPr>
                  <w:tcW w:w="1542" w:type="pct"/>
                  <w:tcBorders>
                    <w:top w:val="single" w:color="000000" w:sz="4" w:space="0"/>
                    <w:left w:val="single" w:color="000000" w:sz="4" w:space="0"/>
                    <w:bottom w:val="single" w:color="000000" w:sz="4" w:space="0"/>
                    <w:right w:val="single" w:color="000000" w:sz="4" w:space="0"/>
                  </w:tcBorders>
                  <w:noWrap/>
                  <w:vAlign w:val="center"/>
                </w:tcPr>
                <w:p w14:paraId="3A300B38">
                  <w:pPr>
                    <w:widowControl/>
                    <w:shd w:val="clear" w:color="auto" w:fill="auto"/>
                    <w:spacing w:line="240" w:lineRule="auto"/>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3</w:t>
                  </w:r>
                  <w:r>
                    <w:rPr>
                      <w:rFonts w:hint="default" w:ascii="Times New Roman" w:hAnsi="Times New Roman" w:cs="Times New Roman"/>
                      <w:color w:val="000000"/>
                      <w:kern w:val="0"/>
                      <w:sz w:val="22"/>
                      <w:szCs w:val="22"/>
                      <w:highlight w:val="none"/>
                      <w:lang w:bidi="ar"/>
                    </w:rPr>
                    <w:t>号堤防</w:t>
                  </w:r>
                </w:p>
              </w:tc>
            </w:tr>
            <w:tr w14:paraId="461405E6">
              <w:tblPrEx>
                <w:tblCellMar>
                  <w:top w:w="0" w:type="dxa"/>
                  <w:left w:w="108" w:type="dxa"/>
                  <w:bottom w:w="0" w:type="dxa"/>
                  <w:right w:w="108" w:type="dxa"/>
                </w:tblCellMar>
              </w:tblPrEx>
              <w:trPr>
                <w:trHeight w:val="397" w:hRule="atLeast"/>
              </w:trPr>
              <w:tc>
                <w:tcPr>
                  <w:tcW w:w="1057" w:type="pct"/>
                  <w:tcBorders>
                    <w:top w:val="single" w:color="000000" w:sz="4" w:space="0"/>
                    <w:left w:val="single" w:color="000000" w:sz="4" w:space="0"/>
                    <w:bottom w:val="single" w:color="000000" w:sz="4" w:space="0"/>
                    <w:right w:val="single" w:color="000000" w:sz="4" w:space="0"/>
                  </w:tcBorders>
                  <w:noWrap/>
                  <w:vAlign w:val="center"/>
                </w:tcPr>
                <w:p w14:paraId="68E82570">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4</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03B9B3E0">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2"/>
                      <w:szCs w:val="22"/>
                      <w:highlight w:val="none"/>
                      <w:lang w:bidi="ar"/>
                    </w:rPr>
                    <w:t>临时道路4</w:t>
                  </w:r>
                </w:p>
              </w:tc>
              <w:tc>
                <w:tcPr>
                  <w:tcW w:w="1057" w:type="pct"/>
                  <w:tcBorders>
                    <w:top w:val="single" w:color="000000" w:sz="4" w:space="0"/>
                    <w:left w:val="single" w:color="000000" w:sz="4" w:space="0"/>
                    <w:bottom w:val="single" w:color="000000" w:sz="4" w:space="0"/>
                    <w:right w:val="single" w:color="000000" w:sz="4" w:space="0"/>
                  </w:tcBorders>
                  <w:noWrap/>
                  <w:vAlign w:val="center"/>
                </w:tcPr>
                <w:p w14:paraId="77D4A89D">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380</w:t>
                  </w:r>
                </w:p>
              </w:tc>
              <w:tc>
                <w:tcPr>
                  <w:tcW w:w="1542" w:type="pct"/>
                  <w:tcBorders>
                    <w:top w:val="single" w:color="000000" w:sz="4" w:space="0"/>
                    <w:left w:val="single" w:color="000000" w:sz="4" w:space="0"/>
                    <w:bottom w:val="single" w:color="000000" w:sz="4" w:space="0"/>
                    <w:right w:val="single" w:color="000000" w:sz="4" w:space="0"/>
                  </w:tcBorders>
                  <w:noWrap/>
                  <w:vAlign w:val="center"/>
                </w:tcPr>
                <w:p w14:paraId="50157755">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2"/>
                      <w:szCs w:val="22"/>
                      <w:highlight w:val="none"/>
                      <w:lang w:bidi="ar"/>
                    </w:rPr>
                    <w:t>护岸6</w:t>
                  </w:r>
                </w:p>
              </w:tc>
            </w:tr>
            <w:tr w14:paraId="0926D06F">
              <w:tblPrEx>
                <w:tblCellMar>
                  <w:top w:w="0" w:type="dxa"/>
                  <w:left w:w="108" w:type="dxa"/>
                  <w:bottom w:w="0" w:type="dxa"/>
                  <w:right w:w="108" w:type="dxa"/>
                </w:tblCellMar>
              </w:tblPrEx>
              <w:trPr>
                <w:trHeight w:val="397" w:hRule="atLeast"/>
              </w:trPr>
              <w:tc>
                <w:tcPr>
                  <w:tcW w:w="1057" w:type="pct"/>
                  <w:tcBorders>
                    <w:top w:val="single" w:color="000000" w:sz="4" w:space="0"/>
                    <w:left w:val="single" w:color="000000" w:sz="4" w:space="0"/>
                    <w:bottom w:val="single" w:color="000000" w:sz="4" w:space="0"/>
                    <w:right w:val="single" w:color="000000" w:sz="4" w:space="0"/>
                  </w:tcBorders>
                  <w:noWrap/>
                  <w:vAlign w:val="center"/>
                </w:tcPr>
                <w:p w14:paraId="6A871544">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5</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17E55ACA">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2"/>
                      <w:szCs w:val="22"/>
                      <w:highlight w:val="none"/>
                      <w:lang w:bidi="ar"/>
                    </w:rPr>
                    <w:t>临时道路5</w:t>
                  </w:r>
                </w:p>
              </w:tc>
              <w:tc>
                <w:tcPr>
                  <w:tcW w:w="1057" w:type="pct"/>
                  <w:tcBorders>
                    <w:top w:val="single" w:color="000000" w:sz="4" w:space="0"/>
                    <w:left w:val="single" w:color="000000" w:sz="4" w:space="0"/>
                    <w:bottom w:val="single" w:color="000000" w:sz="4" w:space="0"/>
                    <w:right w:val="single" w:color="000000" w:sz="4" w:space="0"/>
                  </w:tcBorders>
                  <w:noWrap/>
                  <w:vAlign w:val="center"/>
                </w:tcPr>
                <w:p w14:paraId="0AB17C37">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5325</w:t>
                  </w:r>
                </w:p>
              </w:tc>
              <w:tc>
                <w:tcPr>
                  <w:tcW w:w="1542" w:type="pct"/>
                  <w:tcBorders>
                    <w:top w:val="single" w:color="000000" w:sz="4" w:space="0"/>
                    <w:left w:val="single" w:color="000000" w:sz="4" w:space="0"/>
                    <w:bottom w:val="single" w:color="000000" w:sz="4" w:space="0"/>
                    <w:right w:val="single" w:color="000000" w:sz="4" w:space="0"/>
                  </w:tcBorders>
                  <w:noWrap/>
                  <w:vAlign w:val="center"/>
                </w:tcPr>
                <w:p w14:paraId="1B3E598B">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4</w:t>
                  </w:r>
                  <w:r>
                    <w:rPr>
                      <w:rFonts w:hint="default" w:ascii="Times New Roman" w:hAnsi="Times New Roman" w:cs="Times New Roman"/>
                      <w:color w:val="000000"/>
                      <w:kern w:val="0"/>
                      <w:sz w:val="22"/>
                      <w:szCs w:val="22"/>
                      <w:highlight w:val="none"/>
                      <w:lang w:bidi="ar"/>
                    </w:rPr>
                    <w:t>号堤防</w:t>
                  </w:r>
                </w:p>
              </w:tc>
            </w:tr>
            <w:tr w14:paraId="218F6153">
              <w:tblPrEx>
                <w:tblCellMar>
                  <w:top w:w="0" w:type="dxa"/>
                  <w:left w:w="108" w:type="dxa"/>
                  <w:bottom w:w="0" w:type="dxa"/>
                  <w:right w:w="108" w:type="dxa"/>
                </w:tblCellMar>
              </w:tblPrEx>
              <w:trPr>
                <w:trHeight w:val="397" w:hRule="atLeast"/>
              </w:trPr>
              <w:tc>
                <w:tcPr>
                  <w:tcW w:w="1057" w:type="pct"/>
                  <w:tcBorders>
                    <w:top w:val="single" w:color="000000" w:sz="4" w:space="0"/>
                    <w:left w:val="single" w:color="000000" w:sz="4" w:space="0"/>
                    <w:bottom w:val="single" w:color="000000" w:sz="4" w:space="0"/>
                    <w:right w:val="single" w:color="000000" w:sz="4" w:space="0"/>
                  </w:tcBorders>
                  <w:noWrap/>
                  <w:vAlign w:val="center"/>
                </w:tcPr>
                <w:p w14:paraId="3BF79699">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6</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244CBE3F">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2"/>
                      <w:szCs w:val="22"/>
                      <w:highlight w:val="none"/>
                      <w:lang w:bidi="ar"/>
                    </w:rPr>
                    <w:t>临时道路6</w:t>
                  </w:r>
                </w:p>
              </w:tc>
              <w:tc>
                <w:tcPr>
                  <w:tcW w:w="1057" w:type="pct"/>
                  <w:tcBorders>
                    <w:top w:val="single" w:color="000000" w:sz="4" w:space="0"/>
                    <w:left w:val="single" w:color="000000" w:sz="4" w:space="0"/>
                    <w:bottom w:val="single" w:color="000000" w:sz="4" w:space="0"/>
                    <w:right w:val="single" w:color="000000" w:sz="4" w:space="0"/>
                  </w:tcBorders>
                  <w:noWrap/>
                  <w:vAlign w:val="center"/>
                </w:tcPr>
                <w:p w14:paraId="1F241F13">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665</w:t>
                  </w:r>
                </w:p>
              </w:tc>
              <w:tc>
                <w:tcPr>
                  <w:tcW w:w="1542" w:type="pct"/>
                  <w:tcBorders>
                    <w:top w:val="single" w:color="000000" w:sz="4" w:space="0"/>
                    <w:left w:val="single" w:color="000000" w:sz="4" w:space="0"/>
                    <w:bottom w:val="single" w:color="000000" w:sz="4" w:space="0"/>
                    <w:right w:val="single" w:color="000000" w:sz="4" w:space="0"/>
                  </w:tcBorders>
                  <w:noWrap/>
                  <w:vAlign w:val="center"/>
                </w:tcPr>
                <w:p w14:paraId="30BDDCC6">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2"/>
                      <w:szCs w:val="22"/>
                      <w:highlight w:val="none"/>
                      <w:lang w:bidi="ar"/>
                    </w:rPr>
                    <w:t>护岸14、护岸15</w:t>
                  </w:r>
                </w:p>
              </w:tc>
            </w:tr>
            <w:tr w14:paraId="547F36B9">
              <w:tblPrEx>
                <w:tblCellMar>
                  <w:top w:w="0" w:type="dxa"/>
                  <w:left w:w="108" w:type="dxa"/>
                  <w:bottom w:w="0" w:type="dxa"/>
                  <w:right w:w="108" w:type="dxa"/>
                </w:tblCellMar>
              </w:tblPrEx>
              <w:trPr>
                <w:trHeight w:val="397" w:hRule="atLeast"/>
              </w:trPr>
              <w:tc>
                <w:tcPr>
                  <w:tcW w:w="1057" w:type="pct"/>
                  <w:tcBorders>
                    <w:top w:val="single" w:color="000000" w:sz="4" w:space="0"/>
                    <w:left w:val="single" w:color="000000" w:sz="4" w:space="0"/>
                    <w:bottom w:val="single" w:color="000000" w:sz="4" w:space="0"/>
                    <w:right w:val="single" w:color="000000" w:sz="4" w:space="0"/>
                  </w:tcBorders>
                  <w:noWrap/>
                  <w:vAlign w:val="center"/>
                </w:tcPr>
                <w:p w14:paraId="67239C1D">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7</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12959925">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cs="Times New Roman"/>
                      <w:color w:val="000000"/>
                      <w:kern w:val="0"/>
                      <w:sz w:val="22"/>
                      <w:szCs w:val="22"/>
                      <w:highlight w:val="none"/>
                      <w:lang w:bidi="ar"/>
                    </w:rPr>
                    <w:t>临时道路7</w:t>
                  </w:r>
                </w:p>
              </w:tc>
              <w:tc>
                <w:tcPr>
                  <w:tcW w:w="1057" w:type="pct"/>
                  <w:tcBorders>
                    <w:top w:val="single" w:color="000000" w:sz="4" w:space="0"/>
                    <w:left w:val="single" w:color="000000" w:sz="4" w:space="0"/>
                    <w:bottom w:val="single" w:color="000000" w:sz="4" w:space="0"/>
                    <w:right w:val="single" w:color="000000" w:sz="4" w:space="0"/>
                  </w:tcBorders>
                  <w:noWrap/>
                  <w:vAlign w:val="center"/>
                </w:tcPr>
                <w:p w14:paraId="22CF7E3F">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3790</w:t>
                  </w:r>
                </w:p>
              </w:tc>
              <w:tc>
                <w:tcPr>
                  <w:tcW w:w="1542" w:type="pct"/>
                  <w:tcBorders>
                    <w:top w:val="single" w:color="000000" w:sz="4" w:space="0"/>
                    <w:left w:val="single" w:color="000000" w:sz="4" w:space="0"/>
                    <w:bottom w:val="single" w:color="000000" w:sz="4" w:space="0"/>
                    <w:right w:val="single" w:color="000000" w:sz="4" w:space="0"/>
                  </w:tcBorders>
                  <w:noWrap/>
                  <w:vAlign w:val="center"/>
                </w:tcPr>
                <w:p w14:paraId="5CAFCF8C">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5</w:t>
                  </w:r>
                  <w:r>
                    <w:rPr>
                      <w:rFonts w:hint="default" w:ascii="Times New Roman" w:hAnsi="Times New Roman" w:cs="Times New Roman"/>
                      <w:color w:val="000000"/>
                      <w:kern w:val="0"/>
                      <w:sz w:val="22"/>
                      <w:szCs w:val="22"/>
                      <w:highlight w:val="none"/>
                      <w:lang w:bidi="ar"/>
                    </w:rPr>
                    <w:t>号堤防</w:t>
                  </w:r>
                </w:p>
              </w:tc>
            </w:tr>
            <w:tr w14:paraId="5A7A4800">
              <w:tblPrEx>
                <w:tblCellMar>
                  <w:top w:w="0" w:type="dxa"/>
                  <w:left w:w="108" w:type="dxa"/>
                  <w:bottom w:w="0" w:type="dxa"/>
                  <w:right w:w="108" w:type="dxa"/>
                </w:tblCellMar>
              </w:tblPrEx>
              <w:trPr>
                <w:trHeight w:val="397" w:hRule="atLeast"/>
              </w:trPr>
              <w:tc>
                <w:tcPr>
                  <w:tcW w:w="1057" w:type="pct"/>
                  <w:tcBorders>
                    <w:top w:val="single" w:color="000000" w:sz="4" w:space="0"/>
                    <w:left w:val="single" w:color="000000" w:sz="4" w:space="0"/>
                    <w:bottom w:val="single" w:color="000000" w:sz="4" w:space="0"/>
                    <w:right w:val="single" w:color="000000" w:sz="4" w:space="0"/>
                  </w:tcBorders>
                  <w:noWrap/>
                  <w:vAlign w:val="center"/>
                </w:tcPr>
                <w:p w14:paraId="11D8E5B4">
                  <w:pPr>
                    <w:widowControl/>
                    <w:shd w:val="clear" w:color="auto" w:fill="auto"/>
                    <w:spacing w:line="240" w:lineRule="auto"/>
                    <w:jc w:val="center"/>
                    <w:rPr>
                      <w:rFonts w:hint="default" w:ascii="Times New Roman" w:hAnsi="Times New Roman" w:eastAsia="等线" w:cs="Times New Roman"/>
                      <w:color w:val="000000"/>
                      <w:sz w:val="21"/>
                      <w:szCs w:val="21"/>
                      <w:highlight w:val="none"/>
                    </w:rPr>
                  </w:pP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7224604F">
                  <w:pPr>
                    <w:widowControl/>
                    <w:shd w:val="clear" w:color="auto" w:fill="auto"/>
                    <w:spacing w:line="240" w:lineRule="auto"/>
                    <w:jc w:val="center"/>
                    <w:rPr>
                      <w:rFonts w:hint="default" w:ascii="Times New Roman" w:hAnsi="Times New Roman" w:eastAsia="等线" w:cs="Times New Roman"/>
                      <w:color w:val="000000"/>
                      <w:sz w:val="21"/>
                      <w:szCs w:val="21"/>
                      <w:highlight w:val="none"/>
                    </w:rPr>
                  </w:pPr>
                </w:p>
              </w:tc>
              <w:tc>
                <w:tcPr>
                  <w:tcW w:w="1057" w:type="pct"/>
                  <w:tcBorders>
                    <w:top w:val="single" w:color="000000" w:sz="4" w:space="0"/>
                    <w:left w:val="single" w:color="000000" w:sz="4" w:space="0"/>
                    <w:bottom w:val="single" w:color="000000" w:sz="4" w:space="0"/>
                    <w:right w:val="single" w:color="000000" w:sz="4" w:space="0"/>
                  </w:tcBorders>
                  <w:noWrap/>
                  <w:vAlign w:val="center"/>
                </w:tcPr>
                <w:p w14:paraId="53797E9C">
                  <w:pPr>
                    <w:widowControl/>
                    <w:shd w:val="clear" w:color="auto" w:fill="auto"/>
                    <w:spacing w:line="240" w:lineRule="auto"/>
                    <w:jc w:val="center"/>
                    <w:textAlignment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kern w:val="0"/>
                      <w:sz w:val="22"/>
                      <w:szCs w:val="22"/>
                      <w:highlight w:val="none"/>
                      <w:lang w:bidi="ar"/>
                    </w:rPr>
                    <w:t>26720</w:t>
                  </w:r>
                </w:p>
              </w:tc>
              <w:tc>
                <w:tcPr>
                  <w:tcW w:w="1542" w:type="pct"/>
                  <w:tcBorders>
                    <w:top w:val="single" w:color="000000" w:sz="4" w:space="0"/>
                    <w:left w:val="single" w:color="000000" w:sz="4" w:space="0"/>
                    <w:bottom w:val="single" w:color="000000" w:sz="4" w:space="0"/>
                    <w:right w:val="single" w:color="000000" w:sz="4" w:space="0"/>
                  </w:tcBorders>
                  <w:noWrap/>
                  <w:vAlign w:val="center"/>
                </w:tcPr>
                <w:p w14:paraId="6A8F8873">
                  <w:pPr>
                    <w:widowControl/>
                    <w:shd w:val="clear" w:color="auto" w:fill="auto"/>
                    <w:spacing w:line="240" w:lineRule="auto"/>
                    <w:jc w:val="center"/>
                    <w:rPr>
                      <w:rFonts w:hint="default" w:ascii="Times New Roman" w:hAnsi="Times New Roman" w:eastAsia="等线" w:cs="Times New Roman"/>
                      <w:color w:val="000000"/>
                      <w:sz w:val="21"/>
                      <w:szCs w:val="21"/>
                      <w:highlight w:val="none"/>
                    </w:rPr>
                  </w:pPr>
                </w:p>
              </w:tc>
            </w:tr>
          </w:tbl>
          <w:p w14:paraId="7618BF8E">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color w:val="auto"/>
                <w:kern w:val="0"/>
                <w:sz w:val="24"/>
                <w:highlight w:val="none"/>
                <w:lang w:val="en-US" w:eastAsia="zh-CN"/>
              </w:rPr>
            </w:pPr>
          </w:p>
        </w:tc>
      </w:tr>
      <w:tr w14:paraId="41B234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4" w:hRule="atLeast"/>
          <w:jc w:val="center"/>
        </w:trPr>
        <w:tc>
          <w:tcPr>
            <w:tcW w:w="237" w:type="pct"/>
            <w:noWrap w:val="0"/>
            <w:vAlign w:val="center"/>
          </w:tcPr>
          <w:p w14:paraId="065B6018">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施工方案</w:t>
            </w:r>
          </w:p>
        </w:tc>
        <w:tc>
          <w:tcPr>
            <w:tcW w:w="4762" w:type="pct"/>
            <w:noWrap w:val="0"/>
            <w:vAlign w:val="center"/>
          </w:tcPr>
          <w:p w14:paraId="51852C71">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b/>
                <w:bCs/>
                <w:color w:val="auto"/>
                <w:highlight w:val="none"/>
              </w:rPr>
            </w:pPr>
            <w:bookmarkStart w:id="13" w:name="_Toc63117224"/>
            <w:bookmarkStart w:id="14" w:name="_Toc395511907"/>
            <w:r>
              <w:rPr>
                <w:rFonts w:hint="default" w:ascii="Times New Roman" w:hAnsi="Times New Roman" w:cs="Times New Roman"/>
                <w:b/>
                <w:bCs/>
                <w:color w:val="auto"/>
                <w:highlight w:val="none"/>
                <w:lang w:val="en-US" w:eastAsia="zh-CN"/>
              </w:rPr>
              <w:t>一、</w:t>
            </w:r>
            <w:r>
              <w:rPr>
                <w:rFonts w:hint="default" w:ascii="Times New Roman" w:hAnsi="Times New Roman" w:cs="Times New Roman"/>
                <w:b/>
                <w:bCs/>
                <w:color w:val="auto"/>
                <w:highlight w:val="none"/>
              </w:rPr>
              <w:t>施工导流</w:t>
            </w:r>
            <w:bookmarkEnd w:id="13"/>
            <w:bookmarkEnd w:id="14"/>
          </w:p>
          <w:p w14:paraId="62184DF4">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本工程堤防为4级堤防，根据《水利水电工程施工组织设计规范》（SL303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2017）第3.2.1条，导流建筑物级别均为5级，洪水重现期为5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10年。根据建筑物实际情况，本次设计选取5年一遇洪水标准作为建筑物导流标准。</w:t>
            </w:r>
          </w:p>
          <w:p w14:paraId="4C417219">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建筑物围堰设计采用编织袋土围堰，围堰顶宽3</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，围堰边坡为1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1.5，围堰填筑土料采用建筑物开挖土料，防渗形式采用土工膜防渗，护坡采用编织袋土护坡。根据《水利水电工程施工组织设计规范》（SL303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2017）结合工程实际，安全加高取0.5</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，波浪爬高取0.4</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w:t>
            </w:r>
            <w:bookmarkStart w:id="15" w:name="_Toc63117226"/>
            <w:bookmarkStart w:id="16" w:name="_Toc395511909"/>
          </w:p>
          <w:p w14:paraId="0339969B">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 xml:space="preserve">表2—10  </w:t>
            </w:r>
            <w:r>
              <w:rPr>
                <w:rFonts w:hint="default" w:ascii="Times New Roman" w:hAnsi="Times New Roman" w:cs="Times New Roman"/>
                <w:b/>
                <w:bCs/>
                <w:color w:val="auto"/>
                <w:sz w:val="21"/>
                <w:szCs w:val="21"/>
                <w:highlight w:val="none"/>
              </w:rPr>
              <w:t>围堰特性表</w:t>
            </w:r>
          </w:p>
          <w:tbl>
            <w:tblPr>
              <w:tblStyle w:val="80"/>
              <w:tblW w:w="4994"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1225"/>
              <w:gridCol w:w="924"/>
              <w:gridCol w:w="1008"/>
              <w:gridCol w:w="856"/>
              <w:gridCol w:w="710"/>
              <w:gridCol w:w="1400"/>
              <w:gridCol w:w="1389"/>
              <w:gridCol w:w="1399"/>
            </w:tblGrid>
            <w:tr w14:paraId="6E2944C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tcBorders>
                    <w:bottom w:val="single" w:color="000000" w:sz="4" w:space="0"/>
                    <w:right w:val="single" w:color="000000" w:sz="4" w:space="0"/>
                    <w:tl2br w:val="nil"/>
                  </w:tcBorders>
                  <w:shd w:val="clear" w:color="auto" w:fill="FFFFFF"/>
                  <w:noWrap w:val="0"/>
                  <w:vAlign w:val="center"/>
                </w:tcPr>
                <w:p w14:paraId="29040D3D">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项目</w:t>
                  </w:r>
                </w:p>
              </w:tc>
              <w:tc>
                <w:tcPr>
                  <w:tcW w:w="518" w:type="pct"/>
                  <w:tcBorders>
                    <w:left w:val="single" w:color="000000" w:sz="4" w:space="0"/>
                    <w:bottom w:val="single" w:color="000000" w:sz="4" w:space="0"/>
                    <w:right w:val="single" w:color="000000" w:sz="4" w:space="0"/>
                  </w:tcBorders>
                  <w:shd w:val="clear" w:color="auto" w:fill="FFFFFF"/>
                  <w:noWrap w:val="0"/>
                  <w:vAlign w:val="center"/>
                </w:tcPr>
                <w:p w14:paraId="413BBE93">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围堰长度（</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rPr>
                    <w:t>）</w:t>
                  </w:r>
                </w:p>
              </w:tc>
              <w:tc>
                <w:tcPr>
                  <w:tcW w:w="565" w:type="pct"/>
                  <w:tcBorders>
                    <w:left w:val="single" w:color="000000" w:sz="4" w:space="0"/>
                    <w:bottom w:val="single" w:color="000000" w:sz="4" w:space="0"/>
                    <w:right w:val="single" w:color="000000" w:sz="4" w:space="0"/>
                  </w:tcBorders>
                  <w:shd w:val="clear" w:color="auto" w:fill="FFFFFF"/>
                  <w:noWrap w:val="0"/>
                  <w:vAlign w:val="center"/>
                </w:tcPr>
                <w:p w14:paraId="0F4FBC5A">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围堰高（</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rPr>
                    <w:t>）</w:t>
                  </w:r>
                </w:p>
              </w:tc>
              <w:tc>
                <w:tcPr>
                  <w:tcW w:w="480" w:type="pct"/>
                  <w:tcBorders>
                    <w:left w:val="single" w:color="000000" w:sz="4" w:space="0"/>
                    <w:bottom w:val="single" w:color="000000" w:sz="4" w:space="0"/>
                    <w:right w:val="single" w:color="000000" w:sz="4" w:space="0"/>
                  </w:tcBorders>
                  <w:shd w:val="clear" w:color="auto" w:fill="FFFFFF"/>
                  <w:noWrap w:val="0"/>
                  <w:vAlign w:val="center"/>
                </w:tcPr>
                <w:p w14:paraId="31AC3D9E">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顶宽（</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rPr>
                    <w:t>）</w:t>
                  </w:r>
                </w:p>
              </w:tc>
              <w:tc>
                <w:tcPr>
                  <w:tcW w:w="398" w:type="pct"/>
                  <w:tcBorders>
                    <w:left w:val="single" w:color="000000" w:sz="4" w:space="0"/>
                    <w:bottom w:val="single" w:color="000000" w:sz="4" w:space="0"/>
                    <w:right w:val="single" w:color="000000" w:sz="4" w:space="0"/>
                  </w:tcBorders>
                  <w:shd w:val="clear" w:color="auto" w:fill="FFFFFF"/>
                  <w:noWrap w:val="0"/>
                  <w:vAlign w:val="center"/>
                </w:tcPr>
                <w:p w14:paraId="645A1F26">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边坡</w:t>
                  </w:r>
                </w:p>
              </w:tc>
              <w:tc>
                <w:tcPr>
                  <w:tcW w:w="785" w:type="pct"/>
                  <w:tcBorders>
                    <w:left w:val="single" w:color="000000" w:sz="4" w:space="0"/>
                    <w:bottom w:val="single" w:color="000000" w:sz="4" w:space="0"/>
                    <w:right w:val="single" w:color="000000" w:sz="4" w:space="0"/>
                  </w:tcBorders>
                  <w:shd w:val="clear" w:color="auto" w:fill="FFFFFF"/>
                  <w:noWrap w:val="0"/>
                  <w:vAlign w:val="center"/>
                </w:tcPr>
                <w:p w14:paraId="3AD46DF8">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围堰土方量（</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vertAlign w:val="superscript"/>
                    </w:rPr>
                    <w:t>3</w:t>
                  </w:r>
                  <w:r>
                    <w:rPr>
                      <w:rFonts w:hint="default" w:ascii="Times New Roman" w:hAnsi="Times New Roman" w:cs="Times New Roman"/>
                      <w:b w:val="0"/>
                      <w:color w:val="auto"/>
                      <w:sz w:val="21"/>
                      <w:szCs w:val="21"/>
                      <w:highlight w:val="none"/>
                    </w:rPr>
                    <w:t>）</w:t>
                  </w:r>
                </w:p>
              </w:tc>
              <w:tc>
                <w:tcPr>
                  <w:tcW w:w="779" w:type="pct"/>
                  <w:tcBorders>
                    <w:left w:val="single" w:color="000000" w:sz="4" w:space="0"/>
                    <w:bottom w:val="single" w:color="000000" w:sz="4" w:space="0"/>
                    <w:right w:val="single" w:color="000000" w:sz="4" w:space="0"/>
                  </w:tcBorders>
                  <w:shd w:val="clear" w:color="auto" w:fill="FFFFFF"/>
                  <w:noWrap w:val="0"/>
                  <w:vAlign w:val="center"/>
                </w:tcPr>
                <w:p w14:paraId="29BFFEBC">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编织袋护坡（</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vertAlign w:val="superscript"/>
                    </w:rPr>
                    <w:t>3</w:t>
                  </w:r>
                  <w:r>
                    <w:rPr>
                      <w:rFonts w:hint="default" w:ascii="Times New Roman" w:hAnsi="Times New Roman" w:cs="Times New Roman"/>
                      <w:b w:val="0"/>
                      <w:color w:val="auto"/>
                      <w:sz w:val="21"/>
                      <w:szCs w:val="21"/>
                      <w:highlight w:val="none"/>
                    </w:rPr>
                    <w:t>）</w:t>
                  </w:r>
                </w:p>
              </w:tc>
              <w:tc>
                <w:tcPr>
                  <w:tcW w:w="784" w:type="pct"/>
                  <w:tcBorders>
                    <w:left w:val="single" w:color="000000" w:sz="4" w:space="0"/>
                    <w:bottom w:val="single" w:color="000000" w:sz="4" w:space="0"/>
                  </w:tcBorders>
                  <w:shd w:val="clear" w:color="auto" w:fill="FFFFFF"/>
                  <w:noWrap w:val="0"/>
                  <w:vAlign w:val="center"/>
                </w:tcPr>
                <w:p w14:paraId="5C418649">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复合土工膜（</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vertAlign w:val="superscript"/>
                    </w:rPr>
                    <w:t>3</w:t>
                  </w:r>
                  <w:r>
                    <w:rPr>
                      <w:rFonts w:hint="default" w:ascii="Times New Roman" w:hAnsi="Times New Roman" w:cs="Times New Roman"/>
                      <w:b w:val="0"/>
                      <w:color w:val="auto"/>
                      <w:sz w:val="21"/>
                      <w:szCs w:val="21"/>
                      <w:highlight w:val="none"/>
                    </w:rPr>
                    <w:t>）</w:t>
                  </w:r>
                </w:p>
              </w:tc>
            </w:tr>
            <w:tr w14:paraId="0795BF8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tcBorders>
                    <w:top w:val="single" w:color="000000" w:sz="4" w:space="0"/>
                    <w:bottom w:val="single" w:color="000000" w:sz="4" w:space="0"/>
                    <w:right w:val="single" w:color="000000" w:sz="4" w:space="0"/>
                  </w:tcBorders>
                  <w:shd w:val="clear" w:color="auto" w:fill="auto"/>
                  <w:noWrap w:val="0"/>
                  <w:vAlign w:val="center"/>
                </w:tcPr>
                <w:p w14:paraId="5B5DDDCD">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rPr>
                    <w:t>1号</w:t>
                  </w:r>
                  <w:r>
                    <w:rPr>
                      <w:rFonts w:hint="default" w:ascii="Times New Roman" w:hAnsi="Times New Roman" w:cs="Times New Roman"/>
                      <w:color w:val="000000"/>
                      <w:kern w:val="0"/>
                      <w:sz w:val="21"/>
                      <w:szCs w:val="21"/>
                      <w:highlight w:val="none"/>
                      <w:lang w:eastAsia="zh-CN"/>
                    </w:rPr>
                    <w:t>排水闸</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41AC449">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50</w:t>
                  </w:r>
                </w:p>
              </w:tc>
              <w:tc>
                <w:tcPr>
                  <w:tcW w:w="565"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BB98F3B">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0.5</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76F091">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DFE796E">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785" w:type="pct"/>
                  <w:tcBorders>
                    <w:top w:val="single" w:color="000000" w:sz="4" w:space="0"/>
                    <w:left w:val="single" w:color="000000" w:sz="4" w:space="0"/>
                    <w:bottom w:val="single" w:color="000000" w:sz="4" w:space="0"/>
                    <w:right w:val="single" w:color="000000" w:sz="4" w:space="0"/>
                  </w:tcBorders>
                  <w:noWrap w:val="0"/>
                  <w:vAlign w:val="center"/>
                </w:tcPr>
                <w:p w14:paraId="75E40990">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349.83</w:t>
                  </w:r>
                </w:p>
              </w:tc>
              <w:tc>
                <w:tcPr>
                  <w:tcW w:w="779" w:type="pct"/>
                  <w:tcBorders>
                    <w:top w:val="single" w:color="000000" w:sz="4" w:space="0"/>
                    <w:left w:val="single" w:color="000000" w:sz="4" w:space="0"/>
                    <w:bottom w:val="single" w:color="000000" w:sz="4" w:space="0"/>
                    <w:right w:val="single" w:color="000000" w:sz="4" w:space="0"/>
                  </w:tcBorders>
                  <w:noWrap w:val="0"/>
                  <w:vAlign w:val="center"/>
                </w:tcPr>
                <w:p w14:paraId="16EA748A">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62</w:t>
                  </w:r>
                </w:p>
              </w:tc>
              <w:tc>
                <w:tcPr>
                  <w:tcW w:w="784" w:type="pct"/>
                  <w:tcBorders>
                    <w:top w:val="single" w:color="000000" w:sz="4" w:space="0"/>
                    <w:left w:val="single" w:color="000000" w:sz="4" w:space="0"/>
                    <w:bottom w:val="single" w:color="000000" w:sz="4" w:space="0"/>
                  </w:tcBorders>
                  <w:noWrap w:val="0"/>
                  <w:vAlign w:val="center"/>
                </w:tcPr>
                <w:p w14:paraId="12410636">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124</w:t>
                  </w:r>
                </w:p>
              </w:tc>
            </w:tr>
            <w:tr w14:paraId="273FAD3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tcBorders>
                    <w:top w:val="single" w:color="000000" w:sz="4" w:space="0"/>
                    <w:right w:val="single" w:color="000000" w:sz="4" w:space="0"/>
                  </w:tcBorders>
                  <w:shd w:val="clear" w:color="auto" w:fill="auto"/>
                  <w:noWrap w:val="0"/>
                  <w:vAlign w:val="center"/>
                </w:tcPr>
                <w:p w14:paraId="1A578D62">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2</w:t>
                  </w:r>
                  <w:r>
                    <w:rPr>
                      <w:rFonts w:hint="default" w:ascii="Times New Roman" w:hAnsi="Times New Roman" w:cs="Times New Roman"/>
                      <w:color w:val="000000"/>
                      <w:kern w:val="0"/>
                      <w:sz w:val="21"/>
                      <w:szCs w:val="21"/>
                      <w:highlight w:val="none"/>
                    </w:rPr>
                    <w:t>号</w:t>
                  </w:r>
                  <w:r>
                    <w:rPr>
                      <w:rFonts w:hint="default" w:ascii="Times New Roman" w:hAnsi="Times New Roman" w:cs="Times New Roman"/>
                      <w:color w:val="000000"/>
                      <w:kern w:val="0"/>
                      <w:sz w:val="21"/>
                      <w:szCs w:val="21"/>
                      <w:highlight w:val="none"/>
                      <w:lang w:eastAsia="zh-CN"/>
                    </w:rPr>
                    <w:t>排水闸</w:t>
                  </w:r>
                </w:p>
              </w:tc>
              <w:tc>
                <w:tcPr>
                  <w:tcW w:w="518" w:type="pct"/>
                  <w:tcBorders>
                    <w:top w:val="single" w:color="000000" w:sz="4" w:space="0"/>
                    <w:left w:val="single" w:color="000000" w:sz="4" w:space="0"/>
                    <w:right w:val="single" w:color="000000" w:sz="4" w:space="0"/>
                  </w:tcBorders>
                  <w:shd w:val="clear" w:color="auto" w:fill="auto"/>
                  <w:noWrap w:val="0"/>
                  <w:vAlign w:val="center"/>
                </w:tcPr>
                <w:p w14:paraId="5D91B435">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50</w:t>
                  </w:r>
                </w:p>
              </w:tc>
              <w:tc>
                <w:tcPr>
                  <w:tcW w:w="565" w:type="pct"/>
                  <w:tcBorders>
                    <w:top w:val="single" w:color="000000" w:sz="4" w:space="0"/>
                    <w:left w:val="single" w:color="000000" w:sz="4" w:space="0"/>
                    <w:right w:val="single" w:color="000000" w:sz="4" w:space="0"/>
                  </w:tcBorders>
                  <w:shd w:val="clear" w:color="auto" w:fill="FFFFFF"/>
                  <w:noWrap w:val="0"/>
                  <w:vAlign w:val="center"/>
                </w:tcPr>
                <w:p w14:paraId="32CA035E">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sz w:val="21"/>
                      <w:szCs w:val="21"/>
                      <w:highlight w:val="none"/>
                      <w:lang w:val="en-US" w:eastAsia="zh-CN"/>
                    </w:rPr>
                    <w:t>0.5</w:t>
                  </w:r>
                </w:p>
              </w:tc>
              <w:tc>
                <w:tcPr>
                  <w:tcW w:w="480" w:type="pct"/>
                  <w:tcBorders>
                    <w:top w:val="single" w:color="000000" w:sz="4" w:space="0"/>
                    <w:left w:val="single" w:color="000000" w:sz="4" w:space="0"/>
                    <w:right w:val="single" w:color="000000" w:sz="4" w:space="0"/>
                  </w:tcBorders>
                  <w:shd w:val="clear" w:color="auto" w:fill="auto"/>
                  <w:noWrap w:val="0"/>
                  <w:vAlign w:val="center"/>
                </w:tcPr>
                <w:p w14:paraId="2CBD20BD">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tcBorders>
                    <w:top w:val="single" w:color="000000" w:sz="4" w:space="0"/>
                    <w:left w:val="single" w:color="000000" w:sz="4" w:space="0"/>
                    <w:right w:val="single" w:color="000000" w:sz="4" w:space="0"/>
                  </w:tcBorders>
                  <w:shd w:val="clear" w:color="auto" w:fill="FFFFFF"/>
                  <w:noWrap w:val="0"/>
                  <w:vAlign w:val="center"/>
                </w:tcPr>
                <w:p w14:paraId="6F5D9FD5">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kern w:val="2"/>
                      <w:sz w:val="21"/>
                      <w:szCs w:val="21"/>
                      <w:highlight w:val="none"/>
                      <w:lang w:val="en-US" w:eastAsia="zh-CN" w:bidi="ar-SA"/>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785" w:type="pct"/>
                  <w:tcBorders>
                    <w:top w:val="single" w:color="000000" w:sz="4" w:space="0"/>
                    <w:left w:val="single" w:color="000000" w:sz="4" w:space="0"/>
                    <w:right w:val="single" w:color="000000" w:sz="4" w:space="0"/>
                  </w:tcBorders>
                  <w:noWrap w:val="0"/>
                  <w:vAlign w:val="center"/>
                </w:tcPr>
                <w:p w14:paraId="6ED16A5B">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432.00</w:t>
                  </w:r>
                </w:p>
              </w:tc>
              <w:tc>
                <w:tcPr>
                  <w:tcW w:w="779" w:type="pct"/>
                  <w:tcBorders>
                    <w:top w:val="single" w:color="000000" w:sz="4" w:space="0"/>
                    <w:left w:val="single" w:color="000000" w:sz="4" w:space="0"/>
                    <w:right w:val="single" w:color="000000" w:sz="4" w:space="0"/>
                  </w:tcBorders>
                  <w:noWrap w:val="0"/>
                  <w:vAlign w:val="center"/>
                </w:tcPr>
                <w:p w14:paraId="4E909CB3">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72</w:t>
                  </w:r>
                </w:p>
              </w:tc>
              <w:tc>
                <w:tcPr>
                  <w:tcW w:w="784" w:type="pct"/>
                  <w:tcBorders>
                    <w:top w:val="single" w:color="000000" w:sz="4" w:space="0"/>
                    <w:left w:val="single" w:color="000000" w:sz="4" w:space="0"/>
                  </w:tcBorders>
                  <w:noWrap w:val="0"/>
                  <w:vAlign w:val="center"/>
                </w:tcPr>
                <w:p w14:paraId="7768F203">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144</w:t>
                  </w:r>
                </w:p>
              </w:tc>
            </w:tr>
            <w:tr w14:paraId="7C227FA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18FE168B">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3</w:t>
                  </w:r>
                  <w:r>
                    <w:rPr>
                      <w:rFonts w:hint="default" w:ascii="Times New Roman" w:hAnsi="Times New Roman" w:cs="Times New Roman"/>
                      <w:color w:val="000000"/>
                      <w:kern w:val="0"/>
                      <w:sz w:val="21"/>
                      <w:szCs w:val="21"/>
                      <w:highlight w:val="none"/>
                    </w:rPr>
                    <w:t>号</w:t>
                  </w:r>
                  <w:r>
                    <w:rPr>
                      <w:rFonts w:hint="default" w:ascii="Times New Roman" w:hAnsi="Times New Roman" w:cs="Times New Roman"/>
                      <w:color w:val="000000"/>
                      <w:kern w:val="0"/>
                      <w:sz w:val="21"/>
                      <w:szCs w:val="21"/>
                      <w:highlight w:val="none"/>
                      <w:lang w:eastAsia="zh-CN"/>
                    </w:rPr>
                    <w:t>排水闸</w:t>
                  </w:r>
                </w:p>
              </w:tc>
              <w:tc>
                <w:tcPr>
                  <w:tcW w:w="518" w:type="pct"/>
                  <w:noWrap w:val="0"/>
                  <w:vAlign w:val="center"/>
                </w:tcPr>
                <w:p w14:paraId="3CABF8C2">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50</w:t>
                  </w:r>
                </w:p>
              </w:tc>
              <w:tc>
                <w:tcPr>
                  <w:tcW w:w="565" w:type="pct"/>
                  <w:noWrap w:val="0"/>
                  <w:vAlign w:val="center"/>
                </w:tcPr>
                <w:p w14:paraId="7C0653E6">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5952C803">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00FD456E">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65AA770A">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424.23</w:t>
                  </w:r>
                </w:p>
              </w:tc>
              <w:tc>
                <w:tcPr>
                  <w:tcW w:w="1483" w:type="dxa"/>
                  <w:noWrap w:val="0"/>
                  <w:vAlign w:val="center"/>
                </w:tcPr>
                <w:p w14:paraId="4CB022F0">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71</w:t>
                  </w:r>
                </w:p>
              </w:tc>
              <w:tc>
                <w:tcPr>
                  <w:tcW w:w="1492" w:type="dxa"/>
                  <w:noWrap w:val="0"/>
                  <w:vAlign w:val="center"/>
                </w:tcPr>
                <w:p w14:paraId="7963DA35">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142</w:t>
                  </w:r>
                </w:p>
              </w:tc>
            </w:tr>
            <w:tr w14:paraId="0A2F71D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10B6CBF9">
                  <w:pPr>
                    <w:widowControl/>
                    <w:shd w:val="clear" w:color="auto" w:fill="auto"/>
                    <w:snapToGrid/>
                    <w:spacing w:line="240" w:lineRule="auto"/>
                    <w:jc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4</w:t>
                  </w:r>
                  <w:r>
                    <w:rPr>
                      <w:rFonts w:hint="default" w:ascii="Times New Roman" w:hAnsi="Times New Roman" w:cs="Times New Roman"/>
                      <w:color w:val="000000"/>
                      <w:kern w:val="0"/>
                      <w:sz w:val="21"/>
                      <w:szCs w:val="21"/>
                      <w:highlight w:val="none"/>
                      <w:lang w:eastAsia="zh-CN"/>
                    </w:rPr>
                    <w:t>号排水闸站</w:t>
                  </w:r>
                </w:p>
              </w:tc>
              <w:tc>
                <w:tcPr>
                  <w:tcW w:w="518" w:type="pct"/>
                  <w:noWrap w:val="0"/>
                  <w:vAlign w:val="center"/>
                </w:tcPr>
                <w:p w14:paraId="45FF40E8">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100</w:t>
                  </w:r>
                </w:p>
              </w:tc>
              <w:tc>
                <w:tcPr>
                  <w:tcW w:w="565" w:type="pct"/>
                  <w:noWrap w:val="0"/>
                  <w:vAlign w:val="center"/>
                </w:tcPr>
                <w:p w14:paraId="13F2C5F4">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5CF309F7">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48749EFE">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7EF1949D">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802.56</w:t>
                  </w:r>
                </w:p>
              </w:tc>
              <w:tc>
                <w:tcPr>
                  <w:tcW w:w="1483" w:type="dxa"/>
                  <w:noWrap w:val="0"/>
                  <w:vAlign w:val="center"/>
                </w:tcPr>
                <w:p w14:paraId="461FD363">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137</w:t>
                  </w:r>
                </w:p>
              </w:tc>
              <w:tc>
                <w:tcPr>
                  <w:tcW w:w="1492" w:type="dxa"/>
                  <w:noWrap w:val="0"/>
                  <w:vAlign w:val="center"/>
                </w:tcPr>
                <w:p w14:paraId="7E55F010">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274</w:t>
                  </w:r>
                </w:p>
              </w:tc>
            </w:tr>
            <w:tr w14:paraId="5A08B01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7921577C">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5</w:t>
                  </w:r>
                  <w:r>
                    <w:rPr>
                      <w:rFonts w:hint="default" w:ascii="Times New Roman" w:hAnsi="Times New Roman" w:cs="Times New Roman"/>
                      <w:color w:val="000000"/>
                      <w:kern w:val="0"/>
                      <w:sz w:val="21"/>
                      <w:szCs w:val="21"/>
                      <w:highlight w:val="none"/>
                    </w:rPr>
                    <w:t>号</w:t>
                  </w:r>
                  <w:r>
                    <w:rPr>
                      <w:rFonts w:hint="default" w:ascii="Times New Roman" w:hAnsi="Times New Roman" w:cs="Times New Roman"/>
                      <w:color w:val="000000"/>
                      <w:kern w:val="0"/>
                      <w:sz w:val="21"/>
                      <w:szCs w:val="21"/>
                      <w:highlight w:val="none"/>
                      <w:lang w:eastAsia="zh-CN"/>
                    </w:rPr>
                    <w:t>排水闸</w:t>
                  </w:r>
                </w:p>
              </w:tc>
              <w:tc>
                <w:tcPr>
                  <w:tcW w:w="518" w:type="pct"/>
                  <w:noWrap w:val="0"/>
                  <w:vAlign w:val="center"/>
                </w:tcPr>
                <w:p w14:paraId="0611DE2F">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50</w:t>
                  </w:r>
                </w:p>
              </w:tc>
              <w:tc>
                <w:tcPr>
                  <w:tcW w:w="565" w:type="pct"/>
                  <w:noWrap w:val="0"/>
                  <w:vAlign w:val="center"/>
                </w:tcPr>
                <w:p w14:paraId="6E40ECE2">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58A31DFB">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38FA63D8">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2C8C2ABA">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321.75</w:t>
                  </w:r>
                </w:p>
              </w:tc>
              <w:tc>
                <w:tcPr>
                  <w:tcW w:w="1483" w:type="dxa"/>
                  <w:noWrap w:val="0"/>
                  <w:vAlign w:val="center"/>
                </w:tcPr>
                <w:p w14:paraId="2FCF557B">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59</w:t>
                  </w:r>
                </w:p>
              </w:tc>
              <w:tc>
                <w:tcPr>
                  <w:tcW w:w="1492" w:type="dxa"/>
                  <w:noWrap w:val="0"/>
                  <w:vAlign w:val="center"/>
                </w:tcPr>
                <w:p w14:paraId="3AC25FF3">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117</w:t>
                  </w:r>
                </w:p>
              </w:tc>
            </w:tr>
            <w:tr w14:paraId="353A69A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58A968F4">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6</w:t>
                  </w:r>
                  <w:r>
                    <w:rPr>
                      <w:rFonts w:hint="default" w:ascii="Times New Roman" w:hAnsi="Times New Roman" w:cs="Times New Roman"/>
                      <w:color w:val="000000"/>
                      <w:kern w:val="0"/>
                      <w:sz w:val="21"/>
                      <w:szCs w:val="21"/>
                      <w:highlight w:val="none"/>
                    </w:rPr>
                    <w:t>号</w:t>
                  </w:r>
                  <w:r>
                    <w:rPr>
                      <w:rFonts w:hint="default" w:ascii="Times New Roman" w:hAnsi="Times New Roman" w:cs="Times New Roman"/>
                      <w:color w:val="000000"/>
                      <w:kern w:val="0"/>
                      <w:sz w:val="21"/>
                      <w:szCs w:val="21"/>
                      <w:highlight w:val="none"/>
                      <w:lang w:eastAsia="zh-CN"/>
                    </w:rPr>
                    <w:t>排水闸</w:t>
                  </w:r>
                </w:p>
              </w:tc>
              <w:tc>
                <w:tcPr>
                  <w:tcW w:w="518" w:type="pct"/>
                  <w:noWrap w:val="0"/>
                  <w:vAlign w:val="center"/>
                </w:tcPr>
                <w:p w14:paraId="0F654EA9">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50</w:t>
                  </w:r>
                </w:p>
              </w:tc>
              <w:tc>
                <w:tcPr>
                  <w:tcW w:w="565" w:type="pct"/>
                  <w:noWrap w:val="0"/>
                  <w:vAlign w:val="center"/>
                </w:tcPr>
                <w:p w14:paraId="66F1CA48">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64C48A9F">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669A8684">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795A43D3">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353.41</w:t>
                  </w:r>
                </w:p>
              </w:tc>
              <w:tc>
                <w:tcPr>
                  <w:tcW w:w="1483" w:type="dxa"/>
                  <w:noWrap w:val="0"/>
                  <w:vAlign w:val="center"/>
                </w:tcPr>
                <w:p w14:paraId="766E0E7F">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63</w:t>
                  </w:r>
                </w:p>
              </w:tc>
              <w:tc>
                <w:tcPr>
                  <w:tcW w:w="1492" w:type="dxa"/>
                  <w:noWrap w:val="0"/>
                  <w:vAlign w:val="center"/>
                </w:tcPr>
                <w:p w14:paraId="110B414D">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125</w:t>
                  </w:r>
                </w:p>
              </w:tc>
            </w:tr>
            <w:tr w14:paraId="13A83E9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0FE2F187">
                  <w:pPr>
                    <w:widowControl/>
                    <w:shd w:val="clear" w:color="auto" w:fill="auto"/>
                    <w:snapToGrid/>
                    <w:spacing w:line="240" w:lineRule="auto"/>
                    <w:jc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7</w:t>
                  </w:r>
                  <w:r>
                    <w:rPr>
                      <w:rFonts w:hint="default" w:ascii="Times New Roman" w:hAnsi="Times New Roman" w:cs="Times New Roman"/>
                      <w:color w:val="000000"/>
                      <w:kern w:val="0"/>
                      <w:sz w:val="21"/>
                      <w:szCs w:val="21"/>
                      <w:highlight w:val="none"/>
                    </w:rPr>
                    <w:t>号</w:t>
                  </w:r>
                  <w:r>
                    <w:rPr>
                      <w:rFonts w:hint="default" w:ascii="Times New Roman" w:hAnsi="Times New Roman" w:cs="Times New Roman"/>
                      <w:color w:val="000000"/>
                      <w:kern w:val="0"/>
                      <w:sz w:val="21"/>
                      <w:szCs w:val="21"/>
                      <w:highlight w:val="none"/>
                      <w:lang w:eastAsia="zh-CN"/>
                    </w:rPr>
                    <w:t>排水闸</w:t>
                  </w:r>
                </w:p>
              </w:tc>
              <w:tc>
                <w:tcPr>
                  <w:tcW w:w="518" w:type="pct"/>
                  <w:noWrap w:val="0"/>
                  <w:vAlign w:val="center"/>
                </w:tcPr>
                <w:p w14:paraId="10148AB1">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50</w:t>
                  </w:r>
                </w:p>
              </w:tc>
              <w:tc>
                <w:tcPr>
                  <w:tcW w:w="565" w:type="pct"/>
                  <w:noWrap w:val="0"/>
                  <w:vAlign w:val="center"/>
                </w:tcPr>
                <w:p w14:paraId="78B1B0FC">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686F90A8">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499304FE">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74134352">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325.21</w:t>
                  </w:r>
                </w:p>
              </w:tc>
              <w:tc>
                <w:tcPr>
                  <w:tcW w:w="1483" w:type="dxa"/>
                  <w:noWrap w:val="0"/>
                  <w:vAlign w:val="center"/>
                </w:tcPr>
                <w:p w14:paraId="22631EF8">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59</w:t>
                  </w:r>
                </w:p>
              </w:tc>
              <w:tc>
                <w:tcPr>
                  <w:tcW w:w="1492" w:type="dxa"/>
                  <w:noWrap w:val="0"/>
                  <w:vAlign w:val="center"/>
                </w:tcPr>
                <w:p w14:paraId="32EC4F72">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118</w:t>
                  </w:r>
                </w:p>
              </w:tc>
            </w:tr>
            <w:tr w14:paraId="1CA53D1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5C30D24C">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8</w:t>
                  </w:r>
                  <w:r>
                    <w:rPr>
                      <w:rFonts w:hint="default" w:ascii="Times New Roman" w:hAnsi="Times New Roman" w:cs="Times New Roman"/>
                      <w:color w:val="000000"/>
                      <w:kern w:val="0"/>
                      <w:sz w:val="21"/>
                      <w:szCs w:val="21"/>
                      <w:highlight w:val="none"/>
                    </w:rPr>
                    <w:t>号</w:t>
                  </w:r>
                  <w:r>
                    <w:rPr>
                      <w:rFonts w:hint="default" w:ascii="Times New Roman" w:hAnsi="Times New Roman" w:cs="Times New Roman"/>
                      <w:color w:val="000000"/>
                      <w:kern w:val="0"/>
                      <w:sz w:val="21"/>
                      <w:szCs w:val="21"/>
                      <w:highlight w:val="none"/>
                      <w:lang w:eastAsia="zh-CN"/>
                    </w:rPr>
                    <w:t>排水闸</w:t>
                  </w:r>
                </w:p>
              </w:tc>
              <w:tc>
                <w:tcPr>
                  <w:tcW w:w="518" w:type="pct"/>
                  <w:noWrap w:val="0"/>
                  <w:vAlign w:val="center"/>
                </w:tcPr>
                <w:p w14:paraId="095D404E">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70</w:t>
                  </w:r>
                </w:p>
              </w:tc>
              <w:tc>
                <w:tcPr>
                  <w:tcW w:w="565" w:type="pct"/>
                  <w:noWrap w:val="0"/>
                  <w:vAlign w:val="center"/>
                </w:tcPr>
                <w:p w14:paraId="645B9370">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74AEA178">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5442BF12">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4550A706">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469.94</w:t>
                  </w:r>
                </w:p>
              </w:tc>
              <w:tc>
                <w:tcPr>
                  <w:tcW w:w="1483" w:type="dxa"/>
                  <w:noWrap w:val="0"/>
                  <w:vAlign w:val="center"/>
                </w:tcPr>
                <w:p w14:paraId="7C974EBD">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85</w:t>
                  </w:r>
                </w:p>
              </w:tc>
              <w:tc>
                <w:tcPr>
                  <w:tcW w:w="1492" w:type="dxa"/>
                  <w:noWrap w:val="0"/>
                  <w:vAlign w:val="center"/>
                </w:tcPr>
                <w:p w14:paraId="300B2E97">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169</w:t>
                  </w:r>
                </w:p>
              </w:tc>
            </w:tr>
            <w:tr w14:paraId="41177A5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2610B19A">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9</w:t>
                  </w:r>
                  <w:r>
                    <w:rPr>
                      <w:rFonts w:hint="default" w:ascii="Times New Roman" w:hAnsi="Times New Roman" w:cs="Times New Roman"/>
                      <w:color w:val="000000"/>
                      <w:kern w:val="0"/>
                      <w:sz w:val="21"/>
                      <w:szCs w:val="21"/>
                      <w:highlight w:val="none"/>
                    </w:rPr>
                    <w:t>号</w:t>
                  </w:r>
                  <w:r>
                    <w:rPr>
                      <w:rFonts w:hint="default" w:ascii="Times New Roman" w:hAnsi="Times New Roman" w:cs="Times New Roman"/>
                      <w:color w:val="000000"/>
                      <w:kern w:val="0"/>
                      <w:sz w:val="21"/>
                      <w:szCs w:val="21"/>
                      <w:highlight w:val="none"/>
                      <w:lang w:eastAsia="zh-CN"/>
                    </w:rPr>
                    <w:t>排水闸</w:t>
                  </w:r>
                </w:p>
              </w:tc>
              <w:tc>
                <w:tcPr>
                  <w:tcW w:w="518" w:type="pct"/>
                  <w:noWrap w:val="0"/>
                  <w:vAlign w:val="center"/>
                </w:tcPr>
                <w:p w14:paraId="431BDA0D">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50</w:t>
                  </w:r>
                </w:p>
              </w:tc>
              <w:tc>
                <w:tcPr>
                  <w:tcW w:w="565" w:type="pct"/>
                  <w:noWrap w:val="0"/>
                  <w:vAlign w:val="center"/>
                </w:tcPr>
                <w:p w14:paraId="781837A5">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4899483B">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76202978">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02F07D90">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371.52</w:t>
                  </w:r>
                </w:p>
              </w:tc>
              <w:tc>
                <w:tcPr>
                  <w:tcW w:w="1483" w:type="dxa"/>
                  <w:noWrap w:val="0"/>
                  <w:vAlign w:val="center"/>
                </w:tcPr>
                <w:p w14:paraId="49791188">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65</w:t>
                  </w:r>
                </w:p>
              </w:tc>
              <w:tc>
                <w:tcPr>
                  <w:tcW w:w="1492" w:type="dxa"/>
                  <w:noWrap w:val="0"/>
                  <w:vAlign w:val="center"/>
                </w:tcPr>
                <w:p w14:paraId="76224297">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130</w:t>
                  </w:r>
                </w:p>
              </w:tc>
            </w:tr>
            <w:tr w14:paraId="2EA60A9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2993C1D9">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10</w:t>
                  </w:r>
                  <w:r>
                    <w:rPr>
                      <w:rFonts w:hint="default" w:ascii="Times New Roman" w:hAnsi="Times New Roman" w:cs="Times New Roman"/>
                      <w:color w:val="000000"/>
                      <w:kern w:val="0"/>
                      <w:sz w:val="21"/>
                      <w:szCs w:val="21"/>
                      <w:highlight w:val="none"/>
                    </w:rPr>
                    <w:t>号</w:t>
                  </w:r>
                  <w:r>
                    <w:rPr>
                      <w:rFonts w:hint="default" w:ascii="Times New Roman" w:hAnsi="Times New Roman" w:cs="Times New Roman"/>
                      <w:color w:val="000000"/>
                      <w:kern w:val="0"/>
                      <w:sz w:val="21"/>
                      <w:szCs w:val="21"/>
                      <w:highlight w:val="none"/>
                      <w:lang w:eastAsia="zh-CN"/>
                    </w:rPr>
                    <w:t>排水闸</w:t>
                  </w:r>
                </w:p>
              </w:tc>
              <w:tc>
                <w:tcPr>
                  <w:tcW w:w="518" w:type="pct"/>
                  <w:noWrap w:val="0"/>
                  <w:vAlign w:val="center"/>
                </w:tcPr>
                <w:p w14:paraId="1E596BD3">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60</w:t>
                  </w:r>
                </w:p>
              </w:tc>
              <w:tc>
                <w:tcPr>
                  <w:tcW w:w="565" w:type="pct"/>
                  <w:noWrap w:val="0"/>
                  <w:vAlign w:val="center"/>
                </w:tcPr>
                <w:p w14:paraId="2836B6BC">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55532944">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4A19E361">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4FC7BB7F">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459.08</w:t>
                  </w:r>
                </w:p>
              </w:tc>
              <w:tc>
                <w:tcPr>
                  <w:tcW w:w="1483" w:type="dxa"/>
                  <w:noWrap w:val="0"/>
                  <w:vAlign w:val="center"/>
                </w:tcPr>
                <w:p w14:paraId="530E1815">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80</w:t>
                  </w:r>
                </w:p>
              </w:tc>
              <w:tc>
                <w:tcPr>
                  <w:tcW w:w="1492" w:type="dxa"/>
                  <w:noWrap w:val="0"/>
                  <w:vAlign w:val="center"/>
                </w:tcPr>
                <w:p w14:paraId="26F6FA61">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159</w:t>
                  </w:r>
                </w:p>
              </w:tc>
            </w:tr>
            <w:tr w14:paraId="48DE70A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4B8317BA">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rPr>
                    <w:t>1</w:t>
                  </w:r>
                  <w:r>
                    <w:rPr>
                      <w:rFonts w:hint="default" w:ascii="Times New Roman" w:hAnsi="Times New Roman" w:cs="Times New Roman"/>
                      <w:color w:val="000000"/>
                      <w:kern w:val="0"/>
                      <w:sz w:val="21"/>
                      <w:szCs w:val="21"/>
                      <w:highlight w:val="none"/>
                      <w:lang w:val="en-US" w:eastAsia="zh-CN"/>
                    </w:rPr>
                    <w:t>1</w:t>
                  </w:r>
                  <w:r>
                    <w:rPr>
                      <w:rFonts w:hint="default" w:ascii="Times New Roman" w:hAnsi="Times New Roman" w:cs="Times New Roman"/>
                      <w:color w:val="000000"/>
                      <w:kern w:val="0"/>
                      <w:sz w:val="21"/>
                      <w:szCs w:val="21"/>
                      <w:highlight w:val="none"/>
                    </w:rPr>
                    <w:t>号</w:t>
                  </w:r>
                  <w:r>
                    <w:rPr>
                      <w:rFonts w:hint="default" w:ascii="Times New Roman" w:hAnsi="Times New Roman" w:cs="Times New Roman"/>
                      <w:color w:val="000000"/>
                      <w:kern w:val="0"/>
                      <w:sz w:val="21"/>
                      <w:szCs w:val="21"/>
                      <w:highlight w:val="none"/>
                      <w:lang w:eastAsia="zh-CN"/>
                    </w:rPr>
                    <w:t>排水闸</w:t>
                  </w:r>
                </w:p>
              </w:tc>
              <w:tc>
                <w:tcPr>
                  <w:tcW w:w="518" w:type="pct"/>
                  <w:noWrap w:val="0"/>
                  <w:vAlign w:val="center"/>
                </w:tcPr>
                <w:p w14:paraId="5E9B8FA6">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30</w:t>
                  </w:r>
                </w:p>
              </w:tc>
              <w:tc>
                <w:tcPr>
                  <w:tcW w:w="565" w:type="pct"/>
                  <w:noWrap w:val="0"/>
                  <w:vAlign w:val="center"/>
                </w:tcPr>
                <w:p w14:paraId="4B1F6B31">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49CEB903">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57D9E9B2">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50DE6004">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197.21</w:t>
                  </w:r>
                </w:p>
              </w:tc>
              <w:tc>
                <w:tcPr>
                  <w:tcW w:w="1483" w:type="dxa"/>
                  <w:noWrap w:val="0"/>
                  <w:vAlign w:val="center"/>
                </w:tcPr>
                <w:p w14:paraId="7877251B">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36</w:t>
                  </w:r>
                </w:p>
              </w:tc>
              <w:tc>
                <w:tcPr>
                  <w:tcW w:w="1492" w:type="dxa"/>
                  <w:noWrap w:val="0"/>
                  <w:vAlign w:val="center"/>
                </w:tcPr>
                <w:p w14:paraId="60A307F8">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71</w:t>
                  </w:r>
                </w:p>
              </w:tc>
            </w:tr>
            <w:tr w14:paraId="7C0800C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5632628F">
                  <w:pPr>
                    <w:widowControl/>
                    <w:shd w:val="clear" w:color="auto" w:fill="auto"/>
                    <w:snapToGrid/>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rPr>
                    <w:t>1</w:t>
                  </w:r>
                  <w:r>
                    <w:rPr>
                      <w:rFonts w:hint="default" w:ascii="Times New Roman" w:hAnsi="Times New Roman" w:cs="Times New Roman"/>
                      <w:color w:val="000000"/>
                      <w:kern w:val="0"/>
                      <w:sz w:val="21"/>
                      <w:szCs w:val="21"/>
                      <w:highlight w:val="none"/>
                    </w:rPr>
                    <w:t>2号</w:t>
                  </w:r>
                  <w:r>
                    <w:rPr>
                      <w:rFonts w:hint="default" w:ascii="Times New Roman" w:hAnsi="Times New Roman" w:cs="Times New Roman"/>
                      <w:color w:val="000000"/>
                      <w:kern w:val="0"/>
                      <w:sz w:val="21"/>
                      <w:szCs w:val="21"/>
                      <w:highlight w:val="none"/>
                      <w:lang w:eastAsia="zh-CN"/>
                    </w:rPr>
                    <w:t>排水闸</w:t>
                  </w:r>
                </w:p>
              </w:tc>
              <w:tc>
                <w:tcPr>
                  <w:tcW w:w="518" w:type="pct"/>
                  <w:noWrap w:val="0"/>
                  <w:vAlign w:val="center"/>
                </w:tcPr>
                <w:p w14:paraId="335EF6C3">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40</w:t>
                  </w:r>
                </w:p>
              </w:tc>
              <w:tc>
                <w:tcPr>
                  <w:tcW w:w="565" w:type="pct"/>
                  <w:noWrap w:val="0"/>
                  <w:vAlign w:val="center"/>
                </w:tcPr>
                <w:p w14:paraId="686DDB18">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0.5</w:t>
                  </w:r>
                </w:p>
              </w:tc>
              <w:tc>
                <w:tcPr>
                  <w:tcW w:w="480" w:type="pct"/>
                  <w:noWrap w:val="0"/>
                  <w:vAlign w:val="center"/>
                </w:tcPr>
                <w:p w14:paraId="4CB3AF89">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3</w:t>
                  </w:r>
                </w:p>
              </w:tc>
              <w:tc>
                <w:tcPr>
                  <w:tcW w:w="398" w:type="pct"/>
                  <w:noWrap w:val="0"/>
                  <w:vAlign w:val="center"/>
                </w:tcPr>
                <w:p w14:paraId="25075758">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1:</w:t>
                  </w:r>
                  <w:r>
                    <w:rPr>
                      <w:rFonts w:hint="default" w:ascii="Times New Roman" w:hAnsi="Times New Roman" w:cs="Times New Roman"/>
                      <w:b w:val="0"/>
                      <w:color w:val="auto"/>
                      <w:sz w:val="21"/>
                      <w:szCs w:val="21"/>
                      <w:highlight w:val="none"/>
                    </w:rPr>
                    <w:t>1.5</w:t>
                  </w:r>
                </w:p>
              </w:tc>
              <w:tc>
                <w:tcPr>
                  <w:tcW w:w="1494" w:type="dxa"/>
                  <w:noWrap w:val="0"/>
                  <w:vAlign w:val="center"/>
                </w:tcPr>
                <w:p w14:paraId="0A3015FB">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bidi="ar"/>
                    </w:rPr>
                    <w:t>265.73</w:t>
                  </w:r>
                </w:p>
              </w:tc>
              <w:tc>
                <w:tcPr>
                  <w:tcW w:w="1483" w:type="dxa"/>
                  <w:noWrap w:val="0"/>
                  <w:vAlign w:val="center"/>
                </w:tcPr>
                <w:p w14:paraId="3EE48CA5">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48</w:t>
                  </w:r>
                </w:p>
              </w:tc>
              <w:tc>
                <w:tcPr>
                  <w:tcW w:w="1492" w:type="dxa"/>
                  <w:noWrap w:val="0"/>
                  <w:vAlign w:val="center"/>
                </w:tcPr>
                <w:p w14:paraId="57CFDD0D">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96</w:t>
                  </w:r>
                </w:p>
              </w:tc>
            </w:tr>
            <w:tr w14:paraId="754D352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noWrap w:val="0"/>
                  <w:vAlign w:val="center"/>
                </w:tcPr>
                <w:p w14:paraId="2FBBB8BB">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合计</w:t>
                  </w:r>
                </w:p>
              </w:tc>
              <w:tc>
                <w:tcPr>
                  <w:tcW w:w="518" w:type="pct"/>
                  <w:noWrap w:val="0"/>
                  <w:vAlign w:val="top"/>
                </w:tcPr>
                <w:p w14:paraId="1129363E">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p>
              </w:tc>
              <w:tc>
                <w:tcPr>
                  <w:tcW w:w="1075" w:type="dxa"/>
                  <w:noWrap w:val="0"/>
                  <w:vAlign w:val="top"/>
                </w:tcPr>
                <w:p w14:paraId="4F349CD7">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p>
              </w:tc>
              <w:tc>
                <w:tcPr>
                  <w:tcW w:w="914" w:type="dxa"/>
                  <w:noWrap w:val="0"/>
                  <w:vAlign w:val="top"/>
                </w:tcPr>
                <w:p w14:paraId="319FB416">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p>
              </w:tc>
              <w:tc>
                <w:tcPr>
                  <w:tcW w:w="758" w:type="dxa"/>
                  <w:noWrap w:val="0"/>
                  <w:vAlign w:val="top"/>
                </w:tcPr>
                <w:p w14:paraId="7B1DF83C">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p>
              </w:tc>
              <w:tc>
                <w:tcPr>
                  <w:tcW w:w="1494" w:type="dxa"/>
                  <w:noWrap w:val="0"/>
                  <w:vAlign w:val="center"/>
                </w:tcPr>
                <w:p w14:paraId="7C20C3E1">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4772.47</w:t>
                  </w:r>
                </w:p>
              </w:tc>
              <w:tc>
                <w:tcPr>
                  <w:tcW w:w="1483" w:type="dxa"/>
                  <w:noWrap w:val="0"/>
                  <w:vAlign w:val="center"/>
                </w:tcPr>
                <w:p w14:paraId="0FC67C55">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836</w:t>
                  </w:r>
                </w:p>
              </w:tc>
              <w:tc>
                <w:tcPr>
                  <w:tcW w:w="1492" w:type="dxa"/>
                  <w:noWrap w:val="0"/>
                  <w:vAlign w:val="center"/>
                </w:tcPr>
                <w:p w14:paraId="1505C04B">
                  <w:pPr>
                    <w:widowControl/>
                    <w:shd w:val="clear" w:color="auto" w:fill="auto"/>
                    <w:spacing w:line="240" w:lineRule="auto"/>
                    <w:jc w:val="center"/>
                    <w:textAlignment w:val="center"/>
                    <w:rPr>
                      <w:rFonts w:hint="default" w:ascii="Times New Roman" w:hAnsi="Times New Roman"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2"/>
                      <w:szCs w:val="22"/>
                      <w:highlight w:val="none"/>
                      <w:lang w:bidi="ar"/>
                    </w:rPr>
                    <w:t>1671</w:t>
                  </w:r>
                </w:p>
              </w:tc>
            </w:tr>
          </w:tbl>
          <w:p w14:paraId="0DC421BB">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二、施工降水</w:t>
            </w:r>
          </w:p>
          <w:p w14:paraId="0C705451">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对基础坐落在粘土层、渗透系数小且地下水深与基础差小于1m的建筑物采用明排降水法。</w:t>
            </w:r>
          </w:p>
          <w:p w14:paraId="0CD4D4F3">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其中仅8号排水闸无需降水，其余排水闸均需降水。</w:t>
            </w:r>
          </w:p>
          <w:p w14:paraId="4F786991">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三、</w:t>
            </w:r>
            <w:r>
              <w:rPr>
                <w:rFonts w:hint="default" w:ascii="Times New Roman" w:hAnsi="Times New Roman" w:cs="Times New Roman"/>
                <w:b/>
                <w:bCs/>
                <w:color w:val="auto"/>
                <w:highlight w:val="none"/>
              </w:rPr>
              <w:t>主体工程施工</w:t>
            </w:r>
            <w:bookmarkEnd w:id="15"/>
            <w:bookmarkEnd w:id="16"/>
          </w:p>
          <w:p w14:paraId="517B08F5">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1、堤防施工</w:t>
            </w:r>
          </w:p>
          <w:p w14:paraId="7F1EE27F">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（1）土方开挖:采用人工配合机械进行开挖，1m³挖掘机土，人工配合修整边坡。弃土直接利用回填堤防。</w:t>
            </w:r>
          </w:p>
          <w:p w14:paraId="16E52212">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（2）清基:清基采用103kW推土机推运至堤脚外侧，存放在工程占地范围之内。</w:t>
            </w:r>
          </w:p>
          <w:p w14:paraId="799478E4">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（3）堤防填筑:采用103kW推土机清除料场覆盖层，采用1m3挖掘机开挖，8t自卸汽车自料场运输至施工段，采用74kW推土机配合集料，74kW拖拉机压实，碾压指标根据现场实验确定。</w:t>
            </w:r>
          </w:p>
          <w:p w14:paraId="0672C7FF">
            <w:pPr>
              <w:pStyle w:val="84"/>
              <w:bidi w:val="0"/>
              <w:rPr>
                <w:rFonts w:hint="default" w:ascii="Times New Roman" w:hAnsi="Times New Roman" w:cs="Times New Roman"/>
                <w:color w:val="auto"/>
                <w:highlight w:val="none"/>
                <w:lang w:val="en-US" w:eastAsia="zh-CN"/>
              </w:rPr>
            </w:pPr>
          </w:p>
          <w:p w14:paraId="2D105626">
            <w:pPr>
              <w:pStyle w:val="84"/>
              <w:bidi w:val="0"/>
              <w:rPr>
                <w:rFonts w:hint="default" w:ascii="Times New Roman" w:hAnsi="Times New Roman" w:cs="Times New Roman"/>
                <w:color w:val="auto"/>
                <w:highlight w:val="none"/>
                <w:lang w:val="en-US" w:eastAsia="zh-CN"/>
              </w:rPr>
            </w:pPr>
          </w:p>
          <w:p w14:paraId="452A040F">
            <w:pPr>
              <w:pStyle w:val="84"/>
              <w:bidi w:val="0"/>
              <w:rPr>
                <w:rFonts w:hint="default" w:ascii="Times New Roman" w:hAnsi="Times New Roman" w:cs="Times New Roman"/>
                <w:color w:val="auto"/>
                <w:highlight w:val="none"/>
                <w:lang w:val="en-US" w:eastAsia="zh-CN"/>
              </w:rPr>
            </w:pPr>
          </w:p>
          <w:p w14:paraId="1095F201">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sz w:val="24"/>
                <w:highlight w:val="none"/>
              </w:rPr>
              <mc:AlternateContent>
                <mc:Choice Requires="wps">
                  <w:drawing>
                    <wp:anchor distT="0" distB="0" distL="114300" distR="114300" simplePos="0" relativeHeight="251721728" behindDoc="0" locked="0" layoutInCell="1" allowOverlap="1">
                      <wp:simplePos x="0" y="0"/>
                      <wp:positionH relativeFrom="column">
                        <wp:posOffset>2203450</wp:posOffset>
                      </wp:positionH>
                      <wp:positionV relativeFrom="paragraph">
                        <wp:posOffset>189230</wp:posOffset>
                      </wp:positionV>
                      <wp:extent cx="1208405" cy="285750"/>
                      <wp:effectExtent l="0" t="0" r="0" b="0"/>
                      <wp:wrapNone/>
                      <wp:docPr id="34" name="矩形 34"/>
                      <wp:cNvGraphicFramePr/>
                      <a:graphic xmlns:a="http://schemas.openxmlformats.org/drawingml/2006/main">
                        <a:graphicData uri="http://schemas.microsoft.com/office/word/2010/wordprocessingShape">
                          <wps:wsp>
                            <wps:cNvSpPr/>
                            <wps:spPr>
                              <a:xfrm>
                                <a:off x="0" y="0"/>
                                <a:ext cx="1208405" cy="285750"/>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2591502B">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噪声、废气、固废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5pt;margin-top:14.9pt;height:22.5pt;width:95.15pt;z-index:251721728;v-text-anchor:middle;mso-width-relative:page;mso-height-relative:page;" filled="f" stroked="f" coordsize="21600,21600" o:gfxdata="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vKlH72wAA&#10;AAkBAAAPAAAAAAAAAAEAIAAAACIAAABkcnMvZG93bnJldi54bWxQSwECFAAUAAAACACHTuJATvr+&#10;R1QCAACXBAAADgAAAAAAAAABACAAAAAqAQAAZHJzL2Uyb0RvYy54bWxQSwUGAAAAAAYABgBZAQAA&#10;8AUAAAAA&#10;">
                      <v:fill on="f" focussize="0,0"/>
                      <v:stroke on="f" weight="0.5pt"/>
                      <v:imagedata o:title=""/>
                      <o:lock v:ext="edit" aspectratio="f"/>
                      <v:textbox>
                        <w:txbxContent>
                          <w:p w14:paraId="2591502B">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噪声、废气、固废</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719680" behindDoc="0" locked="0" layoutInCell="1" allowOverlap="1">
                      <wp:simplePos x="0" y="0"/>
                      <wp:positionH relativeFrom="column">
                        <wp:posOffset>955675</wp:posOffset>
                      </wp:positionH>
                      <wp:positionV relativeFrom="paragraph">
                        <wp:posOffset>176530</wp:posOffset>
                      </wp:positionV>
                      <wp:extent cx="1208405" cy="285750"/>
                      <wp:effectExtent l="0" t="0" r="0" b="0"/>
                      <wp:wrapNone/>
                      <wp:docPr id="33" name="矩形 33"/>
                      <wp:cNvGraphicFramePr/>
                      <a:graphic xmlns:a="http://schemas.openxmlformats.org/drawingml/2006/main">
                        <a:graphicData uri="http://schemas.microsoft.com/office/word/2010/wordprocessingShape">
                          <wps:wsp>
                            <wps:cNvSpPr/>
                            <wps:spPr>
                              <a:xfrm>
                                <a:off x="0" y="0"/>
                                <a:ext cx="1208405" cy="285750"/>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5EB14D53">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噪声、废气、固废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25pt;margin-top:13.9pt;height:22.5pt;width:95.15pt;z-index:251719680;v-text-anchor:middle;mso-width-relative:page;mso-height-relative:page;" filled="f" stroked="f" coordsize="21600,21600" o:gfxdata="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Grp7q2AAAAAkB&#10;AAAPAAAAAAAAAAEAIAAAACIAAABkcnMvZG93bnJldi54bWxQSwECFAAUAAAACACHTuJAmnh6OVQC&#10;AACXBAAADgAAAAAAAAABACAAAAAnAQAAZHJzL2Uyb0RvYy54bWxQSwUGAAAAAAYABgBZAQAA7QUA&#10;AAAA&#10;">
                      <v:fill on="f" focussize="0,0"/>
                      <v:stroke on="f" weight="0.5pt"/>
                      <v:imagedata o:title=""/>
                      <o:lock v:ext="edit" aspectratio="f"/>
                      <v:textbox>
                        <w:txbxContent>
                          <w:p w14:paraId="5EB14D53">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噪声、废气、固废</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723776" behindDoc="0" locked="0" layoutInCell="1" allowOverlap="1">
                      <wp:simplePos x="0" y="0"/>
                      <wp:positionH relativeFrom="column">
                        <wp:posOffset>3517900</wp:posOffset>
                      </wp:positionH>
                      <wp:positionV relativeFrom="paragraph">
                        <wp:posOffset>189230</wp:posOffset>
                      </wp:positionV>
                      <wp:extent cx="1208405" cy="285750"/>
                      <wp:effectExtent l="0" t="0" r="0" b="0"/>
                      <wp:wrapNone/>
                      <wp:docPr id="37" name="矩形 37"/>
                      <wp:cNvGraphicFramePr/>
                      <a:graphic xmlns:a="http://schemas.openxmlformats.org/drawingml/2006/main">
                        <a:graphicData uri="http://schemas.microsoft.com/office/word/2010/wordprocessingShape">
                          <wps:wsp>
                            <wps:cNvSpPr/>
                            <wps:spPr>
                              <a:xfrm>
                                <a:off x="0" y="0"/>
                                <a:ext cx="1208405" cy="285750"/>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1E4FB224">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噪声、废气、固废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7pt;margin-top:14.9pt;height:22.5pt;width:95.15pt;z-index:251723776;v-text-anchor:middle;mso-width-relative:page;mso-height-relative:page;" filled="f" stroked="f" coordsize="21600,21600" o:gfxdata="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Dw6TZ/aAAAA&#10;CQEAAA8AAAAAAAAAAQAgAAAAIgAAAGRycy9kb3ducmV2LnhtbFBLAQIUABQAAAAIAIdO4kDqFqdx&#10;VAIAAJcEAAAOAAAAAAAAAAEAIAAAACkBAABkcnMvZTJvRG9jLnhtbFBLBQYAAAAABgAGAFkBAADv&#10;BQAAAAA=&#10;">
                      <v:fill on="f" focussize="0,0"/>
                      <v:stroke on="f" weight="0.5pt"/>
                      <v:imagedata o:title=""/>
                      <o:lock v:ext="edit" aspectratio="f"/>
                      <v:textbox>
                        <w:txbxContent>
                          <w:p w14:paraId="1E4FB224">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噪声、废气、固废</w:t>
                            </w:r>
                          </w:p>
                        </w:txbxContent>
                      </v:textbox>
                    </v:rect>
                  </w:pict>
                </mc:Fallback>
              </mc:AlternateContent>
            </w:r>
          </w:p>
          <w:p w14:paraId="5D477B6E">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sz w:val="24"/>
                <w:highlight w:val="none"/>
              </w:rPr>
              <mc:AlternateContent>
                <mc:Choice Requires="wps">
                  <w:drawing>
                    <wp:anchor distT="0" distB="0" distL="114300" distR="114300" simplePos="0" relativeHeight="251720704" behindDoc="0" locked="0" layoutInCell="1" allowOverlap="1">
                      <wp:simplePos x="0" y="0"/>
                      <wp:positionH relativeFrom="column">
                        <wp:posOffset>2794000</wp:posOffset>
                      </wp:positionH>
                      <wp:positionV relativeFrom="paragraph">
                        <wp:posOffset>182880</wp:posOffset>
                      </wp:positionV>
                      <wp:extent cx="635" cy="352425"/>
                      <wp:effectExtent l="37465" t="0" r="38100" b="9525"/>
                      <wp:wrapNone/>
                      <wp:docPr id="35" name="直接箭头连接符 35"/>
                      <wp:cNvGraphicFramePr/>
                      <a:graphic xmlns:a="http://schemas.openxmlformats.org/drawingml/2006/main">
                        <a:graphicData uri="http://schemas.microsoft.com/office/word/2010/wordprocessingShape">
                          <wps:wsp>
                            <wps:cNvCnPr/>
                            <wps:spPr>
                              <a:xfrm flipV="1">
                                <a:off x="0" y="0"/>
                                <a:ext cx="635" cy="352425"/>
                              </a:xfrm>
                              <a:prstGeom prst="straightConnector1">
                                <a:avLst/>
                              </a:prstGeom>
                              <a:ln w="6350">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0pt;margin-top:14.4pt;height:27.75pt;width:0.05pt;z-index:251720704;mso-width-relative:page;mso-height-relative:page;" filled="f" stroked="t" coordsize="21600,21600" o:gfxdata="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GNk/DNcAAAAJAQAADwAAAAAA&#10;AAABACAAAAAiAAAAZHJzL2Rvd25yZXYueG1sUEsBAhQAFAAAAAgAh07iQGbSMEAUAgAAAAQAAA4A&#10;AAAAAAAAAQAgAAAAJgEAAGRycy9lMm9Eb2MueG1sUEsFBgAAAAAGAAYAWQEAAKwFAAAAAA==&#10;">
                      <v:fill on="f" focussize="0,0"/>
                      <v:stroke weight="0.5pt" color="#000000 [3213]" joinstyle="round" dashstyle="dash" endarrow="block"/>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714560" behindDoc="0" locked="0" layoutInCell="1" allowOverlap="1">
                      <wp:simplePos x="0" y="0"/>
                      <wp:positionH relativeFrom="column">
                        <wp:posOffset>1612900</wp:posOffset>
                      </wp:positionH>
                      <wp:positionV relativeFrom="paragraph">
                        <wp:posOffset>147955</wp:posOffset>
                      </wp:positionV>
                      <wp:extent cx="635" cy="352425"/>
                      <wp:effectExtent l="37465" t="0" r="38100" b="9525"/>
                      <wp:wrapNone/>
                      <wp:docPr id="28" name="直接箭头连接符 28"/>
                      <wp:cNvGraphicFramePr/>
                      <a:graphic xmlns:a="http://schemas.openxmlformats.org/drawingml/2006/main">
                        <a:graphicData uri="http://schemas.microsoft.com/office/word/2010/wordprocessingShape">
                          <wps:wsp>
                            <wps:cNvCnPr/>
                            <wps:spPr>
                              <a:xfrm flipV="1">
                                <a:off x="2644140" y="3049905"/>
                                <a:ext cx="635" cy="352425"/>
                              </a:xfrm>
                              <a:prstGeom prst="straightConnector1">
                                <a:avLst/>
                              </a:prstGeom>
                              <a:ln w="6350">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27pt;margin-top:11.65pt;height:27.75pt;width:0.05pt;z-index:251714560;mso-width-relative:page;mso-height-relative:page;" filled="f" stroked="t" coordsize="21600,21600" o:gfxdata="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MKb&#10;d9gAAAAJAQAADwAAAAAAAAABACAAAAAiAAAAZHJzL2Rvd25yZXYueG1sUEsBAhQAFAAAAAgAh07i&#10;QFGZ/5wiAgAADAQAAA4AAAAAAAAAAQAgAAAAJwEAAGRycy9lMm9Eb2MueG1sUEsFBgAAAAAGAAYA&#10;WQEAALsFAAAAAA==&#10;">
                      <v:fill on="f" focussize="0,0"/>
                      <v:stroke weight="0.5pt" color="#000000 [3213]" joinstyle="round" dashstyle="dash" endarrow="block"/>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722752" behindDoc="0" locked="0" layoutInCell="1" allowOverlap="1">
                      <wp:simplePos x="0" y="0"/>
                      <wp:positionH relativeFrom="column">
                        <wp:posOffset>3937000</wp:posOffset>
                      </wp:positionH>
                      <wp:positionV relativeFrom="paragraph">
                        <wp:posOffset>144780</wp:posOffset>
                      </wp:positionV>
                      <wp:extent cx="635" cy="352425"/>
                      <wp:effectExtent l="37465" t="0" r="38100" b="9525"/>
                      <wp:wrapNone/>
                      <wp:docPr id="36" name="直接箭头连接符 36"/>
                      <wp:cNvGraphicFramePr/>
                      <a:graphic xmlns:a="http://schemas.openxmlformats.org/drawingml/2006/main">
                        <a:graphicData uri="http://schemas.microsoft.com/office/word/2010/wordprocessingShape">
                          <wps:wsp>
                            <wps:cNvCnPr/>
                            <wps:spPr>
                              <a:xfrm flipV="1">
                                <a:off x="0" y="0"/>
                                <a:ext cx="635" cy="352425"/>
                              </a:xfrm>
                              <a:prstGeom prst="straightConnector1">
                                <a:avLst/>
                              </a:prstGeom>
                              <a:ln w="6350">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10pt;margin-top:11.4pt;height:27.75pt;width:0.05pt;z-index:251722752;mso-width-relative:page;mso-height-relative:page;" filled="f" stroked="t" coordsize="21600,21600" o:gfxdata="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0sb111gAAAAkBAAAPAAAAAAAA&#10;AAEAIAAAACIAAABkcnMvZG93bnJldi54bWxQSwECFAAUAAAACACHTuJA80MNHxQCAAAABAAADgAA&#10;AAAAAAABACAAAAAlAQAAZHJzL2Uyb0RvYy54bWxQSwUGAAAAAAYABgBZAQAAqwUAAAAA&#10;">
                      <v:fill on="f" focussize="0,0"/>
                      <v:stroke weight="0.5pt" color="#000000 [3213]" joinstyle="round" dashstyle="dash" endarrow="block"/>
                      <v:imagedata o:title=""/>
                      <o:lock v:ext="edit" aspectratio="f"/>
                    </v:shape>
                  </w:pict>
                </mc:Fallback>
              </mc:AlternateContent>
            </w:r>
          </w:p>
          <w:p w14:paraId="42EBF7C8">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sz w:val="24"/>
                <w:highlight w:val="none"/>
              </w:rPr>
              <mc:AlternateContent>
                <mc:Choice Requires="wps">
                  <w:drawing>
                    <wp:anchor distT="0" distB="0" distL="114300" distR="114300" simplePos="0" relativeHeight="251716608" behindDoc="0" locked="0" layoutInCell="1" allowOverlap="1">
                      <wp:simplePos x="0" y="0"/>
                      <wp:positionH relativeFrom="column">
                        <wp:posOffset>3489325</wp:posOffset>
                      </wp:positionH>
                      <wp:positionV relativeFrom="paragraph">
                        <wp:posOffset>179705</wp:posOffset>
                      </wp:positionV>
                      <wp:extent cx="819150" cy="285750"/>
                      <wp:effectExtent l="4445" t="4445" r="14605" b="14605"/>
                      <wp:wrapNone/>
                      <wp:docPr id="30" name="矩形 30"/>
                      <wp:cNvGraphicFramePr/>
                      <a:graphic xmlns:a="http://schemas.openxmlformats.org/drawingml/2006/main">
                        <a:graphicData uri="http://schemas.microsoft.com/office/word/2010/wordprocessingShape">
                          <wps:wsp>
                            <wps:cNvSpPr/>
                            <wps:spPr>
                              <a:xfrm>
                                <a:off x="0" y="0"/>
                                <a:ext cx="819150" cy="28575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F287DD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堤防填筑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4.75pt;margin-top:14.15pt;height:22.5pt;width:64.5pt;z-index:251716608;v-text-anchor:middle;mso-width-relative:page;mso-height-relative:page;" filled="f" stroked="t" coordsize="21600,21600" o:gfxdata="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Zna4/YAAAACQEAAA8AAAAAAAAAAQAgAAAAIgAAAGRycy9kb3ducmV2LnhtbFBLAQIUABQAAAAI&#10;AIdO4kAmckgjXwIAAL8EAAAOAAAAAAAAAAEAIAAAACcBAABkcnMvZTJvRG9jLnhtbFBLBQYAAAAA&#10;BgAGAFkBAAD4BQAAAAA=&#10;">
                      <v:fill on="f" focussize="0,0"/>
                      <v:stroke weight="0.5pt" color="#000000 [3213]" joinstyle="round"/>
                      <v:imagedata o:title=""/>
                      <o:lock v:ext="edit" aspectratio="f"/>
                      <v:textbox>
                        <w:txbxContent>
                          <w:p w14:paraId="6F287DD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堤防填筑</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715584" behindDoc="0" locked="0" layoutInCell="1" allowOverlap="1">
                      <wp:simplePos x="0" y="0"/>
                      <wp:positionH relativeFrom="column">
                        <wp:posOffset>2336800</wp:posOffset>
                      </wp:positionH>
                      <wp:positionV relativeFrom="paragraph">
                        <wp:posOffset>198755</wp:posOffset>
                      </wp:positionV>
                      <wp:extent cx="819150" cy="285750"/>
                      <wp:effectExtent l="4445" t="4445" r="14605" b="14605"/>
                      <wp:wrapNone/>
                      <wp:docPr id="29" name="矩形 29"/>
                      <wp:cNvGraphicFramePr/>
                      <a:graphic xmlns:a="http://schemas.openxmlformats.org/drawingml/2006/main">
                        <a:graphicData uri="http://schemas.microsoft.com/office/word/2010/wordprocessingShape">
                          <wps:wsp>
                            <wps:cNvSpPr/>
                            <wps:spPr>
                              <a:xfrm>
                                <a:off x="0" y="0"/>
                                <a:ext cx="819150" cy="28575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39CF14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清基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4pt;margin-top:15.65pt;height:22.5pt;width:64.5pt;z-index:251715584;v-text-anchor:middle;mso-width-relative:page;mso-height-relative:page;" filled="f" stroked="t" coordsize="21600,21600" o:gfxdata="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GzwkbXAAAACQEAAA8AAAAAAAAAAQAgAAAAIgAAAGRycy9kb3ducmV2LnhtbFBLAQIUABQAAAAI&#10;AIdO4kBkhdBmYAIAAL8EAAAOAAAAAAAAAAEAIAAAACYBAABkcnMvZTJvRG9jLnhtbFBLBQYAAAAA&#10;BgAGAFkBAAD4BQAAAAA=&#10;">
                      <v:fill on="f" focussize="0,0"/>
                      <v:stroke weight="0.5pt" color="#000000 [3213]" joinstyle="round"/>
                      <v:imagedata o:title=""/>
                      <o:lock v:ext="edit" aspectratio="f"/>
                      <v:textbox>
                        <w:txbxContent>
                          <w:p w14:paraId="239CF14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清基</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713536" behindDoc="0" locked="0" layoutInCell="1" allowOverlap="1">
                      <wp:simplePos x="0" y="0"/>
                      <wp:positionH relativeFrom="column">
                        <wp:posOffset>1165225</wp:posOffset>
                      </wp:positionH>
                      <wp:positionV relativeFrom="paragraph">
                        <wp:posOffset>208280</wp:posOffset>
                      </wp:positionV>
                      <wp:extent cx="819150" cy="304800"/>
                      <wp:effectExtent l="4445" t="4445" r="14605" b="14605"/>
                      <wp:wrapNone/>
                      <wp:docPr id="27" name="矩形 27"/>
                      <wp:cNvGraphicFramePr/>
                      <a:graphic xmlns:a="http://schemas.openxmlformats.org/drawingml/2006/main">
                        <a:graphicData uri="http://schemas.microsoft.com/office/word/2010/wordprocessingShape">
                          <wps:wsp>
                            <wps:cNvSpPr/>
                            <wps:spPr>
                              <a:xfrm>
                                <a:off x="1824990" y="2897505"/>
                                <a:ext cx="819150" cy="30480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23BAF0F">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土方开挖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75pt;margin-top:16.4pt;height:24pt;width:64.5pt;z-index:251713536;v-text-anchor:middle;mso-width-relative:page;mso-height-relative:page;" filled="f" stroked="t" coordsize="21600,21600" o:gfxdata="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StU6Z1gAAAAkBAAAPAAAAAAAAAAEAIAAAACIAAABkcnMvZG93bnJldi54&#10;bWxQSwECFAAUAAAACACHTuJACPjRf24CAADLBAAADgAAAAAAAAABACAAAAAlAQAAZHJzL2Uyb0Rv&#10;Yy54bWxQSwUGAAAAAAYABgBZAQAABQYAAAAA&#10;">
                      <v:fill on="f" focussize="0,0"/>
                      <v:stroke weight="0.5pt" color="#000000 [3213]" joinstyle="round"/>
                      <v:imagedata o:title=""/>
                      <o:lock v:ext="edit" aspectratio="f"/>
                      <v:textbox>
                        <w:txbxContent>
                          <w:p w14:paraId="623BAF0F">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土方开挖</w:t>
                            </w:r>
                          </w:p>
                        </w:txbxContent>
                      </v:textbox>
                    </v:rect>
                  </w:pict>
                </mc:Fallback>
              </mc:AlternateContent>
            </w:r>
          </w:p>
          <w:p w14:paraId="58EA033B">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sz w:val="24"/>
                <w:highlight w:val="none"/>
              </w:rPr>
              <mc:AlternateContent>
                <mc:Choice Requires="wps">
                  <w:drawing>
                    <wp:anchor distT="0" distB="0" distL="114300" distR="114300" simplePos="0" relativeHeight="251718656" behindDoc="0" locked="0" layoutInCell="1" allowOverlap="1">
                      <wp:simplePos x="0" y="0"/>
                      <wp:positionH relativeFrom="column">
                        <wp:posOffset>2022475</wp:posOffset>
                      </wp:positionH>
                      <wp:positionV relativeFrom="paragraph">
                        <wp:posOffset>33655</wp:posOffset>
                      </wp:positionV>
                      <wp:extent cx="333375" cy="0"/>
                      <wp:effectExtent l="0" t="38100" r="9525" b="38100"/>
                      <wp:wrapNone/>
                      <wp:docPr id="32" name="直接箭头连接符 32"/>
                      <wp:cNvGraphicFramePr/>
                      <a:graphic xmlns:a="http://schemas.openxmlformats.org/drawingml/2006/main">
                        <a:graphicData uri="http://schemas.microsoft.com/office/word/2010/wordprocessingShape">
                          <wps:wsp>
                            <wps:cNvCnPr/>
                            <wps:spPr>
                              <a:xfrm>
                                <a:off x="0" y="0"/>
                                <a:ext cx="333375" cy="0"/>
                              </a:xfrm>
                              <a:prstGeom prst="straightConnector1">
                                <a:avLst/>
                              </a:prstGeom>
                              <a:ln w="63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59.25pt;margin-top:2.65pt;height:0pt;width:26.25pt;z-index:251718656;mso-width-relative:page;mso-height-relative:page;" filled="f" stroked="t" coordsize="21600,21600" o:gfxdata="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6MsATNYAAAAHAQAADwAAAAAAAAABACAAAAAi&#10;AAAAZHJzL2Rvd25yZXYueG1sUEsBAhQAFAAAAAgAh07iQIVs/lsMAgAA9QMAAA4AAAAAAAAAAQAg&#10;AAAAJQEAAGRycy9lMm9Eb2MueG1sUEsFBgAAAAAGAAYAWQEAAKMFAAAAAA==&#10;">
                      <v:fill on="f" focussize="0,0"/>
                      <v:stroke weight="0.5pt" color="#000000 [3213]" joinstyle="round" endarrow="block"/>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717632" behindDoc="0" locked="0" layoutInCell="1" allowOverlap="1">
                      <wp:simplePos x="0" y="0"/>
                      <wp:positionH relativeFrom="column">
                        <wp:posOffset>3155950</wp:posOffset>
                      </wp:positionH>
                      <wp:positionV relativeFrom="paragraph">
                        <wp:posOffset>24130</wp:posOffset>
                      </wp:positionV>
                      <wp:extent cx="333375" cy="0"/>
                      <wp:effectExtent l="0" t="38100" r="9525" b="38100"/>
                      <wp:wrapNone/>
                      <wp:docPr id="31" name="直接箭头连接符 31"/>
                      <wp:cNvGraphicFramePr/>
                      <a:graphic xmlns:a="http://schemas.openxmlformats.org/drawingml/2006/main">
                        <a:graphicData uri="http://schemas.microsoft.com/office/word/2010/wordprocessingShape">
                          <wps:wsp>
                            <wps:cNvCnPr/>
                            <wps:spPr>
                              <a:xfrm>
                                <a:off x="0" y="0"/>
                                <a:ext cx="333375" cy="0"/>
                              </a:xfrm>
                              <a:prstGeom prst="straightConnector1">
                                <a:avLst/>
                              </a:prstGeom>
                              <a:ln w="63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8.5pt;margin-top:1.9pt;height:0pt;width:26.25pt;z-index:251717632;mso-width-relative:page;mso-height-relative:page;" filled="f" stroked="t" coordsize="21600,21600" o:gfxdata="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VYkwz1gAAAAcBAAAPAAAAAAAAAAEAIAAAACIA&#10;AABkcnMvZG93bnJldi54bWxQSwECFAAUAAAACACHTuJADKJ9LQsCAAD1AwAADgAAAAAAAAABACAA&#10;AAAlAQAAZHJzL2Uyb0RvYy54bWxQSwUGAAAAAAYABgBZAQAAogUAAAAA&#10;">
                      <v:fill on="f" focussize="0,0"/>
                      <v:stroke weight="0.5pt" color="#000000 [3213]" joinstyle="round" endarrow="block"/>
                      <v:imagedata o:title=""/>
                      <o:lock v:ext="edit" aspectratio="f"/>
                    </v:shape>
                  </w:pict>
                </mc:Fallback>
              </mc:AlternateContent>
            </w:r>
            <w:r>
              <w:rPr>
                <w:rFonts w:hint="default" w:ascii="Times New Roman" w:hAnsi="Times New Roman" w:cs="Times New Roman"/>
                <w:b/>
                <w:bCs/>
                <w:color w:val="auto"/>
                <w:highlight w:val="none"/>
                <w:lang w:val="en-US" w:eastAsia="zh-CN"/>
              </w:rPr>
              <w:t xml:space="preserve"> </w:t>
            </w:r>
          </w:p>
          <w:p w14:paraId="4108AA77">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图2—1  堤防施工产污节点图</w:t>
            </w:r>
          </w:p>
          <w:p w14:paraId="27E6B190">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2、护岸施工</w:t>
            </w:r>
          </w:p>
          <w:p w14:paraId="66E97627">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（1）土方开挖</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采用人工配合机械进行开挖，1</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³挖掘机土，人工配合修整边坡。弃土回填坑塘。</w:t>
            </w:r>
          </w:p>
          <w:p w14:paraId="2FE96390">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（2）土方填筑</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土方回填采用103kW推土机推土，拖拉机压实土方。</w:t>
            </w:r>
          </w:p>
          <w:p w14:paraId="65749C06">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雷诺护垫</w:t>
            </w:r>
          </w:p>
          <w:p w14:paraId="0B531366">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①此步骤需安排在一块平整坚硬的场地上开展作业，选择场地时请注意既要方便雷诺护垫的组装、搬运，又要不影响现场其他作业内容的实施。</w:t>
            </w:r>
          </w:p>
          <w:p w14:paraId="05537D44">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②打开成捆包装的格宾石笼，取出一个完整的护垫，用钳子或人工脚踩的方式校正弯曲、变形的部分。需注意以下几方面</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格宾石笼面板之间的折痕弯曲；搬运过程中由于操作不当所产生的弯曲变形。</w:t>
            </w:r>
          </w:p>
          <w:p w14:paraId="779C830D">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③石笼单隔板和双隔板的安装差异主要是在组装时的隔板处理工艺上，其他步骤相同。</w:t>
            </w:r>
          </w:p>
          <w:p w14:paraId="0A18899A">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④用木板沿切口压住底网，用手翻起端板，要确保端板底线在同一直线上，且高度统一并准确。</w:t>
            </w:r>
          </w:p>
          <w:p w14:paraId="4FA4FFD2">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⑤翻起边板，用点扎的形式固定隔板与边板以及边板与端板，共计14处。单隔板由于边缘钢丝延长段可用，每处只绞合一个点；双隔板每处绞合2个点。</w:t>
            </w:r>
          </w:p>
          <w:p w14:paraId="6B3D7A18">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⑥用于转弯段的格宾石笼，可以通过裁剪格宾石笼单元进行套接处理。</w:t>
            </w:r>
          </w:p>
          <w:p w14:paraId="615D94ED">
            <w:pPr>
              <w:pStyle w:val="84"/>
              <w:keepNext w:val="0"/>
              <w:keepLines w:val="0"/>
              <w:pageBreakBefore w:val="0"/>
              <w:widowControl w:val="0"/>
              <w:numPr>
                <w:ilvl w:val="0"/>
                <w:numId w:val="2"/>
              </w:numPr>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格宾</w:t>
            </w:r>
            <w:r>
              <w:rPr>
                <w:rFonts w:hint="default" w:ascii="Times New Roman" w:hAnsi="Times New Roman" w:cs="Times New Roman"/>
                <w:color w:val="auto"/>
                <w:highlight w:val="none"/>
              </w:rPr>
              <w:t>石笼的摆放、</w:t>
            </w:r>
            <w:r>
              <w:rPr>
                <w:rFonts w:hint="default" w:ascii="Times New Roman" w:hAnsi="Times New Roman" w:cs="Times New Roman"/>
                <w:color w:val="auto"/>
                <w:highlight w:val="none"/>
                <w:lang w:val="en-US" w:eastAsia="zh-CN"/>
              </w:rPr>
              <w:t>连接</w:t>
            </w:r>
          </w:p>
          <w:p w14:paraId="2C99A511">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①进行格宾石笼摆放操作前，先检验坡比是否符合设计要求，再放线确定出格宾石笼摆放的位置。将组装好的格宾石笼按照一定的要求紧密整齐地摆放在恰当的位置上。</w:t>
            </w:r>
          </w:p>
          <w:p w14:paraId="247C1B07">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②摆放时格宾石笼用于坡面防护时隔板要平行于水流方向，用于护底、护坦时隔板垂直于水流方向。</w:t>
            </w:r>
          </w:p>
          <w:p w14:paraId="7B34B1EA">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③坡面较陡或者坡面较为光滑容易引起施工过程中护垫下滑的情况，建议在坡顶加木桩固定。</w:t>
            </w:r>
          </w:p>
          <w:p w14:paraId="2576CEEA">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④用点扎的方式将相邻护垫单元进行</w:t>
            </w:r>
            <w:r>
              <w:rPr>
                <w:rFonts w:hint="default" w:ascii="Times New Roman" w:hAnsi="Times New Roman" w:cs="Times New Roman"/>
                <w:color w:val="auto"/>
                <w:highlight w:val="none"/>
                <w:lang w:val="en-US" w:eastAsia="zh-CN"/>
              </w:rPr>
              <w:t>连接</w:t>
            </w:r>
            <w:r>
              <w:rPr>
                <w:rFonts w:hint="default" w:ascii="Times New Roman" w:hAnsi="Times New Roman" w:cs="Times New Roman"/>
                <w:color w:val="auto"/>
                <w:highlight w:val="none"/>
              </w:rPr>
              <w:t>，防止单元之间留有缝隙给后面的装填、封闭盖板造成麻烦。</w:t>
            </w:r>
          </w:p>
          <w:p w14:paraId="7AC29CC6">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碎石垫层</w:t>
            </w:r>
          </w:p>
          <w:p w14:paraId="3E9461F1">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在运输和铺筑过程中，应保持垫层料处于湿润状态以免颗粒分离，并防止杂物或不同规格料物混入。</w:t>
            </w:r>
          </w:p>
          <w:p w14:paraId="71B57907">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铺垫层前，应将基面用挖除法整平，对个别低洼部分，应采用与基面相同土料或垫层料填平。铺筑垫层须自底部向上进行，不得从坡面上向下倾倒。</w:t>
            </w:r>
          </w:p>
          <w:p w14:paraId="69F92ABB">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铺筑垫层，必须严格控制厚度，砂砾料应适当洒水，相邻层面必须拍打平整，保持层次清楚，互不混杂。每层厚度的偏小值不得大于设计厚度的15%。</w:t>
            </w:r>
          </w:p>
          <w:p w14:paraId="006ED5A8">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分层铺筑时，必须做好接缝处各层之间的连接，使接缝层次清楚，不得发生层间错位、折断、混杂。不论平面或斜面接头，都必须为阶梯状，即上层应当比下层缩进去一定宽度。在斜面上的横向接缝，应收成不小于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2的斜坡。对已铺好的垫层应做必要的保护。</w:t>
            </w:r>
          </w:p>
          <w:p w14:paraId="07A02307">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无纺布</w:t>
            </w:r>
          </w:p>
          <w:p w14:paraId="5CE0670E">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1）土工布铺设，可自下游侧开始依次向上游侧进行，土工布接头采用专用设备缝制。</w:t>
            </w:r>
          </w:p>
          <w:p w14:paraId="3BA0F5B6">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2）土工布的长边顺河铺设，铺设时避免张拉受力、折叠、打皱等情况发生。</w:t>
            </w:r>
          </w:p>
          <w:p w14:paraId="3D85106A">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3）已铺设的工段，应及时铺筑上层料，严禁人车通行。铺设时施工人员穿胶鞋作业。</w:t>
            </w:r>
          </w:p>
          <w:p w14:paraId="6A244751">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4）雨天停止铺筑。</w:t>
            </w:r>
          </w:p>
          <w:p w14:paraId="307D2EA7">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复合土工膜</w:t>
            </w:r>
          </w:p>
          <w:p w14:paraId="74DE08C5">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1）护坡铺设土工膜时，宜将土工合成材料铺设在底层表面或换填层的底面。</w:t>
            </w:r>
          </w:p>
          <w:p w14:paraId="60D364AE">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2）复合土工膜的上、下面应铺设砂垫层，且材料下填土质量应满足设计要求。</w:t>
            </w:r>
          </w:p>
          <w:p w14:paraId="35CDCF1F">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3）复合土工膜应全断面铺设，当铺设在基床表面时，复合土工膜不得暴露于道床之外；用于膨胀土、湿陷性黄土地区时，复合土工膜横向铺设宽度应适当加宽；当铺设土工格室时，其范围宜在碴脚范围内。</w:t>
            </w:r>
          </w:p>
          <w:p w14:paraId="181907A2">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4）复合土工膜横向排水坡度不宜小于4%，基面及砂垫层中不得含有尖锐杂物及碎石，铺设的复合土工膜应平整无褶。</w:t>
            </w:r>
          </w:p>
          <w:p w14:paraId="3E5CEB60">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建筑物工程</w:t>
            </w:r>
          </w:p>
          <w:p w14:paraId="62BBEB16">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建筑物施工过程为在立墙处开孔，进而进行排水闸安装，在此过程中会产生扬尘、噪声和少量废混凝土。</w:t>
            </w:r>
          </w:p>
          <w:p w14:paraId="23214607">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highlight w:val="none"/>
                <w:lang w:val="en-US" w:eastAsia="zh-CN"/>
              </w:rPr>
            </w:pPr>
          </w:p>
          <w:p w14:paraId="4CD1595B">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125595" cy="628650"/>
                  <wp:effectExtent l="0" t="0" r="8255" b="0"/>
                  <wp:docPr id="66"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18"/>
                          <pic:cNvPicPr>
                            <a:picLocks noChangeAspect="1"/>
                          </pic:cNvPicPr>
                        </pic:nvPicPr>
                        <pic:blipFill>
                          <a:blip r:embed="rId15"/>
                          <a:stretch>
                            <a:fillRect/>
                          </a:stretch>
                        </pic:blipFill>
                        <pic:spPr>
                          <a:xfrm>
                            <a:off x="0" y="0"/>
                            <a:ext cx="4125595" cy="628650"/>
                          </a:xfrm>
                          <a:prstGeom prst="rect">
                            <a:avLst/>
                          </a:prstGeom>
                          <a:noFill/>
                          <a:ln>
                            <a:noFill/>
                          </a:ln>
                        </pic:spPr>
                      </pic:pic>
                    </a:graphicData>
                  </a:graphic>
                </wp:inline>
              </w:drawing>
            </w:r>
          </w:p>
          <w:p w14:paraId="6BD23829">
            <w:pPr>
              <w:pStyle w:val="84"/>
              <w:keepNext w:val="0"/>
              <w:keepLines w:val="0"/>
              <w:pageBreakBefore w:val="0"/>
              <w:widowControl w:val="0"/>
              <w:kinsoku/>
              <w:wordWrap/>
              <w:overflowPunct/>
              <w:topLinePunct w:val="0"/>
              <w:autoSpaceDE/>
              <w:autoSpaceDN/>
              <w:bidi w:val="0"/>
              <w:spacing w:line="500" w:lineRule="exact"/>
              <w:ind w:firstLine="422" w:firstLineChars="20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图2</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lang w:val="en-US" w:eastAsia="zh-CN"/>
              </w:rPr>
              <w:t xml:space="preserve">2  </w:t>
            </w:r>
            <w:r>
              <w:rPr>
                <w:rFonts w:hint="default" w:ascii="Times New Roman" w:hAnsi="Times New Roman" w:cs="Times New Roman"/>
                <w:b/>
                <w:bCs/>
                <w:color w:val="auto"/>
                <w:sz w:val="21"/>
                <w:szCs w:val="21"/>
                <w:highlight w:val="none"/>
              </w:rPr>
              <w:t>格宾石笼护岸施工产污节点图</w:t>
            </w:r>
          </w:p>
          <w:p w14:paraId="4B30B53E">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szCs w:val="24"/>
                <w:highlight w:val="none"/>
                <w:lang w:val="en-US" w:eastAsia="zh-CN"/>
              </w:rPr>
            </w:pPr>
            <w:bookmarkStart w:id="17" w:name="_Toc63117229"/>
            <w:bookmarkStart w:id="18" w:name="_Toc395511912"/>
            <w:r>
              <w:rPr>
                <w:rFonts w:hint="default" w:ascii="Times New Roman" w:hAnsi="Times New Roman" w:cs="Times New Roman"/>
                <w:color w:val="auto"/>
                <w:highlight w:val="none"/>
                <w:lang w:val="en-US" w:eastAsia="zh-CN"/>
              </w:rPr>
              <w:t>四、</w:t>
            </w:r>
            <w:r>
              <w:rPr>
                <w:rFonts w:hint="default" w:ascii="Times New Roman" w:hAnsi="Times New Roman" w:cs="Times New Roman"/>
                <w:color w:val="auto"/>
                <w:sz w:val="24"/>
                <w:szCs w:val="24"/>
                <w:highlight w:val="none"/>
                <w:lang w:val="en-US" w:eastAsia="zh-CN"/>
              </w:rPr>
              <w:t>土石方平衡</w:t>
            </w:r>
          </w:p>
          <w:p w14:paraId="6DB9986F">
            <w:pPr>
              <w:pStyle w:val="84"/>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szCs w:val="24"/>
                <w:highlight w:val="yellow"/>
                <w:lang w:val="en-US" w:eastAsia="zh-CN"/>
              </w:rPr>
            </w:pPr>
            <w:r>
              <w:rPr>
                <w:rFonts w:hint="default" w:ascii="Times New Roman" w:hAnsi="Times New Roman" w:cs="Times New Roman"/>
                <w:color w:val="auto"/>
                <w:sz w:val="24"/>
                <w:szCs w:val="24"/>
                <w:highlight w:val="yellow"/>
              </w:rPr>
              <w:t>工程开挖方</w:t>
            </w:r>
            <w:r>
              <w:rPr>
                <w:rFonts w:hint="default" w:ascii="Times New Roman" w:hAnsi="Times New Roman" w:cs="Times New Roman"/>
                <w:color w:val="auto"/>
                <w:sz w:val="24"/>
                <w:szCs w:val="24"/>
                <w:highlight w:val="yellow"/>
                <w:lang w:val="en-US" w:eastAsia="zh-CN"/>
              </w:rPr>
              <w:t>256062</w:t>
            </w:r>
            <w:r>
              <w:rPr>
                <w:rFonts w:hint="default" w:ascii="Times New Roman" w:hAnsi="Times New Roman" w:cs="Times New Roman"/>
                <w:color w:val="auto"/>
                <w:sz w:val="24"/>
                <w:szCs w:val="24"/>
                <w:highlight w:val="yellow"/>
                <w:lang w:eastAsia="zh-CN"/>
              </w:rPr>
              <w:t>m</w:t>
            </w:r>
            <w:r>
              <w:rPr>
                <w:rFonts w:hint="default" w:ascii="Times New Roman" w:hAnsi="Times New Roman" w:cs="Times New Roman"/>
                <w:color w:val="auto"/>
                <w:sz w:val="24"/>
                <w:szCs w:val="24"/>
                <w:highlight w:val="yellow"/>
                <w:vertAlign w:val="superscript"/>
              </w:rPr>
              <w:t>3</w:t>
            </w:r>
            <w:r>
              <w:rPr>
                <w:rFonts w:hint="default" w:ascii="Times New Roman" w:hAnsi="Times New Roman" w:cs="Times New Roman"/>
                <w:color w:val="auto"/>
                <w:sz w:val="24"/>
                <w:szCs w:val="24"/>
                <w:highlight w:val="yellow"/>
                <w:vertAlign w:val="baseline"/>
                <w:lang w:eastAsia="zh-CN"/>
              </w:rPr>
              <w:t>，</w:t>
            </w:r>
            <w:r>
              <w:rPr>
                <w:rFonts w:hint="default" w:ascii="Times New Roman" w:hAnsi="Times New Roman" w:cs="Times New Roman"/>
                <w:color w:val="auto"/>
                <w:sz w:val="24"/>
                <w:szCs w:val="24"/>
                <w:highlight w:val="yellow"/>
                <w:vertAlign w:val="baseline"/>
                <w:lang w:val="en-US" w:eastAsia="zh-CN"/>
              </w:rPr>
              <w:t>利用</w:t>
            </w:r>
            <w:r>
              <w:rPr>
                <w:rFonts w:hint="default" w:ascii="Times New Roman" w:hAnsi="Times New Roman" w:cs="Times New Roman"/>
                <w:color w:val="auto"/>
                <w:sz w:val="24"/>
                <w:szCs w:val="24"/>
                <w:highlight w:val="yellow"/>
              </w:rPr>
              <w:t>方</w:t>
            </w:r>
            <w:r>
              <w:rPr>
                <w:rFonts w:hint="default" w:ascii="Times New Roman" w:hAnsi="Times New Roman" w:cs="Times New Roman"/>
                <w:color w:val="auto"/>
                <w:sz w:val="24"/>
                <w:szCs w:val="24"/>
                <w:highlight w:val="yellow"/>
                <w:lang w:val="en-US" w:eastAsia="zh-CN"/>
              </w:rPr>
              <w:t>187394</w:t>
            </w:r>
            <w:r>
              <w:rPr>
                <w:rFonts w:hint="default" w:ascii="Times New Roman" w:hAnsi="Times New Roman" w:cs="Times New Roman"/>
                <w:color w:val="auto"/>
                <w:sz w:val="24"/>
                <w:szCs w:val="24"/>
                <w:highlight w:val="yellow"/>
                <w:lang w:eastAsia="zh-CN"/>
              </w:rPr>
              <w:t>m</w:t>
            </w:r>
            <w:r>
              <w:rPr>
                <w:rFonts w:hint="default" w:ascii="Times New Roman" w:hAnsi="Times New Roman" w:cs="Times New Roman"/>
                <w:color w:val="auto"/>
                <w:sz w:val="24"/>
                <w:szCs w:val="24"/>
                <w:highlight w:val="yellow"/>
                <w:vertAlign w:val="superscript"/>
              </w:rPr>
              <w:t>3</w:t>
            </w:r>
            <w:r>
              <w:rPr>
                <w:rFonts w:hint="default" w:ascii="Times New Roman" w:hAnsi="Times New Roman" w:cs="Times New Roman"/>
                <w:color w:val="auto"/>
                <w:sz w:val="24"/>
                <w:szCs w:val="24"/>
                <w:highlight w:val="yellow"/>
              </w:rPr>
              <w:t>，回填方</w:t>
            </w:r>
            <w:r>
              <w:rPr>
                <w:rFonts w:hint="default" w:ascii="Times New Roman" w:hAnsi="Times New Roman" w:cs="Times New Roman"/>
                <w:color w:val="auto"/>
                <w:sz w:val="24"/>
                <w:szCs w:val="24"/>
                <w:highlight w:val="yellow"/>
                <w:lang w:val="en-US" w:eastAsia="zh-CN"/>
              </w:rPr>
              <w:t>782108</w:t>
            </w:r>
            <w:r>
              <w:rPr>
                <w:rFonts w:hint="default" w:ascii="Times New Roman" w:hAnsi="Times New Roman" w:cs="Times New Roman"/>
                <w:color w:val="auto"/>
                <w:sz w:val="24"/>
                <w:szCs w:val="24"/>
                <w:highlight w:val="yellow"/>
                <w:lang w:eastAsia="zh-CN"/>
              </w:rPr>
              <w:t>m</w:t>
            </w:r>
            <w:r>
              <w:rPr>
                <w:rFonts w:hint="default" w:ascii="Times New Roman" w:hAnsi="Times New Roman" w:cs="Times New Roman"/>
                <w:color w:val="auto"/>
                <w:sz w:val="24"/>
                <w:szCs w:val="24"/>
                <w:highlight w:val="yellow"/>
                <w:vertAlign w:val="superscript"/>
              </w:rPr>
              <w:t>3</w:t>
            </w:r>
            <w:r>
              <w:rPr>
                <w:rFonts w:hint="default" w:ascii="Times New Roman" w:hAnsi="Times New Roman" w:cs="Times New Roman"/>
                <w:color w:val="auto"/>
                <w:sz w:val="24"/>
                <w:szCs w:val="24"/>
                <w:highlight w:val="yellow"/>
              </w:rPr>
              <w:t>，借</w:t>
            </w:r>
            <w:r>
              <w:rPr>
                <w:rFonts w:hint="default" w:ascii="Times New Roman" w:hAnsi="Times New Roman" w:cs="Times New Roman"/>
                <w:color w:val="auto"/>
                <w:sz w:val="24"/>
                <w:szCs w:val="24"/>
                <w:highlight w:val="yellow"/>
                <w:lang w:val="en-US" w:eastAsia="zh-CN"/>
              </w:rPr>
              <w:t>方735494</w:t>
            </w:r>
            <w:r>
              <w:rPr>
                <w:rFonts w:hint="default" w:ascii="Times New Roman" w:hAnsi="Times New Roman" w:cs="Times New Roman"/>
                <w:color w:val="auto"/>
                <w:sz w:val="24"/>
                <w:szCs w:val="24"/>
                <w:highlight w:val="yellow"/>
                <w:lang w:eastAsia="zh-CN"/>
              </w:rPr>
              <w:t>m</w:t>
            </w:r>
            <w:r>
              <w:rPr>
                <w:rFonts w:hint="default" w:ascii="Times New Roman" w:hAnsi="Times New Roman" w:cs="Times New Roman"/>
                <w:color w:val="auto"/>
                <w:sz w:val="24"/>
                <w:szCs w:val="24"/>
                <w:highlight w:val="yellow"/>
                <w:vertAlign w:val="superscript"/>
              </w:rPr>
              <w:t>3</w:t>
            </w:r>
            <w:r>
              <w:rPr>
                <w:rFonts w:hint="default" w:ascii="Times New Roman" w:hAnsi="Times New Roman" w:cs="Times New Roman"/>
                <w:color w:val="auto"/>
                <w:sz w:val="24"/>
                <w:szCs w:val="24"/>
                <w:highlight w:val="yellow"/>
              </w:rPr>
              <w:t>，工程产生弃</w:t>
            </w:r>
            <w:r>
              <w:rPr>
                <w:rFonts w:hint="default" w:ascii="Times New Roman" w:hAnsi="Times New Roman" w:cs="Times New Roman"/>
                <w:color w:val="auto"/>
                <w:sz w:val="24"/>
                <w:szCs w:val="24"/>
                <w:highlight w:val="yellow"/>
                <w:lang w:val="en-US" w:eastAsia="zh-CN"/>
              </w:rPr>
              <w:t>方68668</w:t>
            </w:r>
            <w:r>
              <w:rPr>
                <w:rFonts w:hint="default" w:ascii="Times New Roman" w:hAnsi="Times New Roman" w:cs="Times New Roman"/>
                <w:color w:val="auto"/>
                <w:sz w:val="24"/>
                <w:szCs w:val="24"/>
                <w:highlight w:val="yellow"/>
                <w:lang w:eastAsia="zh-CN"/>
              </w:rPr>
              <w:t>m</w:t>
            </w:r>
            <w:r>
              <w:rPr>
                <w:rFonts w:hint="default" w:ascii="Times New Roman" w:hAnsi="Times New Roman" w:cs="Times New Roman"/>
                <w:color w:val="auto"/>
                <w:sz w:val="24"/>
                <w:szCs w:val="24"/>
                <w:highlight w:val="yellow"/>
                <w:vertAlign w:val="superscript"/>
              </w:rPr>
              <w:t>3</w:t>
            </w:r>
            <w:r>
              <w:rPr>
                <w:rFonts w:hint="default" w:ascii="Times New Roman" w:hAnsi="Times New Roman" w:cs="Times New Roman"/>
                <w:color w:val="auto"/>
                <w:sz w:val="24"/>
                <w:szCs w:val="24"/>
                <w:highlight w:val="yellow"/>
              </w:rPr>
              <w:t>，</w:t>
            </w:r>
            <w:r>
              <w:rPr>
                <w:rFonts w:hint="default" w:ascii="Times New Roman" w:hAnsi="Times New Roman" w:cs="Times New Roman"/>
                <w:color w:val="auto"/>
                <w:sz w:val="24"/>
                <w:szCs w:val="24"/>
                <w:highlight w:val="yellow"/>
                <w:lang w:val="en-US" w:eastAsia="zh-CN"/>
              </w:rPr>
              <w:t>其中土方余方10977m</w:t>
            </w:r>
            <w:r>
              <w:rPr>
                <w:rFonts w:hint="default" w:ascii="Times New Roman" w:hAnsi="Times New Roman" w:cs="Times New Roman"/>
                <w:color w:val="auto"/>
                <w:sz w:val="24"/>
                <w:szCs w:val="24"/>
                <w:highlight w:val="yellow"/>
                <w:vertAlign w:val="superscript"/>
                <w:lang w:val="en-US" w:eastAsia="zh-CN"/>
              </w:rPr>
              <w:t>3</w:t>
            </w:r>
            <w:r>
              <w:rPr>
                <w:rFonts w:hint="default" w:ascii="Times New Roman" w:hAnsi="Times New Roman" w:cs="Times New Roman"/>
                <w:color w:val="auto"/>
                <w:sz w:val="24"/>
                <w:szCs w:val="24"/>
                <w:highlight w:val="yellow"/>
                <w:lang w:val="en-US" w:eastAsia="zh-CN"/>
              </w:rPr>
              <w:t>就近填塘；表土57691m</w:t>
            </w:r>
            <w:r>
              <w:rPr>
                <w:rFonts w:hint="default" w:ascii="Times New Roman" w:hAnsi="Times New Roman" w:cs="Times New Roman"/>
                <w:color w:val="auto"/>
                <w:sz w:val="24"/>
                <w:szCs w:val="24"/>
                <w:highlight w:val="yellow"/>
                <w:vertAlign w:val="superscript"/>
                <w:lang w:val="en-US" w:eastAsia="zh-CN"/>
              </w:rPr>
              <w:t>3</w:t>
            </w:r>
            <w:r>
              <w:rPr>
                <w:rFonts w:hint="default" w:ascii="Times New Roman" w:hAnsi="Times New Roman" w:cs="Times New Roman"/>
                <w:color w:val="auto"/>
                <w:sz w:val="24"/>
                <w:szCs w:val="24"/>
                <w:highlight w:val="yellow"/>
                <w:lang w:val="en-US" w:eastAsia="zh-CN"/>
              </w:rPr>
              <w:t>临时堆存在表土暂存场，</w:t>
            </w:r>
            <w:r>
              <w:rPr>
                <w:rFonts w:hint="default" w:ascii="Times New Roman" w:hAnsi="Times New Roman" w:cs="Times New Roman"/>
                <w:color w:val="auto"/>
                <w:sz w:val="24"/>
                <w:szCs w:val="24"/>
                <w:highlight w:val="yellow"/>
              </w:rPr>
              <w:t>全部由</w:t>
            </w:r>
            <w:r>
              <w:rPr>
                <w:rFonts w:hint="default" w:ascii="Times New Roman" w:hAnsi="Times New Roman" w:cs="Times New Roman"/>
                <w:color w:val="auto"/>
                <w:sz w:val="24"/>
                <w:szCs w:val="24"/>
                <w:highlight w:val="yellow"/>
                <w:lang w:val="en-US" w:eastAsia="zh-CN"/>
              </w:rPr>
              <w:t>庆安县庆禾农业发展有限公司</w:t>
            </w:r>
            <w:r>
              <w:rPr>
                <w:rFonts w:hint="default" w:ascii="Times New Roman" w:hAnsi="Times New Roman" w:cs="Times New Roman"/>
                <w:color w:val="auto"/>
                <w:sz w:val="24"/>
                <w:szCs w:val="24"/>
                <w:highlight w:val="yellow"/>
              </w:rPr>
              <w:t>外运并进行综合利用，重点用于</w:t>
            </w:r>
            <w:r>
              <w:rPr>
                <w:rFonts w:hint="default" w:ascii="Times New Roman" w:hAnsi="Times New Roman" w:cs="Times New Roman"/>
                <w:color w:val="auto"/>
                <w:sz w:val="24"/>
                <w:szCs w:val="24"/>
                <w:highlight w:val="yellow"/>
                <w:lang w:val="en-US" w:eastAsia="zh-CN"/>
              </w:rPr>
              <w:t>土地改良。临时工程表土暂存148800m</w:t>
            </w:r>
            <w:r>
              <w:rPr>
                <w:rFonts w:hint="default" w:ascii="Times New Roman" w:hAnsi="Times New Roman" w:cs="Times New Roman"/>
                <w:color w:val="auto"/>
                <w:sz w:val="24"/>
                <w:szCs w:val="24"/>
                <w:highlight w:val="yellow"/>
                <w:vertAlign w:val="superscript"/>
                <w:lang w:val="en-US" w:eastAsia="zh-CN"/>
              </w:rPr>
              <w:t>3</w:t>
            </w:r>
            <w:r>
              <w:rPr>
                <w:rFonts w:hint="default" w:ascii="Times New Roman" w:hAnsi="Times New Roman" w:cs="Times New Roman"/>
                <w:color w:val="auto"/>
                <w:sz w:val="24"/>
                <w:szCs w:val="24"/>
                <w:highlight w:val="yellow"/>
                <w:lang w:val="en-US" w:eastAsia="zh-CN"/>
              </w:rPr>
              <w:t>临时工程占地范围内，施工结束后用于临时占地生态修复。</w:t>
            </w:r>
          </w:p>
          <w:p w14:paraId="39832DB2">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五、表土平衡及确定依据</w:t>
            </w:r>
          </w:p>
          <w:p w14:paraId="25F5C55D">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1、表土平衡</w:t>
            </w:r>
          </w:p>
          <w:p w14:paraId="779A4AC9">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本次防洪除涝工程表土平衡以</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保护优质表土、合理利用资源、减少生态扰动</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为核心原则，全面梳理工程建设过程中表土的剥离、利用及处置全流程，明确表土剥离量、可利用量、利用去向、处置量，确保表土总量平衡、去向清晰、利用合理，避免表土浪费和生态破坏。</w:t>
            </w:r>
          </w:p>
          <w:p w14:paraId="3A1ACE01">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表土平衡核心公式</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表土剥离总量 = 表土可利用总量 + 表土合理处置总量（无废弃表土，处置均为合规利用或临时储存周转）表土平衡表见下表</w:t>
            </w:r>
            <w:r>
              <w:rPr>
                <w:rFonts w:hint="default" w:ascii="Times New Roman" w:hAnsi="Times New Roman" w:cs="Times New Roman"/>
                <w:color w:val="auto"/>
                <w:kern w:val="2"/>
                <w:sz w:val="24"/>
                <w:szCs w:val="24"/>
                <w:highlight w:val="none"/>
                <w:lang w:val="en-US" w:eastAsia="zh-CN" w:bidi="ar-SA"/>
              </w:rPr>
              <w:t>:</w:t>
            </w:r>
          </w:p>
          <w:p w14:paraId="05BBFE93">
            <w:pPr>
              <w:pStyle w:val="118"/>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eastAsia="宋体" w:cs="Times New Roman"/>
                <w:b/>
                <w:color w:val="auto"/>
                <w:kern w:val="2"/>
                <w:sz w:val="24"/>
                <w:szCs w:val="24"/>
                <w:highlight w:val="none"/>
                <w:lang w:val="zh-CN" w:eastAsia="zh-CN" w:bidi="ar-SA"/>
              </w:rPr>
            </w:pPr>
          </w:p>
          <w:p w14:paraId="6DD99B7E">
            <w:pPr>
              <w:pStyle w:val="118"/>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eastAsia="宋体" w:cs="Times New Roman"/>
                <w:b/>
                <w:color w:val="auto"/>
                <w:kern w:val="2"/>
                <w:sz w:val="24"/>
                <w:szCs w:val="24"/>
                <w:highlight w:val="none"/>
                <w:lang w:val="zh-CN" w:eastAsia="zh-CN" w:bidi="ar-SA"/>
              </w:rPr>
            </w:pPr>
          </w:p>
          <w:p w14:paraId="70619788">
            <w:pPr>
              <w:pStyle w:val="118"/>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zh-CN" w:eastAsia="zh-CN" w:bidi="ar-SA"/>
              </w:rPr>
              <w:t xml:space="preserve"> </w:t>
            </w:r>
            <w:r>
              <w:rPr>
                <w:rFonts w:hint="default" w:ascii="Times New Roman" w:hAnsi="Times New Roman" w:eastAsia="宋体" w:cs="Times New Roman"/>
                <w:b/>
                <w:color w:val="auto"/>
                <w:kern w:val="2"/>
                <w:sz w:val="21"/>
                <w:szCs w:val="21"/>
                <w:highlight w:val="none"/>
                <w:lang w:val="zh-CN" w:eastAsia="zh-CN" w:bidi="ar-SA"/>
              </w:rPr>
              <w:t xml:space="preserve"> </w:t>
            </w:r>
            <w:r>
              <w:rPr>
                <w:rFonts w:hint="default" w:ascii="Times New Roman" w:hAnsi="Times New Roman" w:eastAsia="宋体" w:cs="Times New Roman"/>
                <w:b/>
                <w:color w:val="auto"/>
                <w:kern w:val="2"/>
                <w:sz w:val="21"/>
                <w:szCs w:val="21"/>
                <w:highlight w:val="none"/>
                <w:lang w:val="en-US" w:eastAsia="zh-CN" w:bidi="ar-SA"/>
              </w:rPr>
              <w:t xml:space="preserve">表2—11  本项目表土平衡表    </w:t>
            </w:r>
            <w:r>
              <w:rPr>
                <w:rFonts w:hint="default" w:ascii="Times New Roman" w:hAnsi="Times New Roman" w:cs="Times New Roman"/>
                <w:b/>
                <w:color w:val="auto"/>
                <w:sz w:val="21"/>
                <w:szCs w:val="21"/>
                <w:highlight w:val="none"/>
                <w:lang w:val="zh-CN"/>
              </w:rPr>
              <w:t xml:space="preserve"> 单位:m</w:t>
            </w:r>
            <w:r>
              <w:rPr>
                <w:rFonts w:hint="default" w:ascii="Times New Roman" w:hAnsi="Times New Roman" w:cs="Times New Roman"/>
                <w:b/>
                <w:color w:val="auto"/>
                <w:sz w:val="21"/>
                <w:szCs w:val="21"/>
                <w:highlight w:val="none"/>
                <w:vertAlign w:val="superscript"/>
                <w:lang w:val="zh-CN"/>
              </w:rPr>
              <w:t>3</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00"/>
              <w:gridCol w:w="969"/>
              <w:gridCol w:w="860"/>
              <w:gridCol w:w="760"/>
              <w:gridCol w:w="1064"/>
              <w:gridCol w:w="2669"/>
            </w:tblGrid>
            <w:tr w14:paraId="2D7D1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00" w:type="pct"/>
                  <w:gridSpan w:val="2"/>
                  <w:vMerge w:val="restart"/>
                  <w:tcBorders>
                    <w:tl2br w:val="nil"/>
                    <w:tr2bl w:val="nil"/>
                  </w:tcBorders>
                  <w:noWrap/>
                  <w:vAlign w:val="center"/>
                </w:tcPr>
                <w:p w14:paraId="407AAB24">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cs="Times New Roman"/>
                      <w:color w:val="auto"/>
                      <w:sz w:val="21"/>
                      <w:szCs w:val="21"/>
                      <w:highlight w:val="none"/>
                    </w:rPr>
                    <w:t>工程名称</w:t>
                  </w:r>
                </w:p>
              </w:tc>
              <w:tc>
                <w:tcPr>
                  <w:tcW w:w="481" w:type="pct"/>
                  <w:vMerge w:val="restart"/>
                  <w:tcBorders>
                    <w:tl2br w:val="nil"/>
                    <w:tr2bl w:val="nil"/>
                  </w:tcBorders>
                  <w:noWrap/>
                  <w:vAlign w:val="center"/>
                </w:tcPr>
                <w:p w14:paraId="26013C80">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挖方</w:t>
                  </w:r>
                </w:p>
              </w:tc>
              <w:tc>
                <w:tcPr>
                  <w:tcW w:w="425" w:type="pct"/>
                  <w:vMerge w:val="restart"/>
                  <w:tcBorders>
                    <w:tl2br w:val="nil"/>
                    <w:tr2bl w:val="nil"/>
                  </w:tcBorders>
                  <w:noWrap/>
                  <w:vAlign w:val="center"/>
                </w:tcPr>
                <w:p w14:paraId="236BD271">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填方</w:t>
                  </w:r>
                </w:p>
              </w:tc>
              <w:tc>
                <w:tcPr>
                  <w:tcW w:w="2092" w:type="pct"/>
                  <w:gridSpan w:val="2"/>
                  <w:tcBorders>
                    <w:tl2br w:val="nil"/>
                    <w:tr2bl w:val="nil"/>
                  </w:tcBorders>
                  <w:noWrap/>
                  <w:vAlign w:val="center"/>
                </w:tcPr>
                <w:p w14:paraId="5FC6C7CF">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弃方</w:t>
                  </w:r>
                </w:p>
              </w:tc>
            </w:tr>
            <w:tr w14:paraId="22DC9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00" w:type="pct"/>
                  <w:gridSpan w:val="2"/>
                  <w:vMerge w:val="continue"/>
                  <w:tcBorders>
                    <w:tl2br w:val="nil"/>
                    <w:tr2bl w:val="nil"/>
                  </w:tcBorders>
                  <w:noWrap w:val="0"/>
                  <w:vAlign w:val="center"/>
                </w:tcPr>
                <w:p w14:paraId="4ABE2535">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c>
                <w:tcPr>
                  <w:tcW w:w="481" w:type="pct"/>
                  <w:vMerge w:val="continue"/>
                  <w:tcBorders>
                    <w:tl2br w:val="nil"/>
                    <w:tr2bl w:val="nil"/>
                  </w:tcBorders>
                  <w:noWrap w:val="0"/>
                  <w:vAlign w:val="center"/>
                </w:tcPr>
                <w:p w14:paraId="0580F6C5">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c>
                <w:tcPr>
                  <w:tcW w:w="425" w:type="pct"/>
                  <w:vMerge w:val="continue"/>
                  <w:tcBorders>
                    <w:tl2br w:val="nil"/>
                    <w:tr2bl w:val="nil"/>
                  </w:tcBorders>
                  <w:noWrap w:val="0"/>
                  <w:vAlign w:val="center"/>
                </w:tcPr>
                <w:p w14:paraId="75B0DC35">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c>
                <w:tcPr>
                  <w:tcW w:w="596" w:type="pct"/>
                  <w:tcBorders>
                    <w:tl2br w:val="nil"/>
                    <w:tr2bl w:val="nil"/>
                  </w:tcBorders>
                  <w:noWrap w:val="0"/>
                  <w:vAlign w:val="center"/>
                </w:tcPr>
                <w:p w14:paraId="2DBDA9D0">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数量</w:t>
                  </w:r>
                </w:p>
              </w:tc>
              <w:tc>
                <w:tcPr>
                  <w:tcW w:w="1495" w:type="pct"/>
                  <w:tcBorders>
                    <w:tl2br w:val="nil"/>
                    <w:tr2bl w:val="nil"/>
                  </w:tcBorders>
                  <w:noWrap w:val="0"/>
                  <w:vAlign w:val="center"/>
                </w:tcPr>
                <w:p w14:paraId="46FA5A71">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去向</w:t>
                  </w:r>
                </w:p>
              </w:tc>
            </w:tr>
            <w:tr w14:paraId="499BF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7" w:type="pct"/>
                  <w:tcBorders>
                    <w:tl2br w:val="nil"/>
                    <w:tr2bl w:val="nil"/>
                  </w:tcBorders>
                  <w:noWrap w:val="0"/>
                  <w:vAlign w:val="center"/>
                </w:tcPr>
                <w:p w14:paraId="02D13D58">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lang w:val="en-US" w:eastAsia="zh-CN"/>
                    </w:rPr>
                    <w:t>堤防</w:t>
                  </w:r>
                  <w:r>
                    <w:rPr>
                      <w:rFonts w:hint="default" w:ascii="Times New Roman" w:hAnsi="Times New Roman" w:eastAsia="永中宋体" w:cs="Times New Roman"/>
                      <w:color w:val="auto"/>
                      <w:sz w:val="21"/>
                      <w:szCs w:val="21"/>
                      <w:highlight w:val="none"/>
                    </w:rPr>
                    <w:t>工程</w:t>
                  </w:r>
                </w:p>
              </w:tc>
              <w:tc>
                <w:tcPr>
                  <w:tcW w:w="543" w:type="pct"/>
                  <w:tcBorders>
                    <w:tl2br w:val="nil"/>
                    <w:tr2bl w:val="nil"/>
                  </w:tcBorders>
                  <w:noWrap/>
                  <w:vAlign w:val="center"/>
                </w:tcPr>
                <w:p w14:paraId="08F427AC">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表土</w:t>
                  </w:r>
                </w:p>
              </w:tc>
              <w:tc>
                <w:tcPr>
                  <w:tcW w:w="481" w:type="pct"/>
                  <w:tcBorders>
                    <w:tl2br w:val="nil"/>
                    <w:tr2bl w:val="nil"/>
                  </w:tcBorders>
                  <w:noWrap/>
                  <w:vAlign w:val="center"/>
                </w:tcPr>
                <w:p w14:paraId="440EFC49">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57691</w:t>
                  </w:r>
                </w:p>
              </w:tc>
              <w:tc>
                <w:tcPr>
                  <w:tcW w:w="425" w:type="pct"/>
                  <w:tcBorders>
                    <w:tl2br w:val="nil"/>
                    <w:tr2bl w:val="nil"/>
                  </w:tcBorders>
                  <w:noWrap/>
                  <w:vAlign w:val="center"/>
                </w:tcPr>
                <w:p w14:paraId="7A10ABC4">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1D36F8EC">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lang w:val="en-US" w:eastAsia="zh-CN"/>
                    </w:rPr>
                    <w:t>57691</w:t>
                  </w:r>
                </w:p>
              </w:tc>
              <w:tc>
                <w:tcPr>
                  <w:tcW w:w="1495" w:type="pct"/>
                  <w:tcBorders>
                    <w:tl2br w:val="nil"/>
                    <w:tr2bl w:val="nil"/>
                  </w:tcBorders>
                  <w:noWrap/>
                  <w:vAlign w:val="center"/>
                </w:tcPr>
                <w:p w14:paraId="1303948F">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由</w:t>
                  </w:r>
                  <w:r>
                    <w:rPr>
                      <w:rFonts w:hint="default" w:ascii="Times New Roman" w:hAnsi="Times New Roman" w:cs="Times New Roman"/>
                      <w:color w:val="auto"/>
                      <w:sz w:val="21"/>
                      <w:szCs w:val="21"/>
                      <w:highlight w:val="none"/>
                      <w:lang w:val="en-US" w:eastAsia="zh-CN"/>
                    </w:rPr>
                    <w:t>庆安县庆禾农业发展有限公司</w:t>
                  </w:r>
                  <w:r>
                    <w:rPr>
                      <w:rFonts w:hint="default" w:ascii="Times New Roman" w:hAnsi="Times New Roman" w:cs="Times New Roman"/>
                      <w:color w:val="auto"/>
                      <w:sz w:val="21"/>
                      <w:szCs w:val="21"/>
                      <w:highlight w:val="none"/>
                    </w:rPr>
                    <w:t>外运并进行综合利用，重点用于</w:t>
                  </w:r>
                  <w:r>
                    <w:rPr>
                      <w:rFonts w:hint="default" w:ascii="Times New Roman" w:hAnsi="Times New Roman" w:cs="Times New Roman"/>
                      <w:color w:val="auto"/>
                      <w:sz w:val="21"/>
                      <w:szCs w:val="21"/>
                      <w:highlight w:val="none"/>
                      <w:lang w:val="en-US" w:eastAsia="zh-CN"/>
                    </w:rPr>
                    <w:t>土地改良。</w:t>
                  </w:r>
                </w:p>
              </w:tc>
            </w:tr>
            <w:tr w14:paraId="2B2B2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7" w:type="pct"/>
                  <w:tcBorders>
                    <w:tl2br w:val="nil"/>
                    <w:tr2bl w:val="nil"/>
                  </w:tcBorders>
                  <w:noWrap w:val="0"/>
                  <w:vAlign w:val="center"/>
                </w:tcPr>
                <w:p w14:paraId="73F12ABC">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rPr>
                    <w:t>护岸工程</w:t>
                  </w:r>
                </w:p>
              </w:tc>
              <w:tc>
                <w:tcPr>
                  <w:tcW w:w="543" w:type="pct"/>
                  <w:tcBorders>
                    <w:tl2br w:val="nil"/>
                    <w:tr2bl w:val="nil"/>
                  </w:tcBorders>
                  <w:noWrap/>
                  <w:vAlign w:val="center"/>
                </w:tcPr>
                <w:p w14:paraId="46CA973B">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rPr>
                    <w:t>表土</w:t>
                  </w:r>
                </w:p>
              </w:tc>
              <w:tc>
                <w:tcPr>
                  <w:tcW w:w="481" w:type="pct"/>
                  <w:tcBorders>
                    <w:tl2br w:val="nil"/>
                    <w:tr2bl w:val="nil"/>
                  </w:tcBorders>
                  <w:noWrap/>
                  <w:vAlign w:val="center"/>
                </w:tcPr>
                <w:p w14:paraId="5E33A879">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lang w:val="en-US" w:eastAsia="zh-CN"/>
                    </w:rPr>
                    <w:t>0</w:t>
                  </w:r>
                </w:p>
              </w:tc>
              <w:tc>
                <w:tcPr>
                  <w:tcW w:w="425" w:type="pct"/>
                  <w:tcBorders>
                    <w:tl2br w:val="nil"/>
                    <w:tr2bl w:val="nil"/>
                  </w:tcBorders>
                  <w:noWrap/>
                  <w:vAlign w:val="center"/>
                </w:tcPr>
                <w:p w14:paraId="12151E39">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09A17252">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lang w:val="en-US" w:eastAsia="zh-CN"/>
                    </w:rPr>
                    <w:t>0</w:t>
                  </w:r>
                </w:p>
              </w:tc>
              <w:tc>
                <w:tcPr>
                  <w:tcW w:w="1495" w:type="pct"/>
                  <w:vMerge w:val="restart"/>
                  <w:tcBorders>
                    <w:tl2br w:val="nil"/>
                    <w:tr2bl w:val="nil"/>
                  </w:tcBorders>
                  <w:noWrap/>
                  <w:vAlign w:val="center"/>
                </w:tcPr>
                <w:p w14:paraId="6F0E6529">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原址回覆，用于生态修复</w:t>
                  </w:r>
                </w:p>
              </w:tc>
            </w:tr>
            <w:tr w14:paraId="4D6ED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7" w:type="pct"/>
                  <w:tcBorders>
                    <w:tl2br w:val="nil"/>
                    <w:tr2bl w:val="nil"/>
                  </w:tcBorders>
                  <w:noWrap w:val="0"/>
                  <w:vAlign w:val="center"/>
                </w:tcPr>
                <w:p w14:paraId="4A0DD73E">
                  <w:pPr>
                    <w:widowControl/>
                    <w:shd w:val="clear" w:color="auto" w:fill="auto"/>
                    <w:tabs>
                      <w:tab w:val="left" w:pos="1996"/>
                    </w:tabs>
                    <w:snapToGrid/>
                    <w:spacing w:line="24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施工生产生活区</w:t>
                  </w:r>
                </w:p>
              </w:tc>
              <w:tc>
                <w:tcPr>
                  <w:tcW w:w="543" w:type="pct"/>
                  <w:tcBorders>
                    <w:tl2br w:val="nil"/>
                    <w:tr2bl w:val="nil"/>
                  </w:tcBorders>
                  <w:noWrap/>
                  <w:vAlign w:val="center"/>
                </w:tcPr>
                <w:p w14:paraId="7E9D9DDC">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表土</w:t>
                  </w:r>
                </w:p>
              </w:tc>
              <w:tc>
                <w:tcPr>
                  <w:tcW w:w="481" w:type="pct"/>
                  <w:tcBorders>
                    <w:tl2br w:val="nil"/>
                    <w:tr2bl w:val="nil"/>
                  </w:tcBorders>
                  <w:noWrap/>
                  <w:vAlign w:val="center"/>
                </w:tcPr>
                <w:p w14:paraId="3095FECA">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2700</w:t>
                  </w:r>
                </w:p>
              </w:tc>
              <w:tc>
                <w:tcPr>
                  <w:tcW w:w="425" w:type="pct"/>
                  <w:tcBorders>
                    <w:tl2br w:val="nil"/>
                    <w:tr2bl w:val="nil"/>
                  </w:tcBorders>
                  <w:noWrap/>
                  <w:vAlign w:val="center"/>
                </w:tcPr>
                <w:p w14:paraId="77DC00E6">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4715756E">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lang w:val="en-US" w:eastAsia="zh-CN"/>
                    </w:rPr>
                    <w:t>2700</w:t>
                  </w:r>
                </w:p>
              </w:tc>
              <w:tc>
                <w:tcPr>
                  <w:tcW w:w="1495" w:type="pct"/>
                  <w:vMerge w:val="continue"/>
                  <w:tcBorders>
                    <w:tl2br w:val="nil"/>
                    <w:tr2bl w:val="nil"/>
                  </w:tcBorders>
                  <w:noWrap/>
                  <w:vAlign w:val="center"/>
                </w:tcPr>
                <w:p w14:paraId="17D7B755">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r>
            <w:tr w14:paraId="34B9C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7" w:type="pct"/>
                  <w:tcBorders>
                    <w:tl2br w:val="nil"/>
                    <w:tr2bl w:val="nil"/>
                  </w:tcBorders>
                  <w:noWrap w:val="0"/>
                  <w:vAlign w:val="center"/>
                </w:tcPr>
                <w:p w14:paraId="146645F1">
                  <w:pPr>
                    <w:widowControl/>
                    <w:shd w:val="clear" w:color="auto" w:fill="auto"/>
                    <w:tabs>
                      <w:tab w:val="left" w:pos="1996"/>
                    </w:tabs>
                    <w:snapToGrid/>
                    <w:spacing w:line="24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临时施工道路区</w:t>
                  </w:r>
                </w:p>
              </w:tc>
              <w:tc>
                <w:tcPr>
                  <w:tcW w:w="543" w:type="pct"/>
                  <w:tcBorders>
                    <w:tl2br w:val="nil"/>
                    <w:tr2bl w:val="nil"/>
                  </w:tcBorders>
                  <w:noWrap/>
                  <w:vAlign w:val="center"/>
                </w:tcPr>
                <w:p w14:paraId="6B0DD91D">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表土</w:t>
                  </w:r>
                </w:p>
              </w:tc>
              <w:tc>
                <w:tcPr>
                  <w:tcW w:w="481" w:type="pct"/>
                  <w:tcBorders>
                    <w:tl2br w:val="nil"/>
                    <w:tr2bl w:val="nil"/>
                  </w:tcBorders>
                  <w:noWrap/>
                  <w:vAlign w:val="center"/>
                </w:tcPr>
                <w:p w14:paraId="56CEC06A">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40100</w:t>
                  </w:r>
                </w:p>
              </w:tc>
              <w:tc>
                <w:tcPr>
                  <w:tcW w:w="425" w:type="pct"/>
                  <w:tcBorders>
                    <w:tl2br w:val="nil"/>
                    <w:tr2bl w:val="nil"/>
                  </w:tcBorders>
                  <w:noWrap/>
                  <w:vAlign w:val="center"/>
                </w:tcPr>
                <w:p w14:paraId="650087D4">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67416A37">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lang w:val="en-US" w:eastAsia="zh-CN"/>
                    </w:rPr>
                    <w:t>40100</w:t>
                  </w:r>
                </w:p>
              </w:tc>
              <w:tc>
                <w:tcPr>
                  <w:tcW w:w="1495" w:type="pct"/>
                  <w:vMerge w:val="continue"/>
                  <w:tcBorders>
                    <w:tl2br w:val="nil"/>
                    <w:tr2bl w:val="nil"/>
                  </w:tcBorders>
                  <w:noWrap/>
                  <w:vAlign w:val="center"/>
                </w:tcPr>
                <w:p w14:paraId="45F7F55E">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r>
            <w:tr w14:paraId="06F2E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7" w:type="pct"/>
                  <w:tcBorders>
                    <w:tl2br w:val="nil"/>
                    <w:tr2bl w:val="nil"/>
                  </w:tcBorders>
                  <w:noWrap w:val="0"/>
                  <w:vAlign w:val="center"/>
                </w:tcPr>
                <w:p w14:paraId="55FD853A">
                  <w:pPr>
                    <w:widowControl/>
                    <w:shd w:val="clear" w:color="auto" w:fill="auto"/>
                    <w:tabs>
                      <w:tab w:val="left" w:pos="1996"/>
                    </w:tabs>
                    <w:snapToGrid/>
                    <w:spacing w:line="24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临时堆土场防治区</w:t>
                  </w:r>
                </w:p>
              </w:tc>
              <w:tc>
                <w:tcPr>
                  <w:tcW w:w="543" w:type="pct"/>
                  <w:tcBorders>
                    <w:tl2br w:val="nil"/>
                    <w:tr2bl w:val="nil"/>
                  </w:tcBorders>
                  <w:noWrap w:val="0"/>
                  <w:vAlign w:val="center"/>
                </w:tcPr>
                <w:p w14:paraId="3598299A">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表土</w:t>
                  </w:r>
                </w:p>
              </w:tc>
              <w:tc>
                <w:tcPr>
                  <w:tcW w:w="481" w:type="pct"/>
                  <w:tcBorders>
                    <w:tl2br w:val="nil"/>
                    <w:tr2bl w:val="nil"/>
                  </w:tcBorders>
                  <w:noWrap/>
                  <w:vAlign w:val="center"/>
                </w:tcPr>
                <w:p w14:paraId="1C3593EB">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5900</w:t>
                  </w:r>
                </w:p>
              </w:tc>
              <w:tc>
                <w:tcPr>
                  <w:tcW w:w="425" w:type="pct"/>
                  <w:tcBorders>
                    <w:tl2br w:val="nil"/>
                    <w:tr2bl w:val="nil"/>
                  </w:tcBorders>
                  <w:noWrap/>
                  <w:vAlign w:val="center"/>
                </w:tcPr>
                <w:p w14:paraId="15EA61EC">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50496FFB">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lang w:val="en-US" w:eastAsia="zh-CN"/>
                    </w:rPr>
                    <w:t>5900</w:t>
                  </w:r>
                </w:p>
              </w:tc>
              <w:tc>
                <w:tcPr>
                  <w:tcW w:w="1495" w:type="pct"/>
                  <w:vMerge w:val="continue"/>
                  <w:tcBorders>
                    <w:tl2br w:val="nil"/>
                    <w:tr2bl w:val="nil"/>
                  </w:tcBorders>
                  <w:noWrap/>
                  <w:vAlign w:val="center"/>
                </w:tcPr>
                <w:p w14:paraId="312A709F">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r>
            <w:tr w14:paraId="5AEDB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7" w:type="pct"/>
                  <w:tcBorders>
                    <w:tl2br w:val="nil"/>
                    <w:tr2bl w:val="nil"/>
                  </w:tcBorders>
                  <w:noWrap w:val="0"/>
                  <w:vAlign w:val="center"/>
                </w:tcPr>
                <w:p w14:paraId="2A4E2EB6">
                  <w:pPr>
                    <w:widowControl/>
                    <w:shd w:val="clear" w:color="auto" w:fill="auto"/>
                    <w:tabs>
                      <w:tab w:val="left" w:pos="1996"/>
                    </w:tabs>
                    <w:snapToGrid/>
                    <w:spacing w:line="24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防洪墙施工临时防治区</w:t>
                  </w:r>
                </w:p>
              </w:tc>
              <w:tc>
                <w:tcPr>
                  <w:tcW w:w="543" w:type="pct"/>
                  <w:tcBorders>
                    <w:tl2br w:val="nil"/>
                    <w:tr2bl w:val="nil"/>
                  </w:tcBorders>
                  <w:noWrap w:val="0"/>
                  <w:vAlign w:val="center"/>
                </w:tcPr>
                <w:p w14:paraId="7D5EEE3D">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表土</w:t>
                  </w:r>
                </w:p>
              </w:tc>
              <w:tc>
                <w:tcPr>
                  <w:tcW w:w="481" w:type="pct"/>
                  <w:tcBorders>
                    <w:tl2br w:val="nil"/>
                    <w:tr2bl w:val="nil"/>
                  </w:tcBorders>
                  <w:noWrap/>
                  <w:vAlign w:val="center"/>
                </w:tcPr>
                <w:p w14:paraId="0293B8D7">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4100</w:t>
                  </w:r>
                </w:p>
              </w:tc>
              <w:tc>
                <w:tcPr>
                  <w:tcW w:w="425" w:type="pct"/>
                  <w:tcBorders>
                    <w:tl2br w:val="nil"/>
                    <w:tr2bl w:val="nil"/>
                  </w:tcBorders>
                  <w:noWrap/>
                  <w:vAlign w:val="center"/>
                </w:tcPr>
                <w:p w14:paraId="24AA80E1">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0A01150F">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lang w:val="en-US" w:eastAsia="zh-CN"/>
                    </w:rPr>
                    <w:t>4100</w:t>
                  </w:r>
                </w:p>
              </w:tc>
              <w:tc>
                <w:tcPr>
                  <w:tcW w:w="1495" w:type="pct"/>
                  <w:vMerge w:val="continue"/>
                  <w:tcBorders>
                    <w:tl2br w:val="nil"/>
                    <w:tr2bl w:val="nil"/>
                  </w:tcBorders>
                  <w:noWrap/>
                  <w:vAlign w:val="center"/>
                </w:tcPr>
                <w:p w14:paraId="3343F574">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r>
            <w:tr w14:paraId="2A2C4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7" w:type="pct"/>
                  <w:tcBorders>
                    <w:tl2br w:val="nil"/>
                    <w:tr2bl w:val="nil"/>
                  </w:tcBorders>
                  <w:noWrap w:val="0"/>
                  <w:vAlign w:val="center"/>
                </w:tcPr>
                <w:p w14:paraId="2C408D3D">
                  <w:pPr>
                    <w:widowControl/>
                    <w:shd w:val="clear" w:color="auto" w:fill="auto"/>
                    <w:tabs>
                      <w:tab w:val="left" w:pos="1996"/>
                    </w:tabs>
                    <w:snapToGrid/>
                    <w:spacing w:line="24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取土场区</w:t>
                  </w:r>
                </w:p>
              </w:tc>
              <w:tc>
                <w:tcPr>
                  <w:tcW w:w="543" w:type="pct"/>
                  <w:tcBorders>
                    <w:tl2br w:val="nil"/>
                    <w:tr2bl w:val="nil"/>
                  </w:tcBorders>
                  <w:noWrap w:val="0"/>
                  <w:vAlign w:val="center"/>
                </w:tcPr>
                <w:p w14:paraId="4F299C65">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表土</w:t>
                  </w:r>
                </w:p>
              </w:tc>
              <w:tc>
                <w:tcPr>
                  <w:tcW w:w="481" w:type="pct"/>
                  <w:tcBorders>
                    <w:tl2br w:val="nil"/>
                    <w:tr2bl w:val="nil"/>
                  </w:tcBorders>
                  <w:noWrap/>
                  <w:vAlign w:val="center"/>
                </w:tcPr>
                <w:p w14:paraId="11B44D4D">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96000</w:t>
                  </w:r>
                </w:p>
              </w:tc>
              <w:tc>
                <w:tcPr>
                  <w:tcW w:w="425" w:type="pct"/>
                  <w:tcBorders>
                    <w:tl2br w:val="nil"/>
                    <w:tr2bl w:val="nil"/>
                  </w:tcBorders>
                  <w:noWrap/>
                  <w:vAlign w:val="center"/>
                </w:tcPr>
                <w:p w14:paraId="45A459BF">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7CB2F9AC">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lang w:val="en-US" w:eastAsia="zh-CN"/>
                    </w:rPr>
                    <w:t>96000</w:t>
                  </w:r>
                </w:p>
              </w:tc>
              <w:tc>
                <w:tcPr>
                  <w:tcW w:w="1495" w:type="pct"/>
                  <w:vMerge w:val="continue"/>
                  <w:tcBorders>
                    <w:tl2br w:val="nil"/>
                    <w:tr2bl w:val="nil"/>
                  </w:tcBorders>
                  <w:noWrap/>
                  <w:vAlign w:val="center"/>
                </w:tcPr>
                <w:p w14:paraId="1F5EB147">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r>
            <w:tr w14:paraId="4A581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00" w:type="pct"/>
                  <w:gridSpan w:val="2"/>
                  <w:tcBorders>
                    <w:tl2br w:val="nil"/>
                    <w:tr2bl w:val="nil"/>
                  </w:tcBorders>
                  <w:noWrap w:val="0"/>
                  <w:vAlign w:val="center"/>
                </w:tcPr>
                <w:p w14:paraId="6BE0EC80">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合计</w:t>
                  </w:r>
                </w:p>
              </w:tc>
              <w:tc>
                <w:tcPr>
                  <w:tcW w:w="481" w:type="pct"/>
                  <w:tcBorders>
                    <w:tl2br w:val="nil"/>
                    <w:tr2bl w:val="nil"/>
                  </w:tcBorders>
                  <w:noWrap/>
                  <w:vAlign w:val="center"/>
                </w:tcPr>
                <w:p w14:paraId="21EF146A">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206491</w:t>
                  </w:r>
                </w:p>
              </w:tc>
              <w:tc>
                <w:tcPr>
                  <w:tcW w:w="425" w:type="pct"/>
                  <w:tcBorders>
                    <w:tl2br w:val="nil"/>
                    <w:tr2bl w:val="nil"/>
                  </w:tcBorders>
                  <w:noWrap/>
                  <w:vAlign w:val="center"/>
                </w:tcPr>
                <w:p w14:paraId="41E98E24">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0B28AEDF">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206491</w:t>
                  </w:r>
                </w:p>
              </w:tc>
              <w:tc>
                <w:tcPr>
                  <w:tcW w:w="1495" w:type="pct"/>
                  <w:tcBorders>
                    <w:tl2br w:val="nil"/>
                    <w:tr2bl w:val="nil"/>
                  </w:tcBorders>
                  <w:noWrap/>
                  <w:vAlign w:val="center"/>
                </w:tcPr>
                <w:p w14:paraId="5C5CE9AE">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p>
              </w:tc>
            </w:tr>
          </w:tbl>
          <w:p w14:paraId="6C4585C7">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综上可知，本项目表土平衡。</w:t>
            </w:r>
          </w:p>
          <w:p w14:paraId="29AB6A85">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2、表土量确定依据</w:t>
            </w:r>
          </w:p>
          <w:p w14:paraId="65F8BC56">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根据《黑龙江省庆安县欧根河治理工程初步设计报告》确定本项目表土量（剥离总量、可利用量等），设计报告中表土量确定严格遵循</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现场勘察为主、规范标准为辅、结合工程实际</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的原则。</w:t>
            </w:r>
          </w:p>
          <w:p w14:paraId="0A0C8257">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highlight w:val="none"/>
                <w:lang w:val="en-US" w:eastAsia="zh-CN"/>
              </w:rPr>
              <w:t>六、</w:t>
            </w:r>
            <w:r>
              <w:rPr>
                <w:rFonts w:hint="default" w:ascii="Times New Roman" w:hAnsi="Times New Roman" w:eastAsia="宋体" w:cs="Times New Roman"/>
                <w:color w:val="auto"/>
                <w:kern w:val="2"/>
                <w:sz w:val="24"/>
                <w:szCs w:val="24"/>
                <w:highlight w:val="none"/>
                <w:lang w:val="en-US" w:eastAsia="zh-CN" w:bidi="ar-SA"/>
              </w:rPr>
              <w:t>施工进度</w:t>
            </w:r>
          </w:p>
          <w:p w14:paraId="05BAA24C">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本工程的特点是线性施工，每段工程量相对不大且可分段施工，各段均可在一个枯水期施工完成</w:t>
            </w:r>
            <w:r>
              <w:rPr>
                <w:rFonts w:hint="eastAsia" w:cs="Times New Roman"/>
                <w:color w:val="auto"/>
                <w:kern w:val="2"/>
                <w:sz w:val="24"/>
                <w:szCs w:val="24"/>
                <w:highlight w:val="none"/>
                <w:lang w:val="en-US" w:eastAsia="zh-CN" w:bidi="ar-SA"/>
              </w:rPr>
              <w:t>，</w:t>
            </w:r>
            <w:r>
              <w:rPr>
                <w:rFonts w:hint="eastAsia" w:cs="Times New Roman"/>
                <w:color w:val="auto"/>
                <w:kern w:val="2"/>
                <w:sz w:val="24"/>
                <w:szCs w:val="24"/>
                <w:highlight w:val="yellow"/>
                <w:lang w:val="en-US" w:eastAsia="zh-CN" w:bidi="ar-SA"/>
              </w:rPr>
              <w:t>枯水期为10月至次年5月</w:t>
            </w:r>
            <w:r>
              <w:rPr>
                <w:rFonts w:hint="default" w:ascii="Times New Roman" w:hAnsi="Times New Roman" w:eastAsia="宋体" w:cs="Times New Roman"/>
                <w:color w:val="auto"/>
                <w:kern w:val="2"/>
                <w:sz w:val="24"/>
                <w:szCs w:val="24"/>
                <w:highlight w:val="yellow"/>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根据本工程的特点、工程规模、水文气象条件等要求，确定本工程主体工程施工期为2</w:t>
            </w:r>
            <w:r>
              <w:rPr>
                <w:rFonts w:hint="default" w:ascii="Times New Roman" w:hAnsi="Times New Roman" w:cs="Times New Roman"/>
                <w:color w:val="auto"/>
                <w:kern w:val="2"/>
                <w:sz w:val="24"/>
                <w:szCs w:val="24"/>
                <w:highlight w:val="none"/>
                <w:lang w:val="en-US" w:eastAsia="zh-CN" w:bidi="ar-SA"/>
              </w:rPr>
              <w:t>0</w:t>
            </w:r>
            <w:r>
              <w:rPr>
                <w:rFonts w:hint="default" w:ascii="Times New Roman" w:hAnsi="Times New Roman" w:eastAsia="宋体" w:cs="Times New Roman"/>
                <w:color w:val="auto"/>
                <w:kern w:val="2"/>
                <w:sz w:val="24"/>
                <w:szCs w:val="24"/>
                <w:highlight w:val="none"/>
                <w:lang w:val="en-US" w:eastAsia="zh-CN" w:bidi="ar-SA"/>
              </w:rPr>
              <w:t>个月</w:t>
            </w:r>
            <w:r>
              <w:rPr>
                <w:rFonts w:hint="default" w:ascii="Times New Roman" w:hAnsi="Times New Roman" w:cs="Times New Roman"/>
                <w:color w:val="auto"/>
                <w:kern w:val="2"/>
                <w:sz w:val="24"/>
                <w:szCs w:val="24"/>
                <w:highlight w:val="none"/>
                <w:lang w:val="en-US" w:eastAsia="zh-CN" w:bidi="ar-SA"/>
              </w:rPr>
              <w:t>，竣工整理3个月</w:t>
            </w:r>
            <w:r>
              <w:rPr>
                <w:rFonts w:hint="default" w:ascii="Times New Roman" w:hAnsi="Times New Roman" w:eastAsia="宋体" w:cs="Times New Roman"/>
                <w:color w:val="auto"/>
                <w:kern w:val="2"/>
                <w:sz w:val="24"/>
                <w:szCs w:val="24"/>
                <w:highlight w:val="none"/>
                <w:lang w:val="en-US" w:eastAsia="zh-CN" w:bidi="ar-SA"/>
              </w:rPr>
              <w:t>。既施工工期为2026年7月</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2028年6月。</w:t>
            </w:r>
          </w:p>
          <w:p w14:paraId="21040386">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p>
          <w:p w14:paraId="21044DEE">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p>
          <w:p w14:paraId="51B77ADC">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p>
          <w:p w14:paraId="43928C0E">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p>
          <w:p w14:paraId="25A22A80">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p>
          <w:p w14:paraId="6C510E95">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p>
          <w:p w14:paraId="4B9D957E">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p>
          <w:p w14:paraId="2A424D3E">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p>
          <w:p w14:paraId="6109B0FD">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表2</w:t>
            </w:r>
            <w:r>
              <w:rPr>
                <w:rFonts w:hint="default" w:ascii="Times New Roman" w:hAnsi="Times New Roman"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12  施工进度计划表</w:t>
            </w:r>
          </w:p>
          <w:bookmarkEnd w:id="17"/>
          <w:bookmarkEnd w:id="18"/>
          <w:tbl>
            <w:tblPr>
              <w:tblStyle w:val="26"/>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321"/>
              <w:gridCol w:w="321"/>
              <w:gridCol w:w="321"/>
              <w:gridCol w:w="426"/>
              <w:gridCol w:w="426"/>
              <w:gridCol w:w="428"/>
              <w:gridCol w:w="321"/>
              <w:gridCol w:w="321"/>
              <w:gridCol w:w="321"/>
              <w:gridCol w:w="321"/>
              <w:gridCol w:w="321"/>
              <w:gridCol w:w="321"/>
              <w:gridCol w:w="321"/>
              <w:gridCol w:w="321"/>
              <w:gridCol w:w="321"/>
              <w:gridCol w:w="426"/>
              <w:gridCol w:w="426"/>
              <w:gridCol w:w="431"/>
              <w:gridCol w:w="321"/>
              <w:gridCol w:w="321"/>
              <w:gridCol w:w="321"/>
              <w:gridCol w:w="321"/>
              <w:gridCol w:w="326"/>
              <w:gridCol w:w="460"/>
            </w:tblGrid>
            <w:tr w14:paraId="0B7E7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restart"/>
                  <w:tcBorders>
                    <w:tl2br w:val="nil"/>
                    <w:tr2bl w:val="nil"/>
                  </w:tcBorders>
                  <w:noWrap w:val="0"/>
                  <w:vAlign w:val="center"/>
                </w:tcPr>
                <w:p w14:paraId="19D0719F">
                  <w:pPr>
                    <w:pStyle w:val="119"/>
                    <w:bidi w:val="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工程名称</w:t>
                  </w:r>
                </w:p>
              </w:tc>
              <w:tc>
                <w:tcPr>
                  <w:tcW w:w="1258" w:type="pct"/>
                  <w:gridSpan w:val="6"/>
                  <w:tcBorders>
                    <w:tl2br w:val="nil"/>
                    <w:tr2bl w:val="nil"/>
                  </w:tcBorders>
                  <w:noWrap w:val="0"/>
                  <w:vAlign w:val="center"/>
                </w:tcPr>
                <w:p w14:paraId="5D26F59E">
                  <w:pPr>
                    <w:pStyle w:val="119"/>
                    <w:bidi w:val="0"/>
                    <w:ind w:firstLine="0" w:firstLineChars="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第一年（2026）</w:t>
                  </w:r>
                </w:p>
              </w:tc>
              <w:tc>
                <w:tcPr>
                  <w:tcW w:w="2340" w:type="pct"/>
                  <w:gridSpan w:val="12"/>
                  <w:tcBorders>
                    <w:tl2br w:val="nil"/>
                    <w:tr2bl w:val="nil"/>
                  </w:tcBorders>
                  <w:noWrap w:val="0"/>
                  <w:vAlign w:val="center"/>
                </w:tcPr>
                <w:p w14:paraId="3212A886">
                  <w:pPr>
                    <w:pStyle w:val="119"/>
                    <w:bidi w:val="0"/>
                    <w:ind w:firstLine="0" w:firstLineChars="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第二年（2027）</w:t>
                  </w:r>
                </w:p>
              </w:tc>
              <w:tc>
                <w:tcPr>
                  <w:tcW w:w="1161" w:type="pct"/>
                  <w:gridSpan w:val="6"/>
                  <w:tcBorders>
                    <w:tl2br w:val="nil"/>
                    <w:tr2bl w:val="nil"/>
                  </w:tcBorders>
                  <w:noWrap w:val="0"/>
                  <w:vAlign w:val="center"/>
                </w:tcPr>
                <w:p w14:paraId="27FBE0AF">
                  <w:pPr>
                    <w:pStyle w:val="119"/>
                    <w:bidi w:val="0"/>
                    <w:ind w:firstLine="0" w:firstLineChars="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第三年（2028）</w:t>
                  </w:r>
                </w:p>
              </w:tc>
            </w:tr>
            <w:tr w14:paraId="13BC1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tcBorders>
                    <w:tl2br w:val="nil"/>
                    <w:tr2bl w:val="nil"/>
                  </w:tcBorders>
                  <w:noWrap w:val="0"/>
                  <w:vAlign w:val="center"/>
                </w:tcPr>
                <w:p w14:paraId="2608701D">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17D57319">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7</w:t>
                  </w:r>
                </w:p>
              </w:tc>
              <w:tc>
                <w:tcPr>
                  <w:tcW w:w="180" w:type="pct"/>
                  <w:tcBorders>
                    <w:tl2br w:val="nil"/>
                    <w:tr2bl w:val="nil"/>
                  </w:tcBorders>
                  <w:noWrap w:val="0"/>
                  <w:vAlign w:val="center"/>
                </w:tcPr>
                <w:p w14:paraId="2B21E14B">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8</w:t>
                  </w:r>
                </w:p>
              </w:tc>
              <w:tc>
                <w:tcPr>
                  <w:tcW w:w="180" w:type="pct"/>
                  <w:tcBorders>
                    <w:tl2br w:val="nil"/>
                    <w:tr2bl w:val="nil"/>
                  </w:tcBorders>
                  <w:noWrap w:val="0"/>
                  <w:vAlign w:val="center"/>
                </w:tcPr>
                <w:p w14:paraId="1142598B">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9</w:t>
                  </w:r>
                </w:p>
              </w:tc>
              <w:tc>
                <w:tcPr>
                  <w:tcW w:w="239" w:type="pct"/>
                  <w:tcBorders>
                    <w:tl2br w:val="nil"/>
                    <w:tr2bl w:val="nil"/>
                  </w:tcBorders>
                  <w:noWrap w:val="0"/>
                  <w:vAlign w:val="center"/>
                </w:tcPr>
                <w:p w14:paraId="5613F08E">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10</w:t>
                  </w:r>
                </w:p>
              </w:tc>
              <w:tc>
                <w:tcPr>
                  <w:tcW w:w="239" w:type="pct"/>
                  <w:tcBorders>
                    <w:tl2br w:val="nil"/>
                    <w:tr2bl w:val="nil"/>
                  </w:tcBorders>
                  <w:noWrap w:val="0"/>
                  <w:vAlign w:val="center"/>
                </w:tcPr>
                <w:p w14:paraId="005F4DC1">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11</w:t>
                  </w:r>
                </w:p>
              </w:tc>
              <w:tc>
                <w:tcPr>
                  <w:tcW w:w="239" w:type="pct"/>
                  <w:tcBorders>
                    <w:tl2br w:val="nil"/>
                    <w:tr2bl w:val="nil"/>
                  </w:tcBorders>
                  <w:noWrap w:val="0"/>
                  <w:vAlign w:val="center"/>
                </w:tcPr>
                <w:p w14:paraId="0F3F3664">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12</w:t>
                  </w:r>
                </w:p>
              </w:tc>
              <w:tc>
                <w:tcPr>
                  <w:tcW w:w="180" w:type="pct"/>
                  <w:tcBorders>
                    <w:tl2br w:val="nil"/>
                    <w:tr2bl w:val="nil"/>
                  </w:tcBorders>
                  <w:noWrap w:val="0"/>
                  <w:vAlign w:val="center"/>
                </w:tcPr>
                <w:p w14:paraId="73A3E5BE">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w:t>
                  </w:r>
                </w:p>
              </w:tc>
              <w:tc>
                <w:tcPr>
                  <w:tcW w:w="180" w:type="pct"/>
                  <w:tcBorders>
                    <w:tl2br w:val="nil"/>
                    <w:tr2bl w:val="nil"/>
                  </w:tcBorders>
                  <w:noWrap w:val="0"/>
                  <w:vAlign w:val="center"/>
                </w:tcPr>
                <w:p w14:paraId="311A54E2">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2</w:t>
                  </w:r>
                </w:p>
              </w:tc>
              <w:tc>
                <w:tcPr>
                  <w:tcW w:w="180" w:type="pct"/>
                  <w:tcBorders>
                    <w:tl2br w:val="nil"/>
                    <w:tr2bl w:val="nil"/>
                  </w:tcBorders>
                  <w:noWrap w:val="0"/>
                  <w:vAlign w:val="center"/>
                </w:tcPr>
                <w:p w14:paraId="07ADE2D1">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3</w:t>
                  </w:r>
                </w:p>
              </w:tc>
              <w:tc>
                <w:tcPr>
                  <w:tcW w:w="180" w:type="pct"/>
                  <w:tcBorders>
                    <w:tl2br w:val="nil"/>
                    <w:tr2bl w:val="nil"/>
                  </w:tcBorders>
                  <w:noWrap w:val="0"/>
                  <w:vAlign w:val="center"/>
                </w:tcPr>
                <w:p w14:paraId="6CCF0060">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4</w:t>
                  </w:r>
                </w:p>
              </w:tc>
              <w:tc>
                <w:tcPr>
                  <w:tcW w:w="180" w:type="pct"/>
                  <w:tcBorders>
                    <w:tl2br w:val="nil"/>
                    <w:tr2bl w:val="nil"/>
                  </w:tcBorders>
                  <w:noWrap w:val="0"/>
                  <w:vAlign w:val="center"/>
                </w:tcPr>
                <w:p w14:paraId="1D94BF0E">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5</w:t>
                  </w:r>
                </w:p>
              </w:tc>
              <w:tc>
                <w:tcPr>
                  <w:tcW w:w="180" w:type="pct"/>
                  <w:tcBorders>
                    <w:tl2br w:val="nil"/>
                    <w:tr2bl w:val="nil"/>
                  </w:tcBorders>
                  <w:noWrap w:val="0"/>
                  <w:vAlign w:val="center"/>
                </w:tcPr>
                <w:p w14:paraId="01DE25E2">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6</w:t>
                  </w:r>
                </w:p>
              </w:tc>
              <w:tc>
                <w:tcPr>
                  <w:tcW w:w="180" w:type="pct"/>
                  <w:tcBorders>
                    <w:tl2br w:val="nil"/>
                    <w:tr2bl w:val="nil"/>
                  </w:tcBorders>
                  <w:noWrap w:val="0"/>
                  <w:vAlign w:val="center"/>
                </w:tcPr>
                <w:p w14:paraId="054D69CB">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7</w:t>
                  </w:r>
                </w:p>
              </w:tc>
              <w:tc>
                <w:tcPr>
                  <w:tcW w:w="180" w:type="pct"/>
                  <w:tcBorders>
                    <w:tl2br w:val="nil"/>
                    <w:tr2bl w:val="nil"/>
                  </w:tcBorders>
                  <w:noWrap w:val="0"/>
                  <w:vAlign w:val="center"/>
                </w:tcPr>
                <w:p w14:paraId="61044661">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8</w:t>
                  </w:r>
                </w:p>
              </w:tc>
              <w:tc>
                <w:tcPr>
                  <w:tcW w:w="180" w:type="pct"/>
                  <w:tcBorders>
                    <w:tl2br w:val="nil"/>
                    <w:tr2bl w:val="nil"/>
                  </w:tcBorders>
                  <w:noWrap w:val="0"/>
                  <w:vAlign w:val="center"/>
                </w:tcPr>
                <w:p w14:paraId="5427764E">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9</w:t>
                  </w:r>
                </w:p>
              </w:tc>
              <w:tc>
                <w:tcPr>
                  <w:tcW w:w="239" w:type="pct"/>
                  <w:tcBorders>
                    <w:tl2br w:val="nil"/>
                    <w:tr2bl w:val="nil"/>
                  </w:tcBorders>
                  <w:noWrap w:val="0"/>
                  <w:vAlign w:val="center"/>
                </w:tcPr>
                <w:p w14:paraId="150A10EA">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10</w:t>
                  </w:r>
                </w:p>
              </w:tc>
              <w:tc>
                <w:tcPr>
                  <w:tcW w:w="239" w:type="pct"/>
                  <w:tcBorders>
                    <w:tl2br w:val="nil"/>
                    <w:tr2bl w:val="nil"/>
                  </w:tcBorders>
                  <w:noWrap w:val="0"/>
                  <w:vAlign w:val="center"/>
                </w:tcPr>
                <w:p w14:paraId="36A61C86">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11</w:t>
                  </w:r>
                </w:p>
              </w:tc>
              <w:tc>
                <w:tcPr>
                  <w:tcW w:w="241" w:type="pct"/>
                  <w:tcBorders>
                    <w:tl2br w:val="nil"/>
                    <w:tr2bl w:val="nil"/>
                  </w:tcBorders>
                  <w:noWrap w:val="0"/>
                  <w:vAlign w:val="center"/>
                </w:tcPr>
                <w:p w14:paraId="2B9C1127">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12</w:t>
                  </w:r>
                </w:p>
              </w:tc>
              <w:tc>
                <w:tcPr>
                  <w:tcW w:w="180" w:type="pct"/>
                  <w:tcBorders>
                    <w:tl2br w:val="nil"/>
                    <w:tr2bl w:val="nil"/>
                  </w:tcBorders>
                  <w:noWrap w:val="0"/>
                  <w:vAlign w:val="center"/>
                </w:tcPr>
                <w:p w14:paraId="3C8047CB">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w:t>
                  </w:r>
                </w:p>
              </w:tc>
              <w:tc>
                <w:tcPr>
                  <w:tcW w:w="180" w:type="pct"/>
                  <w:tcBorders>
                    <w:tl2br w:val="nil"/>
                    <w:tr2bl w:val="nil"/>
                  </w:tcBorders>
                  <w:noWrap w:val="0"/>
                  <w:vAlign w:val="center"/>
                </w:tcPr>
                <w:p w14:paraId="25A88381">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2</w:t>
                  </w:r>
                </w:p>
              </w:tc>
              <w:tc>
                <w:tcPr>
                  <w:tcW w:w="180" w:type="pct"/>
                  <w:tcBorders>
                    <w:tl2br w:val="nil"/>
                    <w:tr2bl w:val="nil"/>
                  </w:tcBorders>
                  <w:noWrap w:val="0"/>
                  <w:vAlign w:val="center"/>
                </w:tcPr>
                <w:p w14:paraId="06B77E8A">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3</w:t>
                  </w:r>
                </w:p>
              </w:tc>
              <w:tc>
                <w:tcPr>
                  <w:tcW w:w="180" w:type="pct"/>
                  <w:tcBorders>
                    <w:tl2br w:val="nil"/>
                    <w:tr2bl w:val="nil"/>
                  </w:tcBorders>
                  <w:noWrap w:val="0"/>
                  <w:vAlign w:val="center"/>
                </w:tcPr>
                <w:p w14:paraId="1B4634DC">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4</w:t>
                  </w:r>
                </w:p>
              </w:tc>
              <w:tc>
                <w:tcPr>
                  <w:tcW w:w="183" w:type="pct"/>
                  <w:tcBorders>
                    <w:tl2br w:val="nil"/>
                    <w:tr2bl w:val="nil"/>
                  </w:tcBorders>
                  <w:noWrap w:val="0"/>
                  <w:vAlign w:val="center"/>
                </w:tcPr>
                <w:p w14:paraId="560F060E">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5</w:t>
                  </w:r>
                </w:p>
              </w:tc>
              <w:tc>
                <w:tcPr>
                  <w:tcW w:w="257" w:type="pct"/>
                  <w:tcBorders>
                    <w:tl2br w:val="nil"/>
                    <w:tr2bl w:val="nil"/>
                  </w:tcBorders>
                  <w:noWrap w:val="0"/>
                  <w:vAlign w:val="center"/>
                </w:tcPr>
                <w:p w14:paraId="05E9DA97">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6</w:t>
                  </w:r>
                </w:p>
              </w:tc>
            </w:tr>
            <w:tr w14:paraId="15993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tcBorders>
                    <w:tl2br w:val="nil"/>
                    <w:tr2bl w:val="nil"/>
                  </w:tcBorders>
                  <w:shd w:val="clear" w:color="auto" w:fill="auto"/>
                  <w:noWrap w:val="0"/>
                  <w:vAlign w:val="center"/>
                </w:tcPr>
                <w:p w14:paraId="76DD8C39">
                  <w:pPr>
                    <w:pStyle w:val="119"/>
                    <w:bidi w:val="0"/>
                    <w:rPr>
                      <w:rFonts w:hint="default" w:ascii="Times New Roman" w:hAnsi="Times New Roman" w:eastAsia="宋体" w:cs="Times New Roman"/>
                      <w:color w:val="auto"/>
                      <w:highlight w:val="none"/>
                      <w:lang w:val="en-US" w:eastAsia="zh-CN" w:bidi="ar-SA"/>
                    </w:rPr>
                  </w:pPr>
                  <w:r>
                    <w:rPr>
                      <w:rFonts w:hint="default" w:ascii="Times New Roman" w:hAnsi="Times New Roman" w:cs="Times New Roman"/>
                      <w:color w:val="auto"/>
                      <w:highlight w:val="none"/>
                      <w:lang w:val="en-US" w:eastAsia="zh-CN" w:bidi="ar-SA"/>
                    </w:rPr>
                    <w:t>施工</w:t>
                  </w:r>
                  <w:r>
                    <w:rPr>
                      <w:rFonts w:hint="default" w:ascii="Times New Roman" w:hAnsi="Times New Roman" w:eastAsia="宋体" w:cs="Times New Roman"/>
                      <w:color w:val="auto"/>
                      <w:highlight w:val="none"/>
                      <w:lang w:val="en-US" w:eastAsia="zh-CN" w:bidi="ar-SA"/>
                    </w:rPr>
                    <w:t>准备</w:t>
                  </w:r>
                </w:p>
              </w:tc>
              <w:tc>
                <w:tcPr>
                  <w:tcW w:w="180" w:type="pct"/>
                  <w:tcBorders>
                    <w:tl2br w:val="nil"/>
                    <w:tr2bl w:val="nil"/>
                  </w:tcBorders>
                  <w:shd w:val="clear" w:color="auto" w:fill="0070C0"/>
                  <w:noWrap w:val="0"/>
                  <w:vAlign w:val="center"/>
                </w:tcPr>
                <w:p w14:paraId="2C46F276">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7B45AC9C">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4202DC84">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0070C0"/>
                  <w:noWrap w:val="0"/>
                  <w:vAlign w:val="center"/>
                </w:tcPr>
                <w:p w14:paraId="3D767ED8">
                  <w:pPr>
                    <w:pStyle w:val="119"/>
                    <w:bidi w:val="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 xml:space="preserve">              </w:t>
                  </w:r>
                </w:p>
              </w:tc>
              <w:tc>
                <w:tcPr>
                  <w:tcW w:w="239" w:type="pct"/>
                  <w:tcBorders>
                    <w:tl2br w:val="nil"/>
                    <w:tr2bl w:val="nil"/>
                  </w:tcBorders>
                  <w:noWrap w:val="0"/>
                  <w:vAlign w:val="center"/>
                </w:tcPr>
                <w:p w14:paraId="7249283F">
                  <w:pPr>
                    <w:pStyle w:val="119"/>
                    <w:bidi w:val="0"/>
                    <w:ind w:firstLine="0" w:firstLineChars="0"/>
                    <w:rPr>
                      <w:rFonts w:hint="default" w:ascii="Times New Roman" w:hAnsi="Times New Roman" w:cs="Times New Roman"/>
                      <w:color w:val="auto"/>
                      <w:highlight w:val="none"/>
                      <w:lang w:val="en-US" w:eastAsia="zh-CN" w:bidi="ar-SA"/>
                    </w:rPr>
                  </w:pPr>
                </w:p>
              </w:tc>
              <w:tc>
                <w:tcPr>
                  <w:tcW w:w="239" w:type="pct"/>
                  <w:tcBorders>
                    <w:tl2br w:val="nil"/>
                    <w:tr2bl w:val="nil"/>
                  </w:tcBorders>
                  <w:noWrap w:val="0"/>
                  <w:vAlign w:val="center"/>
                </w:tcPr>
                <w:p w14:paraId="4A13267B">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26C1FD0B">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316A3BE5">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39B6184D">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70DD7844">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58FA241E">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677C4F0B">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59208ADC">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2C4DA7DF">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1830D143">
                  <w:pPr>
                    <w:pStyle w:val="119"/>
                    <w:bidi w:val="0"/>
                    <w:ind w:firstLine="0" w:firstLineChars="0"/>
                    <w:rPr>
                      <w:rFonts w:hint="default" w:ascii="Times New Roman" w:hAnsi="Times New Roman" w:cs="Times New Roman"/>
                      <w:color w:val="auto"/>
                      <w:highlight w:val="none"/>
                      <w:lang w:val="en-US" w:eastAsia="zh-CN" w:bidi="ar-SA"/>
                    </w:rPr>
                  </w:pPr>
                </w:p>
              </w:tc>
              <w:tc>
                <w:tcPr>
                  <w:tcW w:w="239" w:type="pct"/>
                  <w:tcBorders>
                    <w:tl2br w:val="nil"/>
                    <w:tr2bl w:val="nil"/>
                  </w:tcBorders>
                  <w:noWrap w:val="0"/>
                  <w:vAlign w:val="center"/>
                </w:tcPr>
                <w:p w14:paraId="59E96B06">
                  <w:pPr>
                    <w:pStyle w:val="119"/>
                    <w:bidi w:val="0"/>
                    <w:ind w:firstLine="0" w:firstLineChars="0"/>
                    <w:rPr>
                      <w:rFonts w:hint="default" w:ascii="Times New Roman" w:hAnsi="Times New Roman" w:cs="Times New Roman"/>
                      <w:color w:val="auto"/>
                      <w:highlight w:val="none"/>
                      <w:lang w:val="en-US" w:eastAsia="zh-CN" w:bidi="ar-SA"/>
                    </w:rPr>
                  </w:pPr>
                </w:p>
              </w:tc>
              <w:tc>
                <w:tcPr>
                  <w:tcW w:w="239" w:type="pct"/>
                  <w:tcBorders>
                    <w:tl2br w:val="nil"/>
                    <w:tr2bl w:val="nil"/>
                  </w:tcBorders>
                  <w:noWrap w:val="0"/>
                  <w:vAlign w:val="center"/>
                </w:tcPr>
                <w:p w14:paraId="4A300CD2">
                  <w:pPr>
                    <w:pStyle w:val="119"/>
                    <w:bidi w:val="0"/>
                    <w:ind w:firstLine="0" w:firstLineChars="0"/>
                    <w:rPr>
                      <w:rFonts w:hint="default" w:ascii="Times New Roman" w:hAnsi="Times New Roman" w:cs="Times New Roman"/>
                      <w:color w:val="auto"/>
                      <w:highlight w:val="none"/>
                      <w:lang w:val="en-US" w:eastAsia="zh-CN" w:bidi="ar-SA"/>
                    </w:rPr>
                  </w:pPr>
                </w:p>
              </w:tc>
              <w:tc>
                <w:tcPr>
                  <w:tcW w:w="241" w:type="pct"/>
                  <w:tcBorders>
                    <w:tl2br w:val="nil"/>
                    <w:tr2bl w:val="nil"/>
                  </w:tcBorders>
                  <w:noWrap w:val="0"/>
                  <w:vAlign w:val="center"/>
                </w:tcPr>
                <w:p w14:paraId="3311C01B">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1C2C10E2">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0C3A1C57">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01C236E4">
                  <w:pPr>
                    <w:pStyle w:val="119"/>
                    <w:bidi w:val="0"/>
                    <w:ind w:firstLine="0" w:firstLineChars="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3BA4DFA0">
                  <w:pPr>
                    <w:pStyle w:val="119"/>
                    <w:bidi w:val="0"/>
                    <w:ind w:firstLine="0" w:firstLineChars="0"/>
                    <w:rPr>
                      <w:rFonts w:hint="default" w:ascii="Times New Roman" w:hAnsi="Times New Roman" w:cs="Times New Roman"/>
                      <w:color w:val="auto"/>
                      <w:highlight w:val="none"/>
                      <w:lang w:val="en-US" w:eastAsia="zh-CN" w:bidi="ar-SA"/>
                    </w:rPr>
                  </w:pPr>
                </w:p>
              </w:tc>
              <w:tc>
                <w:tcPr>
                  <w:tcW w:w="183" w:type="pct"/>
                  <w:tcBorders>
                    <w:tl2br w:val="nil"/>
                    <w:tr2bl w:val="nil"/>
                  </w:tcBorders>
                  <w:noWrap w:val="0"/>
                  <w:vAlign w:val="center"/>
                </w:tcPr>
                <w:p w14:paraId="58705EDD">
                  <w:pPr>
                    <w:pStyle w:val="119"/>
                    <w:bidi w:val="0"/>
                    <w:ind w:firstLine="0" w:firstLineChars="0"/>
                    <w:rPr>
                      <w:rFonts w:hint="default" w:ascii="Times New Roman" w:hAnsi="Times New Roman" w:cs="Times New Roman"/>
                      <w:color w:val="auto"/>
                      <w:highlight w:val="none"/>
                      <w:lang w:val="en-US" w:eastAsia="zh-CN" w:bidi="ar-SA"/>
                    </w:rPr>
                  </w:pPr>
                </w:p>
              </w:tc>
              <w:tc>
                <w:tcPr>
                  <w:tcW w:w="257" w:type="pct"/>
                  <w:tcBorders>
                    <w:tl2br w:val="nil"/>
                    <w:tr2bl w:val="nil"/>
                  </w:tcBorders>
                  <w:noWrap w:val="0"/>
                  <w:vAlign w:val="center"/>
                </w:tcPr>
                <w:p w14:paraId="02879912">
                  <w:pPr>
                    <w:pStyle w:val="119"/>
                    <w:bidi w:val="0"/>
                    <w:ind w:firstLine="0" w:firstLineChars="0"/>
                    <w:rPr>
                      <w:rFonts w:hint="default" w:ascii="Times New Roman" w:hAnsi="Times New Roman" w:cs="Times New Roman"/>
                      <w:color w:val="auto"/>
                      <w:highlight w:val="none"/>
                      <w:lang w:val="en-US" w:eastAsia="zh-CN" w:bidi="ar-SA"/>
                    </w:rPr>
                  </w:pPr>
                </w:p>
              </w:tc>
            </w:tr>
            <w:tr w14:paraId="17962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tcBorders>
                    <w:tl2br w:val="nil"/>
                    <w:tr2bl w:val="nil"/>
                  </w:tcBorders>
                  <w:shd w:val="clear" w:color="auto" w:fill="auto"/>
                  <w:noWrap w:val="0"/>
                  <w:vAlign w:val="center"/>
                </w:tcPr>
                <w:p w14:paraId="1CDEDE1E">
                  <w:pPr>
                    <w:pStyle w:val="119"/>
                    <w:bidi w:val="0"/>
                    <w:rPr>
                      <w:rFonts w:hint="default" w:ascii="Times New Roman" w:hAnsi="Times New Roman" w:eastAsia="宋体"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堤防工程</w:t>
                  </w:r>
                </w:p>
              </w:tc>
              <w:tc>
                <w:tcPr>
                  <w:tcW w:w="180" w:type="pct"/>
                  <w:tcBorders>
                    <w:tl2br w:val="nil"/>
                    <w:tr2bl w:val="nil"/>
                  </w:tcBorders>
                  <w:shd w:val="clear" w:color="auto" w:fill="auto"/>
                  <w:noWrap w:val="0"/>
                  <w:vAlign w:val="center"/>
                </w:tcPr>
                <w:p w14:paraId="2E42936B">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00DABEFA">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450F9B3A">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auto"/>
                  <w:noWrap w:val="0"/>
                  <w:vAlign w:val="center"/>
                </w:tcPr>
                <w:p w14:paraId="23F36F96">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0070C0"/>
                  <w:noWrap w:val="0"/>
                  <w:vAlign w:val="center"/>
                </w:tcPr>
                <w:p w14:paraId="24CE1C2C">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0070C0"/>
                  <w:noWrap w:val="0"/>
                  <w:vAlign w:val="center"/>
                </w:tcPr>
                <w:p w14:paraId="62411769">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080EBF86">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1D09334D">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4B692ED9">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14506136">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2DF755A6">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04F9DFC5">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1B85FB17">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31C1890F">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666FC53C">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noWrap w:val="0"/>
                  <w:vAlign w:val="center"/>
                </w:tcPr>
                <w:p w14:paraId="5B3DA3A3">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noWrap w:val="0"/>
                  <w:vAlign w:val="center"/>
                </w:tcPr>
                <w:p w14:paraId="16F7A8B0">
                  <w:pPr>
                    <w:pStyle w:val="119"/>
                    <w:bidi w:val="0"/>
                    <w:rPr>
                      <w:rFonts w:hint="default" w:ascii="Times New Roman" w:hAnsi="Times New Roman" w:cs="Times New Roman"/>
                      <w:color w:val="auto"/>
                      <w:highlight w:val="none"/>
                      <w:lang w:val="en-US" w:eastAsia="zh-CN" w:bidi="ar-SA"/>
                    </w:rPr>
                  </w:pPr>
                </w:p>
              </w:tc>
              <w:tc>
                <w:tcPr>
                  <w:tcW w:w="241" w:type="pct"/>
                  <w:tcBorders>
                    <w:tl2br w:val="nil"/>
                    <w:tr2bl w:val="nil"/>
                  </w:tcBorders>
                  <w:noWrap w:val="0"/>
                  <w:vAlign w:val="center"/>
                </w:tcPr>
                <w:p w14:paraId="5A559497">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32C1455A">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13FF0A78">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2D769F34">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613B0904">
                  <w:pPr>
                    <w:pStyle w:val="119"/>
                    <w:bidi w:val="0"/>
                    <w:rPr>
                      <w:rFonts w:hint="default" w:ascii="Times New Roman" w:hAnsi="Times New Roman" w:cs="Times New Roman"/>
                      <w:color w:val="auto"/>
                      <w:highlight w:val="none"/>
                      <w:lang w:val="en-US" w:eastAsia="zh-CN" w:bidi="ar-SA"/>
                    </w:rPr>
                  </w:pPr>
                </w:p>
              </w:tc>
              <w:tc>
                <w:tcPr>
                  <w:tcW w:w="183" w:type="pct"/>
                  <w:tcBorders>
                    <w:tl2br w:val="nil"/>
                    <w:tr2bl w:val="nil"/>
                  </w:tcBorders>
                  <w:noWrap w:val="0"/>
                  <w:vAlign w:val="center"/>
                </w:tcPr>
                <w:p w14:paraId="273ACCA8">
                  <w:pPr>
                    <w:pStyle w:val="119"/>
                    <w:bidi w:val="0"/>
                    <w:rPr>
                      <w:rFonts w:hint="default" w:ascii="Times New Roman" w:hAnsi="Times New Roman" w:cs="Times New Roman"/>
                      <w:color w:val="auto"/>
                      <w:highlight w:val="none"/>
                      <w:lang w:val="en-US" w:eastAsia="zh-CN" w:bidi="ar-SA"/>
                    </w:rPr>
                  </w:pPr>
                </w:p>
              </w:tc>
              <w:tc>
                <w:tcPr>
                  <w:tcW w:w="257" w:type="pct"/>
                  <w:tcBorders>
                    <w:tl2br w:val="nil"/>
                    <w:tr2bl w:val="nil"/>
                  </w:tcBorders>
                  <w:noWrap w:val="0"/>
                  <w:vAlign w:val="center"/>
                </w:tcPr>
                <w:p w14:paraId="244C09A2">
                  <w:pPr>
                    <w:pStyle w:val="119"/>
                    <w:bidi w:val="0"/>
                    <w:rPr>
                      <w:rFonts w:hint="default" w:ascii="Times New Roman" w:hAnsi="Times New Roman" w:cs="Times New Roman"/>
                      <w:color w:val="auto"/>
                      <w:highlight w:val="none"/>
                      <w:lang w:val="en-US" w:eastAsia="zh-CN" w:bidi="ar-SA"/>
                    </w:rPr>
                  </w:pPr>
                </w:p>
              </w:tc>
            </w:tr>
            <w:tr w14:paraId="457E8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tcBorders>
                    <w:tl2br w:val="nil"/>
                    <w:tr2bl w:val="nil"/>
                  </w:tcBorders>
                  <w:shd w:val="clear" w:color="auto" w:fill="auto"/>
                  <w:noWrap w:val="0"/>
                  <w:vAlign w:val="center"/>
                </w:tcPr>
                <w:p w14:paraId="7F024313">
                  <w:pPr>
                    <w:pStyle w:val="119"/>
                    <w:bidi w:val="0"/>
                    <w:rPr>
                      <w:rFonts w:hint="default" w:ascii="Times New Roman" w:hAnsi="Times New Roman" w:eastAsia="宋体" w:cs="Times New Roman"/>
                      <w:color w:val="auto"/>
                      <w:highlight w:val="none"/>
                      <w:lang w:val="en-US" w:eastAsia="zh-CN" w:bidi="ar-SA"/>
                    </w:rPr>
                  </w:pPr>
                  <w:r>
                    <w:rPr>
                      <w:rFonts w:hint="default" w:ascii="Times New Roman" w:hAnsi="Times New Roman" w:eastAsia="宋体" w:cs="Times New Roman"/>
                      <w:color w:val="auto"/>
                      <w:highlight w:val="none"/>
                      <w:lang w:val="en-US" w:eastAsia="zh-CN" w:bidi="ar-SA"/>
                    </w:rPr>
                    <w:t>护岸工程</w:t>
                  </w:r>
                </w:p>
              </w:tc>
              <w:tc>
                <w:tcPr>
                  <w:tcW w:w="180" w:type="pct"/>
                  <w:tcBorders>
                    <w:tl2br w:val="nil"/>
                    <w:tr2bl w:val="nil"/>
                  </w:tcBorders>
                  <w:shd w:val="clear" w:color="auto" w:fill="auto"/>
                  <w:noWrap w:val="0"/>
                  <w:vAlign w:val="center"/>
                </w:tcPr>
                <w:p w14:paraId="1558FE9B">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09D1841A">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343F11D6">
                  <w:pPr>
                    <w:pStyle w:val="119"/>
                    <w:bidi w:val="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 xml:space="preserve">              </w:t>
                  </w:r>
                </w:p>
              </w:tc>
              <w:tc>
                <w:tcPr>
                  <w:tcW w:w="239" w:type="pct"/>
                  <w:tcBorders>
                    <w:tl2br w:val="nil"/>
                    <w:tr2bl w:val="nil"/>
                  </w:tcBorders>
                  <w:shd w:val="clear" w:color="auto" w:fill="auto"/>
                  <w:noWrap w:val="0"/>
                  <w:vAlign w:val="center"/>
                </w:tcPr>
                <w:p w14:paraId="3AA576EA">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auto"/>
                  <w:noWrap w:val="0"/>
                  <w:vAlign w:val="center"/>
                </w:tcPr>
                <w:p w14:paraId="00D83649">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auto"/>
                  <w:noWrap w:val="0"/>
                  <w:vAlign w:val="center"/>
                </w:tcPr>
                <w:p w14:paraId="50CB70C7">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095D9E3F">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11122E36">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4BCFFC06">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1A100D55">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32B7DB45">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2DACE21F">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6F77F382">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6030D98F">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07E9B4AF">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0070C0"/>
                  <w:noWrap w:val="0"/>
                  <w:vAlign w:val="center"/>
                </w:tcPr>
                <w:p w14:paraId="73ED233D">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0070C0"/>
                  <w:noWrap w:val="0"/>
                  <w:vAlign w:val="center"/>
                </w:tcPr>
                <w:p w14:paraId="47221D4D">
                  <w:pPr>
                    <w:pStyle w:val="119"/>
                    <w:bidi w:val="0"/>
                    <w:rPr>
                      <w:rFonts w:hint="default" w:ascii="Times New Roman" w:hAnsi="Times New Roman" w:cs="Times New Roman"/>
                      <w:color w:val="auto"/>
                      <w:highlight w:val="none"/>
                      <w:lang w:val="en-US" w:eastAsia="zh-CN" w:bidi="ar-SA"/>
                    </w:rPr>
                  </w:pPr>
                </w:p>
              </w:tc>
              <w:tc>
                <w:tcPr>
                  <w:tcW w:w="241" w:type="pct"/>
                  <w:tcBorders>
                    <w:tl2br w:val="nil"/>
                    <w:tr2bl w:val="nil"/>
                  </w:tcBorders>
                  <w:shd w:val="clear" w:color="auto" w:fill="0070C0"/>
                  <w:noWrap w:val="0"/>
                  <w:vAlign w:val="center"/>
                </w:tcPr>
                <w:p w14:paraId="4362CD9C">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68120E02">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58E7843E">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65CCAB87">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4456B77C">
                  <w:pPr>
                    <w:pStyle w:val="119"/>
                    <w:bidi w:val="0"/>
                    <w:rPr>
                      <w:rFonts w:hint="default" w:ascii="Times New Roman" w:hAnsi="Times New Roman" w:cs="Times New Roman"/>
                      <w:color w:val="auto"/>
                      <w:highlight w:val="none"/>
                      <w:lang w:val="en-US" w:eastAsia="zh-CN" w:bidi="ar-SA"/>
                    </w:rPr>
                  </w:pPr>
                </w:p>
              </w:tc>
              <w:tc>
                <w:tcPr>
                  <w:tcW w:w="183" w:type="pct"/>
                  <w:tcBorders>
                    <w:tl2br w:val="nil"/>
                    <w:tr2bl w:val="nil"/>
                  </w:tcBorders>
                  <w:noWrap w:val="0"/>
                  <w:vAlign w:val="center"/>
                </w:tcPr>
                <w:p w14:paraId="16542442">
                  <w:pPr>
                    <w:pStyle w:val="119"/>
                    <w:bidi w:val="0"/>
                    <w:rPr>
                      <w:rFonts w:hint="default" w:ascii="Times New Roman" w:hAnsi="Times New Roman" w:cs="Times New Roman"/>
                      <w:color w:val="auto"/>
                      <w:highlight w:val="none"/>
                      <w:lang w:val="en-US" w:eastAsia="zh-CN" w:bidi="ar-SA"/>
                    </w:rPr>
                  </w:pPr>
                </w:p>
              </w:tc>
              <w:tc>
                <w:tcPr>
                  <w:tcW w:w="257" w:type="pct"/>
                  <w:tcBorders>
                    <w:tl2br w:val="nil"/>
                    <w:tr2bl w:val="nil"/>
                  </w:tcBorders>
                  <w:noWrap w:val="0"/>
                  <w:vAlign w:val="center"/>
                </w:tcPr>
                <w:p w14:paraId="6BF75496">
                  <w:pPr>
                    <w:pStyle w:val="119"/>
                    <w:bidi w:val="0"/>
                    <w:rPr>
                      <w:rFonts w:hint="default" w:ascii="Times New Roman" w:hAnsi="Times New Roman" w:cs="Times New Roman"/>
                      <w:color w:val="auto"/>
                      <w:highlight w:val="none"/>
                      <w:lang w:val="en-US" w:eastAsia="zh-CN" w:bidi="ar-SA"/>
                    </w:rPr>
                  </w:pPr>
                </w:p>
              </w:tc>
            </w:tr>
            <w:tr w14:paraId="5809D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tcBorders>
                    <w:tl2br w:val="nil"/>
                    <w:tr2bl w:val="nil"/>
                  </w:tcBorders>
                  <w:shd w:val="clear" w:color="auto" w:fill="auto"/>
                  <w:noWrap w:val="0"/>
                  <w:vAlign w:val="center"/>
                </w:tcPr>
                <w:p w14:paraId="2C670C79">
                  <w:pPr>
                    <w:pStyle w:val="119"/>
                    <w:bidi w:val="0"/>
                    <w:rPr>
                      <w:rFonts w:hint="default" w:ascii="Times New Roman" w:hAnsi="Times New Roman" w:eastAsia="宋体" w:cs="Times New Roman"/>
                      <w:color w:val="auto"/>
                      <w:highlight w:val="none"/>
                      <w:lang w:val="en-US" w:eastAsia="zh-CN" w:bidi="ar-SA"/>
                    </w:rPr>
                  </w:pPr>
                  <w:r>
                    <w:rPr>
                      <w:rFonts w:hint="default" w:ascii="Times New Roman" w:hAnsi="Times New Roman" w:cs="Times New Roman"/>
                      <w:color w:val="auto"/>
                      <w:highlight w:val="none"/>
                      <w:lang w:val="en-US" w:eastAsia="zh-CN" w:bidi="ar-SA"/>
                    </w:rPr>
                    <w:t>穿堤建筑物工程</w:t>
                  </w:r>
                </w:p>
              </w:tc>
              <w:tc>
                <w:tcPr>
                  <w:tcW w:w="180" w:type="pct"/>
                  <w:tcBorders>
                    <w:tl2br w:val="nil"/>
                    <w:tr2bl w:val="nil"/>
                  </w:tcBorders>
                  <w:shd w:val="clear" w:color="auto" w:fill="auto"/>
                  <w:noWrap w:val="0"/>
                  <w:vAlign w:val="center"/>
                </w:tcPr>
                <w:p w14:paraId="0796FE60">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7A6BD2F0">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3D7BF033">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auto"/>
                  <w:noWrap w:val="0"/>
                  <w:vAlign w:val="center"/>
                </w:tcPr>
                <w:p w14:paraId="4CD00204">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0070C0"/>
                  <w:noWrap w:val="0"/>
                  <w:vAlign w:val="center"/>
                </w:tcPr>
                <w:p w14:paraId="6B91A075">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0070C0"/>
                  <w:noWrap w:val="0"/>
                  <w:vAlign w:val="center"/>
                </w:tcPr>
                <w:p w14:paraId="3F97DF9A">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493C6A77">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4047C6AE">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50E8F547">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22AA386F">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7941C91B">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6DAD8725">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4D898394">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5338A5F5">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31781CD3">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noWrap w:val="0"/>
                  <w:vAlign w:val="center"/>
                </w:tcPr>
                <w:p w14:paraId="0FBE9795">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noWrap w:val="0"/>
                  <w:vAlign w:val="center"/>
                </w:tcPr>
                <w:p w14:paraId="67E1460C">
                  <w:pPr>
                    <w:pStyle w:val="119"/>
                    <w:bidi w:val="0"/>
                    <w:rPr>
                      <w:rFonts w:hint="default" w:ascii="Times New Roman" w:hAnsi="Times New Roman" w:cs="Times New Roman"/>
                      <w:color w:val="auto"/>
                      <w:highlight w:val="none"/>
                      <w:lang w:val="en-US" w:eastAsia="zh-CN" w:bidi="ar-SA"/>
                    </w:rPr>
                  </w:pPr>
                </w:p>
              </w:tc>
              <w:tc>
                <w:tcPr>
                  <w:tcW w:w="241" w:type="pct"/>
                  <w:tcBorders>
                    <w:tl2br w:val="nil"/>
                    <w:tr2bl w:val="nil"/>
                  </w:tcBorders>
                  <w:noWrap w:val="0"/>
                  <w:vAlign w:val="center"/>
                </w:tcPr>
                <w:p w14:paraId="06F8675F">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1400ED9A">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52137EE1">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4653AB93">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noWrap w:val="0"/>
                  <w:vAlign w:val="center"/>
                </w:tcPr>
                <w:p w14:paraId="2B63095A">
                  <w:pPr>
                    <w:pStyle w:val="119"/>
                    <w:bidi w:val="0"/>
                    <w:rPr>
                      <w:rFonts w:hint="default" w:ascii="Times New Roman" w:hAnsi="Times New Roman" w:cs="Times New Roman"/>
                      <w:color w:val="auto"/>
                      <w:highlight w:val="none"/>
                      <w:lang w:val="en-US" w:eastAsia="zh-CN" w:bidi="ar-SA"/>
                    </w:rPr>
                  </w:pPr>
                </w:p>
              </w:tc>
              <w:tc>
                <w:tcPr>
                  <w:tcW w:w="183" w:type="pct"/>
                  <w:tcBorders>
                    <w:tl2br w:val="nil"/>
                    <w:tr2bl w:val="nil"/>
                  </w:tcBorders>
                  <w:noWrap w:val="0"/>
                  <w:vAlign w:val="center"/>
                </w:tcPr>
                <w:p w14:paraId="6E3F6187">
                  <w:pPr>
                    <w:pStyle w:val="119"/>
                    <w:bidi w:val="0"/>
                    <w:rPr>
                      <w:rFonts w:hint="default" w:ascii="Times New Roman" w:hAnsi="Times New Roman" w:cs="Times New Roman"/>
                      <w:color w:val="auto"/>
                      <w:highlight w:val="none"/>
                      <w:lang w:val="en-US" w:eastAsia="zh-CN" w:bidi="ar-SA"/>
                    </w:rPr>
                  </w:pPr>
                </w:p>
              </w:tc>
              <w:tc>
                <w:tcPr>
                  <w:tcW w:w="257" w:type="pct"/>
                  <w:tcBorders>
                    <w:tl2br w:val="nil"/>
                    <w:tr2bl w:val="nil"/>
                  </w:tcBorders>
                  <w:noWrap w:val="0"/>
                  <w:vAlign w:val="center"/>
                </w:tcPr>
                <w:p w14:paraId="3FF6A434">
                  <w:pPr>
                    <w:pStyle w:val="119"/>
                    <w:bidi w:val="0"/>
                    <w:rPr>
                      <w:rFonts w:hint="default" w:ascii="Times New Roman" w:hAnsi="Times New Roman" w:cs="Times New Roman"/>
                      <w:color w:val="auto"/>
                      <w:highlight w:val="none"/>
                      <w:lang w:val="en-US" w:eastAsia="zh-CN" w:bidi="ar-SA"/>
                    </w:rPr>
                  </w:pPr>
                </w:p>
              </w:tc>
            </w:tr>
            <w:tr w14:paraId="4F7FA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tcBorders>
                    <w:tl2br w:val="nil"/>
                    <w:tr2bl w:val="nil"/>
                  </w:tcBorders>
                  <w:shd w:val="clear" w:color="auto" w:fill="auto"/>
                  <w:noWrap w:val="0"/>
                  <w:vAlign w:val="center"/>
                </w:tcPr>
                <w:p w14:paraId="69DAE52D">
                  <w:pPr>
                    <w:pStyle w:val="119"/>
                    <w:bidi w:val="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竣工整理</w:t>
                  </w:r>
                </w:p>
              </w:tc>
              <w:tc>
                <w:tcPr>
                  <w:tcW w:w="180" w:type="pct"/>
                  <w:tcBorders>
                    <w:tl2br w:val="nil"/>
                    <w:tr2bl w:val="nil"/>
                  </w:tcBorders>
                  <w:shd w:val="clear" w:color="auto" w:fill="auto"/>
                  <w:noWrap w:val="0"/>
                  <w:vAlign w:val="center"/>
                </w:tcPr>
                <w:p w14:paraId="448A6464">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75628708">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0B1677EF">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auto"/>
                  <w:noWrap w:val="0"/>
                  <w:vAlign w:val="center"/>
                </w:tcPr>
                <w:p w14:paraId="498DACB4">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auto"/>
                  <w:noWrap w:val="0"/>
                  <w:vAlign w:val="center"/>
                </w:tcPr>
                <w:p w14:paraId="77AD74AD">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auto"/>
                  <w:noWrap w:val="0"/>
                  <w:vAlign w:val="center"/>
                </w:tcPr>
                <w:p w14:paraId="2FB5BEDA">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0B018F98">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43C6E1D7">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0EFDC994">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77E7A619">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64269345">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2BE49CC3">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6F9071BC">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426046C8">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0A863047">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auto"/>
                  <w:noWrap w:val="0"/>
                  <w:vAlign w:val="center"/>
                </w:tcPr>
                <w:p w14:paraId="40DA4D9D">
                  <w:pPr>
                    <w:pStyle w:val="119"/>
                    <w:bidi w:val="0"/>
                    <w:rPr>
                      <w:rFonts w:hint="default" w:ascii="Times New Roman" w:hAnsi="Times New Roman" w:cs="Times New Roman"/>
                      <w:color w:val="auto"/>
                      <w:highlight w:val="none"/>
                      <w:lang w:val="en-US" w:eastAsia="zh-CN" w:bidi="ar-SA"/>
                    </w:rPr>
                  </w:pPr>
                </w:p>
              </w:tc>
              <w:tc>
                <w:tcPr>
                  <w:tcW w:w="239" w:type="pct"/>
                  <w:tcBorders>
                    <w:tl2br w:val="nil"/>
                    <w:tr2bl w:val="nil"/>
                  </w:tcBorders>
                  <w:shd w:val="clear" w:color="auto" w:fill="auto"/>
                  <w:noWrap w:val="0"/>
                  <w:vAlign w:val="center"/>
                </w:tcPr>
                <w:p w14:paraId="30690C6A">
                  <w:pPr>
                    <w:pStyle w:val="119"/>
                    <w:bidi w:val="0"/>
                    <w:rPr>
                      <w:rFonts w:hint="default" w:ascii="Times New Roman" w:hAnsi="Times New Roman" w:cs="Times New Roman"/>
                      <w:color w:val="auto"/>
                      <w:highlight w:val="none"/>
                      <w:lang w:val="en-US" w:eastAsia="zh-CN" w:bidi="ar-SA"/>
                    </w:rPr>
                  </w:pPr>
                </w:p>
              </w:tc>
              <w:tc>
                <w:tcPr>
                  <w:tcW w:w="241" w:type="pct"/>
                  <w:tcBorders>
                    <w:tl2br w:val="nil"/>
                    <w:tr2bl w:val="nil"/>
                  </w:tcBorders>
                  <w:shd w:val="clear" w:color="auto" w:fill="auto"/>
                  <w:noWrap w:val="0"/>
                  <w:vAlign w:val="center"/>
                </w:tcPr>
                <w:p w14:paraId="0E994BCF">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424A5993">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065E434B">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auto"/>
                  <w:noWrap w:val="0"/>
                  <w:vAlign w:val="center"/>
                </w:tcPr>
                <w:p w14:paraId="030D226A">
                  <w:pPr>
                    <w:pStyle w:val="119"/>
                    <w:bidi w:val="0"/>
                    <w:rPr>
                      <w:rFonts w:hint="default" w:ascii="Times New Roman" w:hAnsi="Times New Roman" w:cs="Times New Roman"/>
                      <w:color w:val="auto"/>
                      <w:highlight w:val="none"/>
                      <w:lang w:val="en-US" w:eastAsia="zh-CN" w:bidi="ar-SA"/>
                    </w:rPr>
                  </w:pPr>
                </w:p>
              </w:tc>
              <w:tc>
                <w:tcPr>
                  <w:tcW w:w="180" w:type="pct"/>
                  <w:tcBorders>
                    <w:tl2br w:val="nil"/>
                    <w:tr2bl w:val="nil"/>
                  </w:tcBorders>
                  <w:shd w:val="clear" w:color="auto" w:fill="0070C0"/>
                  <w:noWrap w:val="0"/>
                  <w:vAlign w:val="center"/>
                </w:tcPr>
                <w:p w14:paraId="53D6BF14">
                  <w:pPr>
                    <w:pStyle w:val="119"/>
                    <w:bidi w:val="0"/>
                    <w:rPr>
                      <w:rFonts w:hint="default" w:ascii="Times New Roman" w:hAnsi="Times New Roman" w:cs="Times New Roman"/>
                      <w:color w:val="auto"/>
                      <w:highlight w:val="none"/>
                      <w:lang w:val="en-US" w:eastAsia="zh-CN" w:bidi="ar-SA"/>
                    </w:rPr>
                  </w:pPr>
                </w:p>
              </w:tc>
              <w:tc>
                <w:tcPr>
                  <w:tcW w:w="183" w:type="pct"/>
                  <w:tcBorders>
                    <w:tl2br w:val="nil"/>
                    <w:tr2bl w:val="nil"/>
                  </w:tcBorders>
                  <w:shd w:val="clear" w:color="auto" w:fill="0070C0"/>
                  <w:noWrap w:val="0"/>
                  <w:vAlign w:val="center"/>
                </w:tcPr>
                <w:p w14:paraId="7ED3EE14">
                  <w:pPr>
                    <w:pStyle w:val="119"/>
                    <w:bidi w:val="0"/>
                    <w:rPr>
                      <w:rFonts w:hint="default" w:ascii="Times New Roman" w:hAnsi="Times New Roman" w:cs="Times New Roman"/>
                      <w:color w:val="auto"/>
                      <w:highlight w:val="none"/>
                      <w:lang w:val="en-US" w:eastAsia="zh-CN" w:bidi="ar-SA"/>
                    </w:rPr>
                  </w:pPr>
                </w:p>
              </w:tc>
              <w:tc>
                <w:tcPr>
                  <w:tcW w:w="257" w:type="pct"/>
                  <w:tcBorders>
                    <w:tl2br w:val="nil"/>
                    <w:tr2bl w:val="nil"/>
                  </w:tcBorders>
                  <w:shd w:val="clear" w:color="auto" w:fill="0070C0"/>
                  <w:noWrap w:val="0"/>
                  <w:vAlign w:val="center"/>
                </w:tcPr>
                <w:p w14:paraId="28B60EF3">
                  <w:pPr>
                    <w:pStyle w:val="119"/>
                    <w:bidi w:val="0"/>
                    <w:rPr>
                      <w:rFonts w:hint="default" w:ascii="Times New Roman" w:hAnsi="Times New Roman" w:cs="Times New Roman"/>
                      <w:color w:val="auto"/>
                      <w:highlight w:val="none"/>
                      <w:lang w:val="en-US" w:eastAsia="zh-CN" w:bidi="ar-SA"/>
                    </w:rPr>
                  </w:pPr>
                </w:p>
              </w:tc>
            </w:tr>
          </w:tbl>
          <w:p w14:paraId="3536B754">
            <w:pPr>
              <w:pStyle w:val="84"/>
              <w:ind w:left="0" w:leftChars="0" w:firstLine="0" w:firstLineChars="0"/>
              <w:jc w:val="center"/>
              <w:rPr>
                <w:rFonts w:hint="default" w:ascii="Times New Roman" w:hAnsi="Times New Roman" w:cs="Times New Roman"/>
                <w:color w:val="auto"/>
                <w:kern w:val="0"/>
                <w:highlight w:val="none"/>
                <w:lang w:val="en-US" w:eastAsia="zh-CN"/>
              </w:rPr>
            </w:pPr>
          </w:p>
          <w:p w14:paraId="2C348068">
            <w:pPr>
              <w:pStyle w:val="84"/>
              <w:ind w:left="0" w:leftChars="0" w:firstLine="0" w:firstLineChars="0"/>
              <w:jc w:val="center"/>
              <w:rPr>
                <w:rFonts w:hint="default" w:ascii="Times New Roman" w:hAnsi="Times New Roman" w:cs="Times New Roman"/>
                <w:color w:val="auto"/>
                <w:kern w:val="0"/>
                <w:highlight w:val="none"/>
                <w:lang w:val="en-US" w:eastAsia="zh-CN"/>
              </w:rPr>
            </w:pPr>
          </w:p>
        </w:tc>
      </w:tr>
      <w:tr w14:paraId="791F29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 w:hRule="atLeast"/>
          <w:jc w:val="center"/>
        </w:trPr>
        <w:tc>
          <w:tcPr>
            <w:tcW w:w="237" w:type="pct"/>
            <w:noWrap w:val="0"/>
            <w:vAlign w:val="center"/>
          </w:tcPr>
          <w:p w14:paraId="0D272CF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其他</w:t>
            </w:r>
          </w:p>
        </w:tc>
        <w:tc>
          <w:tcPr>
            <w:tcW w:w="4762" w:type="pct"/>
            <w:noWrap w:val="0"/>
            <w:vAlign w:val="center"/>
          </w:tcPr>
          <w:p w14:paraId="28D0970E">
            <w:pPr>
              <w:adjustRightInd w:val="0"/>
              <w:snapToGrid w:val="0"/>
              <w:ind w:firstLine="48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p w14:paraId="449935A6">
            <w:pPr>
              <w:adjustRightInd w:val="0"/>
              <w:snapToGrid w:val="0"/>
              <w:ind w:firstLine="480"/>
              <w:jc w:val="center"/>
              <w:rPr>
                <w:rFonts w:hint="default" w:ascii="Times New Roman" w:hAnsi="Times New Roman" w:cs="Times New Roman"/>
                <w:color w:val="auto"/>
                <w:kern w:val="0"/>
                <w:sz w:val="24"/>
                <w:highlight w:val="none"/>
              </w:rPr>
            </w:pPr>
          </w:p>
          <w:p w14:paraId="2AA9D0C4">
            <w:pPr>
              <w:adjustRightInd w:val="0"/>
              <w:snapToGrid w:val="0"/>
              <w:ind w:firstLine="480"/>
              <w:jc w:val="center"/>
              <w:rPr>
                <w:rFonts w:hint="default" w:ascii="Times New Roman" w:hAnsi="Times New Roman" w:cs="Times New Roman"/>
                <w:color w:val="auto"/>
                <w:kern w:val="0"/>
                <w:sz w:val="24"/>
                <w:highlight w:val="none"/>
              </w:rPr>
            </w:pPr>
          </w:p>
          <w:p w14:paraId="6A0F1083">
            <w:pPr>
              <w:adjustRightInd w:val="0"/>
              <w:snapToGrid w:val="0"/>
              <w:ind w:firstLine="480"/>
              <w:jc w:val="center"/>
              <w:rPr>
                <w:rFonts w:hint="default" w:ascii="Times New Roman" w:hAnsi="Times New Roman" w:cs="Times New Roman"/>
                <w:color w:val="auto"/>
                <w:kern w:val="0"/>
                <w:sz w:val="24"/>
                <w:highlight w:val="none"/>
              </w:rPr>
            </w:pPr>
          </w:p>
          <w:p w14:paraId="3DD5FEFC">
            <w:pPr>
              <w:adjustRightInd w:val="0"/>
              <w:snapToGrid w:val="0"/>
              <w:ind w:firstLine="480"/>
              <w:jc w:val="center"/>
              <w:rPr>
                <w:rFonts w:hint="default" w:ascii="Times New Roman" w:hAnsi="Times New Roman" w:cs="Times New Roman"/>
                <w:color w:val="auto"/>
                <w:kern w:val="0"/>
                <w:sz w:val="24"/>
                <w:highlight w:val="none"/>
              </w:rPr>
            </w:pPr>
          </w:p>
          <w:p w14:paraId="282EE5C5">
            <w:pPr>
              <w:adjustRightInd w:val="0"/>
              <w:snapToGrid w:val="0"/>
              <w:ind w:firstLine="480"/>
              <w:jc w:val="center"/>
              <w:rPr>
                <w:rFonts w:hint="default" w:ascii="Times New Roman" w:hAnsi="Times New Roman" w:cs="Times New Roman"/>
                <w:color w:val="auto"/>
                <w:kern w:val="0"/>
                <w:sz w:val="24"/>
                <w:highlight w:val="none"/>
              </w:rPr>
            </w:pPr>
          </w:p>
          <w:p w14:paraId="52E540A9">
            <w:pPr>
              <w:adjustRightInd w:val="0"/>
              <w:snapToGrid w:val="0"/>
              <w:ind w:firstLine="480"/>
              <w:jc w:val="center"/>
              <w:rPr>
                <w:rFonts w:hint="default" w:ascii="Times New Roman" w:hAnsi="Times New Roman" w:cs="Times New Roman"/>
                <w:color w:val="auto"/>
                <w:kern w:val="0"/>
                <w:sz w:val="24"/>
                <w:highlight w:val="none"/>
              </w:rPr>
            </w:pPr>
          </w:p>
          <w:p w14:paraId="18B950EB">
            <w:pPr>
              <w:adjustRightInd w:val="0"/>
              <w:snapToGrid w:val="0"/>
              <w:ind w:firstLine="480"/>
              <w:jc w:val="center"/>
              <w:rPr>
                <w:rFonts w:hint="default" w:ascii="Times New Roman" w:hAnsi="Times New Roman" w:cs="Times New Roman"/>
                <w:color w:val="auto"/>
                <w:kern w:val="0"/>
                <w:sz w:val="24"/>
                <w:highlight w:val="none"/>
              </w:rPr>
            </w:pPr>
          </w:p>
        </w:tc>
      </w:tr>
    </w:tbl>
    <w:p w14:paraId="5A1F385A">
      <w:pPr>
        <w:pStyle w:val="2"/>
        <w:bidi w:val="0"/>
        <w:jc w:val="center"/>
        <w:rPr>
          <w:rFonts w:hint="default" w:ascii="Times New Roman" w:hAnsi="Times New Roman" w:cs="Times New Roman"/>
          <w:b/>
          <w:snapToGrid w:val="0"/>
          <w:color w:val="auto"/>
          <w:szCs w:val="30"/>
          <w:highlight w:val="none"/>
        </w:rPr>
      </w:pPr>
      <w:r>
        <w:rPr>
          <w:rFonts w:hint="default" w:ascii="Times New Roman" w:hAnsi="Times New Roman" w:cs="Times New Roman"/>
          <w:b/>
          <w:bCs/>
          <w:color w:val="auto"/>
          <w:highlight w:val="none"/>
        </w:rPr>
        <w:br w:type="page"/>
      </w:r>
      <w:bookmarkStart w:id="19" w:name="_Toc25901"/>
      <w:bookmarkStart w:id="20" w:name="_Toc405"/>
      <w:r>
        <w:rPr>
          <w:rFonts w:hint="default" w:ascii="Times New Roman" w:hAnsi="Times New Roman" w:eastAsia="宋体" w:cs="Times New Roman"/>
          <w:highlight w:val="none"/>
        </w:rPr>
        <w:t>三、生态环境现状、保护目标及评价标准</w:t>
      </w:r>
      <w:bookmarkEnd w:id="19"/>
      <w:bookmarkEnd w:id="20"/>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7873"/>
      </w:tblGrid>
      <w:tr w14:paraId="61873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381" w:type="pct"/>
            <w:noWrap w:val="0"/>
            <w:vAlign w:val="center"/>
          </w:tcPr>
          <w:p w14:paraId="31AB0D9A">
            <w:pPr>
              <w:adjustRightInd w:val="0"/>
              <w:snapToGrid w:val="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生态环境现状</w:t>
            </w:r>
          </w:p>
        </w:tc>
        <w:tc>
          <w:tcPr>
            <w:tcW w:w="4619" w:type="pct"/>
            <w:noWrap w:val="0"/>
            <w:vAlign w:val="top"/>
          </w:tcPr>
          <w:p w14:paraId="1289C9F7">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bCs/>
                <w:color w:val="auto"/>
                <w:highlight w:val="none"/>
              </w:rPr>
            </w:pPr>
            <w:bookmarkStart w:id="21" w:name="_Toc26546"/>
            <w:bookmarkStart w:id="22" w:name="_Toc69831435"/>
            <w:bookmarkStart w:id="23" w:name="_Toc78298341"/>
            <w:bookmarkStart w:id="24" w:name="_Toc82120791"/>
            <w:bookmarkStart w:id="25" w:name="_Toc68691105"/>
            <w:r>
              <w:rPr>
                <w:rFonts w:hint="default" w:ascii="Times New Roman" w:hAnsi="Times New Roman" w:cs="Times New Roman"/>
                <w:b/>
                <w:bCs/>
                <w:color w:val="auto"/>
                <w:highlight w:val="none"/>
                <w:lang w:val="en-US" w:eastAsia="zh-CN"/>
              </w:rPr>
              <w:t>一、</w:t>
            </w:r>
            <w:r>
              <w:rPr>
                <w:rFonts w:hint="default" w:ascii="Times New Roman" w:hAnsi="Times New Roman" w:cs="Times New Roman"/>
                <w:b/>
                <w:bCs/>
                <w:color w:val="auto"/>
                <w:highlight w:val="none"/>
              </w:rPr>
              <w:t>生态环境现状</w:t>
            </w:r>
            <w:bookmarkEnd w:id="21"/>
            <w:bookmarkEnd w:id="22"/>
            <w:bookmarkEnd w:id="23"/>
            <w:bookmarkEnd w:id="24"/>
            <w:bookmarkEnd w:id="25"/>
          </w:p>
          <w:p w14:paraId="096BCF7F">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yellow"/>
              </w:rPr>
            </w:pPr>
            <w:r>
              <w:rPr>
                <w:rFonts w:hint="default" w:ascii="Times New Roman" w:hAnsi="Times New Roman" w:cs="Times New Roman"/>
                <w:color w:val="auto"/>
                <w:highlight w:val="yellow"/>
              </w:rPr>
              <w:t>本次新增永久征收土地面积为875.63亩，其中耕地290.85亩（其中旱地147.09亩，水田143.75亩）、林地172.36亩（其中乔木林地70.45亩，灌木林地71.66亩，其他林地30.25亩）、草地44.74亩（其中沼泽草地16.91亩，其他草地27.83亩）、住宅用地0.47亩（其中农村宅基地0.47亩）、交通运输用地15.68亩（农村道路15.68亩）、水域及水利设施用地319.15亩（其中河流水面54.76亩，坑塘水面205.60亩，养殖坑塘0.97亩，内陆滩涂6.01亩，沟渠51.80亩）、其他土地32.39亩（设施农用地32.39亩）。本工程不涉及占用永久基本农田。</w:t>
            </w:r>
          </w:p>
          <w:p w14:paraId="6D57516C">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yellow"/>
              </w:rPr>
            </w:pPr>
            <w:r>
              <w:rPr>
                <w:rFonts w:hint="default" w:ascii="Times New Roman" w:hAnsi="Times New Roman" w:cs="Times New Roman"/>
                <w:color w:val="auto"/>
                <w:highlight w:val="yellow"/>
              </w:rPr>
              <w:t>临时占地面积983.55亩，其中临时占用耕地263.55亩，水利及水域设施用地720亩。不占用基本农田。</w:t>
            </w:r>
          </w:p>
          <w:p w14:paraId="191F0E0B">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1、黑龙江省主体功能区规划</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本工程所在的</w:t>
            </w:r>
            <w:r>
              <w:rPr>
                <w:rFonts w:hint="default" w:ascii="Times New Roman" w:hAnsi="Times New Roman" w:cs="Times New Roman"/>
                <w:color w:val="auto"/>
                <w:highlight w:val="none"/>
                <w:lang w:eastAsia="zh-CN"/>
              </w:rPr>
              <w:t>绥化市</w:t>
            </w:r>
            <w:r>
              <w:rPr>
                <w:rFonts w:hint="default" w:ascii="Times New Roman" w:hAnsi="Times New Roman" w:cs="Times New Roman"/>
                <w:color w:val="auto"/>
                <w:highlight w:val="none"/>
              </w:rPr>
              <w:t>属于限制开发区域（国家重点生态功能区）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绥化市庆安县位于点状开发城镇。</w:t>
            </w:r>
          </w:p>
          <w:p w14:paraId="0E5EDE9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（1）大小兴安岭森林生态功能区</w:t>
            </w:r>
          </w:p>
          <w:p w14:paraId="2C3A611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发展方向</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水源涵养型生态功能区。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p>
          <w:p w14:paraId="7A32304E">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点状开发城镇</w:t>
            </w:r>
          </w:p>
          <w:p w14:paraId="0219D554">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功能定位:重要的农林产业和产品生产加工基地，县域经济和特色优势产业发展的核心区，承接周边农业人口和林业生态人口转移的集中区。</w:t>
            </w:r>
          </w:p>
          <w:p w14:paraId="7327CD60">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生态建设:加强生态建设，积极保护耕地、森林、草原、水域和湿地，强化西部地区的防风固沙功能，加强水资源保护治理及林木采伐中的水土流失预防和治理。</w:t>
            </w:r>
          </w:p>
          <w:p w14:paraId="232367B7">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产业发展方向与布局:因地制宜发展优势特色产业，科学有序进行矿产资源的点状开发并做好生态恢复，重点发展特色种植养殖、观光休闲农业、农林牧产品生产和精深加工、绿色食品、北药等产业，积极发展生态旅游等服务业。</w:t>
            </w:r>
          </w:p>
          <w:p w14:paraId="2DED3172">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公共服务和基础设施建设:改善教育、医疗、文化等设施条件，健全公共服务体系，提高公共服务供给能力和水平。加强城镇道路、供排水、垃圾污水处理基础设施建设，优化生产生活环境。</w:t>
            </w:r>
          </w:p>
          <w:p w14:paraId="35BA749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本工程的建设任务通过新建护岸</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堤防和穿堤建筑物</w:t>
            </w:r>
            <w:r>
              <w:rPr>
                <w:rFonts w:hint="default" w:ascii="Times New Roman" w:hAnsi="Times New Roman" w:cs="Times New Roman"/>
                <w:color w:val="auto"/>
                <w:highlight w:val="none"/>
              </w:rPr>
              <w:t>，保障沿岸村屯及耕地防洪安全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在通过本报告提出的一系列生态保护措施和污染防治措施后，对生态环境的影响可降到最低</w:t>
            </w:r>
            <w:r>
              <w:rPr>
                <w:rFonts w:hint="default" w:ascii="Times New Roman" w:hAnsi="Times New Roman" w:cs="Times New Roman"/>
                <w:color w:val="auto"/>
                <w:highlight w:val="none"/>
              </w:rPr>
              <w:t>。因此，本工程的建设与《黑龙江省主体功能区规划》相符合。</w:t>
            </w:r>
          </w:p>
          <w:p w14:paraId="1A296B4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2、黑龙江省生态功能区划</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项目位于Ⅰ—5—2—1呼兰河流域上游水源涵养与土壤保持生态功能区。</w:t>
            </w:r>
          </w:p>
          <w:p w14:paraId="113B5850">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Ⅰ—5—2—1呼兰河流域上游水源涵养与土壤保持生态功能区</w:t>
            </w:r>
            <w:r>
              <w:rPr>
                <w:rFonts w:hint="default" w:ascii="Times New Roman" w:hAnsi="Times New Roman" w:cs="Times New Roman"/>
                <w:color w:val="auto"/>
                <w:highlight w:val="none"/>
                <w:lang w:eastAsia="zh-CN"/>
              </w:rPr>
              <w:t>:</w:t>
            </w:r>
          </w:p>
          <w:p w14:paraId="37A6840E">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所在区域面积:庆安县、绥棱县、海伦市和铁力市大部分组成，面积9274平方公里。</w:t>
            </w:r>
          </w:p>
          <w:p w14:paraId="78D85AB3">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主要环境问题</w:t>
            </w:r>
            <w:r>
              <w:rPr>
                <w:rFonts w:hint="default" w:ascii="Times New Roman" w:hAnsi="Times New Roman" w:cs="Times New Roman"/>
                <w:color w:val="auto"/>
                <w:highlight w:val="none"/>
                <w:lang w:eastAsia="zh-CN"/>
              </w:rPr>
              <w:t>:低洼地雨季易发生涝灾，旱季易形成旱灾；砂质土壤蓄水能力差，水土流失严重。</w:t>
            </w:r>
          </w:p>
          <w:p w14:paraId="6F5C4CED">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生态环境敏感性:土壤侵蚀、土地沙漠化和水污染中度敏感地区分布较为广泛。</w:t>
            </w:r>
          </w:p>
          <w:p w14:paraId="4E0C4B5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主要生态系统服务功能:水源涵养及土壤保持。</w:t>
            </w:r>
          </w:p>
          <w:p w14:paraId="700D89B5">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保护措施与发展方向:增加森林覆盖率，增强水源涵养能力，调节土壤结构，发展生态农业，防止水土流失。</w:t>
            </w:r>
          </w:p>
          <w:p w14:paraId="6E925367">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本项目临时占地将在工程施工结束后恢复，对项目区生态系统和生物多样性基本无影响，且本工程的建设任务通过新建护岸</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堤防和穿堤建筑物</w:t>
            </w:r>
            <w:r>
              <w:rPr>
                <w:rFonts w:hint="default" w:ascii="Times New Roman" w:hAnsi="Times New Roman" w:cs="Times New Roman"/>
                <w:color w:val="auto"/>
                <w:highlight w:val="none"/>
              </w:rPr>
              <w:t>，保障沿岸村屯及耕地防洪安全。</w:t>
            </w:r>
            <w:r>
              <w:rPr>
                <w:rFonts w:hint="default" w:ascii="Times New Roman" w:hAnsi="Times New Roman" w:cs="Times New Roman"/>
                <w:color w:val="auto"/>
                <w:highlight w:val="none"/>
                <w:lang w:val="en-US" w:eastAsia="zh-CN"/>
              </w:rPr>
              <w:t>项目采取了一系列的生态保护措施和污染防治措施，施工场地周边设置围挡，洒水车定期洒水降尘，废水处理后回用不外排，固废处置率100%，</w:t>
            </w:r>
            <w:r>
              <w:rPr>
                <w:rFonts w:hint="default" w:ascii="Times New Roman" w:hAnsi="Times New Roman" w:cs="Times New Roman"/>
                <w:color w:val="auto"/>
                <w:highlight w:val="none"/>
              </w:rPr>
              <w:t>因此，本工程的建设</w:t>
            </w:r>
            <w:r>
              <w:rPr>
                <w:rFonts w:hint="default" w:ascii="Times New Roman" w:hAnsi="Times New Roman" w:cs="Times New Roman"/>
                <w:color w:val="auto"/>
                <w:highlight w:val="none"/>
                <w:lang w:val="en-US" w:eastAsia="zh-CN"/>
              </w:rPr>
              <w:t>对周边的环境影响可接受，</w:t>
            </w:r>
            <w:r>
              <w:rPr>
                <w:rFonts w:hint="default" w:ascii="Times New Roman" w:hAnsi="Times New Roman" w:cs="Times New Roman"/>
                <w:color w:val="auto"/>
                <w:highlight w:val="none"/>
              </w:rPr>
              <w:t>与《黑龙江省生态功能区划》保护措施与发展方向相符合。</w:t>
            </w:r>
          </w:p>
          <w:p w14:paraId="43F23D59">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3、水土流失现状</w:t>
            </w:r>
            <w:r>
              <w:rPr>
                <w:rFonts w:hint="default" w:ascii="Times New Roman" w:hAnsi="Times New Roman" w:cs="Times New Roman"/>
                <w:color w:val="auto"/>
                <w:highlight w:val="none"/>
                <w:lang w:eastAsia="zh-CN"/>
              </w:rPr>
              <w:t>:</w:t>
            </w:r>
            <w:r>
              <w:rPr>
                <w:rFonts w:hint="default" w:ascii="Times New Roman" w:hAnsi="Times New Roman" w:cs="Times New Roman"/>
                <w:color w:val="auto"/>
                <w:kern w:val="0"/>
                <w:highlight w:val="none"/>
              </w:rPr>
              <w:t>根据黑龙江省水土保持规划（2015</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2030年），水土保持区划为</w:t>
            </w:r>
            <w:r>
              <w:rPr>
                <w:rFonts w:hint="default" w:ascii="Times New Roman" w:hAnsi="Times New Roman" w:cs="Times New Roman"/>
                <w:color w:val="auto"/>
                <w:kern w:val="0"/>
                <w:highlight w:val="none"/>
                <w:lang w:val="en-US" w:eastAsia="zh-CN"/>
              </w:rPr>
              <w:t>东北漫川土壤保持区</w:t>
            </w:r>
            <w:r>
              <w:rPr>
                <w:rFonts w:hint="default" w:ascii="Times New Roman" w:hAnsi="Times New Roman" w:cs="Times New Roman"/>
                <w:color w:val="auto"/>
                <w:kern w:val="0"/>
                <w:highlight w:val="none"/>
              </w:rPr>
              <w:t>（I</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3—1t</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黑龙江省区划名称为中部漫川漫岗土壤保持区，</w:t>
            </w:r>
            <w:r>
              <w:rPr>
                <w:rFonts w:hint="default" w:ascii="Times New Roman" w:hAnsi="Times New Roman" w:cs="Times New Roman"/>
                <w:color w:val="auto"/>
                <w:kern w:val="0"/>
                <w:highlight w:val="none"/>
              </w:rPr>
              <w:t>水土保持两区划分为东北漫川漫岗水土流失重点治理区（国家级）。</w:t>
            </w:r>
            <w:bookmarkStart w:id="26" w:name="_Toc68691106"/>
            <w:bookmarkStart w:id="27" w:name="_Toc78298342"/>
            <w:bookmarkStart w:id="28" w:name="_Toc82120792"/>
            <w:bookmarkStart w:id="29" w:name="_Toc5427"/>
            <w:bookmarkStart w:id="30" w:name="_Toc69831436"/>
          </w:p>
          <w:p w14:paraId="06CD1DFF">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eastAsia="zh-CN"/>
              </w:rPr>
              <w:t>根据全国第一次水利普查成果及《黑龙江省水土保持规划（2015—2030）》，绥化市水土流失总面积为7434.47km²，占全市总土地面积的 21.33%。侵蚀类型全部为水蚀。按侵蚀强度划分:轻度侵蚀4658.46km²，占总水力侵蚀面积的62.64%，中度侵蚀1432.95km²，占总水力侵蚀面积的19.27%，强烈侵蚀970.59km²，占总水力侵蚀面积的13.05%，极强烈侵蚀333.95km²，占总水力侵蚀面积的4.49%，剧烈侵蚀41.52km²，占总水力侵蚀面积的0.56%。</w:t>
            </w:r>
          </w:p>
          <w:p w14:paraId="7463DD63">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szCs w:val="28"/>
                <w:highlight w:val="none"/>
              </w:rPr>
            </w:pPr>
            <w:r>
              <w:rPr>
                <w:rFonts w:hint="default" w:ascii="Times New Roman" w:hAnsi="Times New Roman" w:cs="Times New Roman"/>
                <w:color w:val="auto"/>
                <w:szCs w:val="28"/>
                <w:highlight w:val="none"/>
              </w:rPr>
              <w:t>4、陆生生态环境现状</w:t>
            </w:r>
            <w:bookmarkEnd w:id="26"/>
            <w:bookmarkEnd w:id="27"/>
            <w:bookmarkEnd w:id="28"/>
            <w:bookmarkEnd w:id="29"/>
            <w:bookmarkEnd w:id="30"/>
          </w:p>
          <w:p w14:paraId="2BF3FF7D">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根据现场勘察结果，本次工程沿线两侧300米范围内植被类型为</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草甸</w:t>
            </w:r>
            <w:r>
              <w:rPr>
                <w:rFonts w:hint="default" w:ascii="Times New Roman" w:hAnsi="Times New Roman" w:cs="Times New Roman"/>
                <w:color w:val="auto"/>
                <w:highlight w:val="none"/>
                <w:lang w:val="en-US" w:eastAsia="zh-CN"/>
              </w:rPr>
              <w:t>和栽培植被</w:t>
            </w:r>
            <w:r>
              <w:rPr>
                <w:rFonts w:hint="default" w:ascii="Times New Roman" w:hAnsi="Times New Roman" w:cs="Times New Roman"/>
                <w:color w:val="auto"/>
                <w:highlight w:val="none"/>
              </w:rPr>
              <w:t>。草甸植被主要分布在沿岸滩地，有大针苔草、水稗草、大叶章、狗尾巴草、羊草、星星草等；</w:t>
            </w:r>
            <w:r>
              <w:rPr>
                <w:rFonts w:hint="default" w:ascii="Times New Roman" w:hAnsi="Times New Roman" w:cs="Times New Roman"/>
                <w:color w:val="auto"/>
                <w:highlight w:val="none"/>
                <w:lang w:val="en-US" w:eastAsia="zh-CN"/>
              </w:rPr>
              <w:t>林地植被</w:t>
            </w:r>
            <w:r>
              <w:rPr>
                <w:rFonts w:hint="default" w:ascii="Times New Roman" w:hAnsi="Times New Roman" w:cs="Times New Roman"/>
                <w:color w:val="auto"/>
                <w:highlight w:val="none"/>
              </w:rPr>
              <w:t>主要为兴安落叶松、蒙古栎、白桦、山杨等。</w:t>
            </w:r>
            <w:r>
              <w:rPr>
                <w:rFonts w:hint="default" w:ascii="Times New Roman" w:hAnsi="Times New Roman" w:cs="Times New Roman"/>
                <w:color w:val="auto"/>
                <w:highlight w:val="none"/>
                <w:lang w:val="en-US" w:eastAsia="zh-CN"/>
              </w:rPr>
              <w:t>栽培植被主要为水稻和玉米。</w:t>
            </w:r>
          </w:p>
          <w:p w14:paraId="51FA8EA8">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工程沿线两侧300米范围内的土地利用类型为草地、农田、林地、交通运输用地、水域等。草地和林地分布较广泛，农田主要为旱田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少量水田</w:t>
            </w:r>
            <w:r>
              <w:rPr>
                <w:rFonts w:hint="default" w:ascii="Times New Roman" w:hAnsi="Times New Roman" w:cs="Times New Roman"/>
                <w:color w:val="auto"/>
                <w:highlight w:val="none"/>
              </w:rPr>
              <w:t>，水域为</w:t>
            </w:r>
            <w:r>
              <w:rPr>
                <w:rFonts w:hint="default" w:ascii="Times New Roman" w:hAnsi="Times New Roman" w:cs="Times New Roman"/>
                <w:color w:val="auto"/>
                <w:highlight w:val="none"/>
                <w:lang w:eastAsia="zh-CN"/>
              </w:rPr>
              <w:t>欧根河</w:t>
            </w:r>
            <w:r>
              <w:rPr>
                <w:rFonts w:hint="default" w:ascii="Times New Roman" w:hAnsi="Times New Roman" w:cs="Times New Roman"/>
                <w:color w:val="auto"/>
                <w:highlight w:val="none"/>
              </w:rPr>
              <w:t>水面，交通运输用地主要为</w:t>
            </w:r>
            <w:r>
              <w:rPr>
                <w:rFonts w:hint="default" w:ascii="Times New Roman" w:hAnsi="Times New Roman" w:cs="Times New Roman"/>
                <w:color w:val="auto"/>
                <w:highlight w:val="none"/>
                <w:lang w:val="en-US" w:eastAsia="zh-CN"/>
              </w:rPr>
              <w:t>农村</w:t>
            </w:r>
            <w:r>
              <w:rPr>
                <w:rFonts w:hint="default" w:ascii="Times New Roman" w:hAnsi="Times New Roman" w:cs="Times New Roman"/>
                <w:color w:val="auto"/>
                <w:highlight w:val="none"/>
              </w:rPr>
              <w:t>道路。</w:t>
            </w:r>
          </w:p>
          <w:p w14:paraId="6ECF37D4">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工程沿线区域无大型野生动物，两栖类有青蛙、癞蛤蟆、林蛙、金钱蛙、田鸡等，工程沿岸鸟类以农田生境种类为主，常见有鹌鹑、野鸡、喜鹊、树麻雀、家燕等，这些鸟类大部分是与人为</w:t>
            </w:r>
            <w:r>
              <w:rPr>
                <w:rFonts w:hint="default" w:ascii="Times New Roman" w:hAnsi="Times New Roman" w:cs="Times New Roman"/>
                <w:color w:val="auto"/>
                <w:highlight w:val="none"/>
                <w:lang w:val="en-US" w:eastAsia="zh-CN"/>
              </w:rPr>
              <w:t>活动</w:t>
            </w:r>
            <w:r>
              <w:rPr>
                <w:rFonts w:hint="default" w:ascii="Times New Roman" w:hAnsi="Times New Roman" w:cs="Times New Roman"/>
                <w:color w:val="auto"/>
                <w:highlight w:val="none"/>
              </w:rPr>
              <w:t>伴生种类。兽类主要为小型兽类，农田仓鼠和森林花鼠；爬行类主要为蜥蜴和蛇类。工程所在区域无珍稀濒危野生动、植物资源。</w:t>
            </w:r>
          </w:p>
          <w:p w14:paraId="7F23FBD0">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根据施工征地范围土地利用现状统计，工程临时用地总面积</w:t>
            </w:r>
            <w:r>
              <w:rPr>
                <w:rFonts w:hint="default" w:ascii="Times New Roman" w:hAnsi="Times New Roman" w:cs="Times New Roman"/>
                <w:bCs/>
                <w:color w:val="auto"/>
                <w:highlight w:val="none"/>
                <w:lang w:val="en-US" w:eastAsia="zh-CN"/>
              </w:rPr>
              <w:t>983.55</w:t>
            </w:r>
            <w:r>
              <w:rPr>
                <w:rFonts w:hint="default" w:ascii="Times New Roman" w:hAnsi="Times New Roman" w:cs="Times New Roman"/>
                <w:bCs/>
                <w:color w:val="auto"/>
                <w:highlight w:val="none"/>
                <w:lang w:eastAsia="zh-CN"/>
              </w:rPr>
              <w:t>亩</w:t>
            </w:r>
            <w:r>
              <w:rPr>
                <w:rFonts w:hint="default" w:ascii="Times New Roman" w:hAnsi="Times New Roman" w:cs="Times New Roman"/>
                <w:bCs/>
                <w:color w:val="auto"/>
                <w:highlight w:val="none"/>
              </w:rPr>
              <w:t>，其中</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耕地</w:t>
            </w:r>
            <w:r>
              <w:rPr>
                <w:rFonts w:hint="default" w:ascii="Times New Roman" w:hAnsi="Times New Roman" w:cs="Times New Roman"/>
                <w:bCs/>
                <w:color w:val="auto"/>
                <w:highlight w:val="none"/>
                <w:lang w:val="en-US" w:eastAsia="zh-CN"/>
              </w:rPr>
              <w:t>263.55</w:t>
            </w:r>
            <w:r>
              <w:rPr>
                <w:rFonts w:hint="default" w:ascii="Times New Roman" w:hAnsi="Times New Roman" w:cs="Times New Roman"/>
                <w:bCs/>
                <w:color w:val="auto"/>
                <w:highlight w:val="none"/>
              </w:rPr>
              <w:t>亩，</w:t>
            </w:r>
            <w:r>
              <w:rPr>
                <w:rFonts w:hint="default" w:ascii="Times New Roman" w:hAnsi="Times New Roman" w:cs="Times New Roman"/>
                <w:bCs/>
                <w:color w:val="auto"/>
                <w:highlight w:val="none"/>
                <w:lang w:val="en-US" w:eastAsia="zh-CN"/>
              </w:rPr>
              <w:t>水利及水域设施用地720</w:t>
            </w:r>
            <w:r>
              <w:rPr>
                <w:rFonts w:hint="default" w:ascii="Times New Roman" w:hAnsi="Times New Roman" w:cs="Times New Roman"/>
                <w:bCs/>
                <w:color w:val="auto"/>
                <w:highlight w:val="none"/>
              </w:rPr>
              <w:t>亩</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不涉及永久</w:t>
            </w:r>
            <w:r>
              <w:rPr>
                <w:rFonts w:hint="default" w:ascii="Times New Roman" w:hAnsi="Times New Roman" w:cs="Times New Roman"/>
                <w:bCs/>
                <w:color w:val="auto"/>
                <w:highlight w:val="none"/>
                <w:lang w:val="en-US" w:eastAsia="zh-CN"/>
              </w:rPr>
              <w:t>占用</w:t>
            </w:r>
            <w:r>
              <w:rPr>
                <w:rFonts w:hint="default" w:ascii="Times New Roman" w:hAnsi="Times New Roman" w:cs="Times New Roman"/>
                <w:bCs/>
                <w:color w:val="auto"/>
                <w:highlight w:val="none"/>
              </w:rPr>
              <w:t>基本农田</w:t>
            </w:r>
            <w:r>
              <w:rPr>
                <w:rFonts w:hint="default" w:ascii="Times New Roman" w:hAnsi="Times New Roman" w:cs="Times New Roman"/>
                <w:bCs/>
                <w:color w:val="auto"/>
                <w:highlight w:val="none"/>
                <w:lang w:eastAsia="zh-CN"/>
              </w:rPr>
              <w:t>，不涉及国家和地方公益林，不涉及国家和地方重点保护野生植物</w:t>
            </w:r>
            <w:r>
              <w:rPr>
                <w:rFonts w:hint="default" w:ascii="Times New Roman" w:hAnsi="Times New Roman" w:cs="Times New Roman"/>
                <w:bCs/>
                <w:color w:val="auto"/>
                <w:highlight w:val="none"/>
              </w:rPr>
              <w:t>。</w:t>
            </w:r>
            <w:bookmarkStart w:id="31" w:name="_Toc68691107"/>
            <w:bookmarkStart w:id="32" w:name="_Toc69831437"/>
            <w:bookmarkStart w:id="33" w:name="_Toc82120793"/>
            <w:bookmarkStart w:id="34" w:name="_Toc20114"/>
            <w:bookmarkStart w:id="35" w:name="_Toc78298343"/>
          </w:p>
          <w:p w14:paraId="256D61E3">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highlight w:val="yellow"/>
              </w:rPr>
            </w:pPr>
            <w:r>
              <w:rPr>
                <w:rFonts w:hint="eastAsia" w:cs="Times New Roman"/>
                <w:bCs/>
                <w:color w:val="auto"/>
                <w:highlight w:val="yellow"/>
                <w:lang w:val="en-US" w:eastAsia="zh-CN"/>
              </w:rPr>
              <w:t>根据黑龙江省林业和草原局发布《关于更新</w:t>
            </w:r>
            <w:r>
              <w:rPr>
                <w:rFonts w:hint="default" w:ascii="Times New Roman" w:hAnsi="Times New Roman" w:cs="Times New Roman"/>
                <w:bCs/>
                <w:color w:val="auto"/>
                <w:highlight w:val="yellow"/>
              </w:rPr>
              <w:t>黑龙江省湿地名录</w:t>
            </w:r>
            <w:r>
              <w:rPr>
                <w:rFonts w:hint="eastAsia" w:cs="Times New Roman"/>
                <w:bCs/>
                <w:color w:val="auto"/>
                <w:highlight w:val="yellow"/>
                <w:lang w:val="en-US" w:eastAsia="zh-CN"/>
              </w:rPr>
              <w:t>数据的公告</w:t>
            </w:r>
            <w:r>
              <w:rPr>
                <w:rFonts w:hint="default" w:ascii="Times New Roman" w:hAnsi="Times New Roman" w:cs="Times New Roman"/>
                <w:bCs/>
                <w:color w:val="auto"/>
                <w:highlight w:val="yellow"/>
              </w:rPr>
              <w:t>》</w:t>
            </w:r>
            <w:r>
              <w:rPr>
                <w:rFonts w:hint="eastAsia" w:cs="Times New Roman"/>
                <w:bCs/>
                <w:color w:val="auto"/>
                <w:highlight w:val="yellow"/>
                <w:lang w:eastAsia="zh-CN"/>
              </w:rPr>
              <w:t>，</w:t>
            </w:r>
            <w:r>
              <w:rPr>
                <w:rFonts w:hint="eastAsia" w:cs="Times New Roman"/>
                <w:bCs/>
                <w:color w:val="auto"/>
                <w:highlight w:val="yellow"/>
                <w:lang w:val="en-US" w:eastAsia="zh-CN"/>
              </w:rPr>
              <w:t>对照黑龙江省湿地名录数据</w:t>
            </w:r>
            <w:r>
              <w:rPr>
                <w:rFonts w:hint="default" w:ascii="Times New Roman" w:hAnsi="Times New Roman" w:cs="Times New Roman"/>
                <w:bCs/>
                <w:color w:val="auto"/>
                <w:highlight w:val="yellow"/>
              </w:rPr>
              <w:t>，</w:t>
            </w:r>
            <w:r>
              <w:rPr>
                <w:rFonts w:hint="eastAsia" w:cs="Times New Roman"/>
                <w:bCs/>
                <w:color w:val="auto"/>
                <w:highlight w:val="yellow"/>
                <w:lang w:val="en-US" w:eastAsia="zh-CN"/>
              </w:rPr>
              <w:t>评价范围不涉及湿地</w:t>
            </w:r>
            <w:r>
              <w:rPr>
                <w:rFonts w:hint="default" w:ascii="Times New Roman" w:hAnsi="Times New Roman" w:cs="Times New Roman"/>
                <w:bCs/>
                <w:color w:val="auto"/>
                <w:highlight w:val="yellow"/>
              </w:rPr>
              <w:t>。</w:t>
            </w:r>
          </w:p>
          <w:p w14:paraId="3C98D77E">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5、水生生态环境现状</w:t>
            </w:r>
            <w:bookmarkEnd w:id="31"/>
            <w:bookmarkEnd w:id="32"/>
            <w:bookmarkEnd w:id="33"/>
            <w:bookmarkEnd w:id="34"/>
            <w:bookmarkEnd w:id="35"/>
          </w:p>
          <w:p w14:paraId="7497833D">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bookmarkStart w:id="36" w:name="_Toc82120794"/>
            <w:bookmarkStart w:id="37" w:name="_Toc4719"/>
            <w:bookmarkStart w:id="38" w:name="_Toc78298345"/>
            <w:bookmarkStart w:id="39" w:name="_Toc68691108"/>
            <w:bookmarkStart w:id="40" w:name="_Toc69831438"/>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鱼类</w:t>
            </w:r>
          </w:p>
          <w:p w14:paraId="0537802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根据调查</w:t>
            </w:r>
            <w:r>
              <w:rPr>
                <w:rFonts w:hint="default" w:ascii="Times New Roman" w:hAnsi="Times New Roman" w:cs="Times New Roman"/>
                <w:color w:val="auto"/>
                <w:highlight w:val="none"/>
                <w:lang w:val="en-US" w:eastAsia="zh-CN"/>
              </w:rPr>
              <w:t>相关资料</w:t>
            </w:r>
            <w:r>
              <w:rPr>
                <w:rFonts w:hint="default" w:ascii="Times New Roman" w:hAnsi="Times New Roman" w:cs="Times New Roman"/>
                <w:color w:val="auto"/>
                <w:highlight w:val="none"/>
                <w:lang w:eastAsia="zh-CN"/>
              </w:rPr>
              <w:t>和实地走访，</w:t>
            </w:r>
            <w:r>
              <w:rPr>
                <w:rFonts w:hint="default" w:ascii="Times New Roman" w:hAnsi="Times New Roman" w:cs="Times New Roman"/>
                <w:color w:val="auto"/>
                <w:highlight w:val="none"/>
                <w:lang w:val="en-US" w:eastAsia="zh-CN"/>
              </w:rPr>
              <w:t>欧根河</w:t>
            </w:r>
            <w:r>
              <w:rPr>
                <w:rFonts w:hint="default" w:ascii="Times New Roman" w:hAnsi="Times New Roman" w:cs="Times New Roman"/>
                <w:color w:val="auto"/>
                <w:highlight w:val="none"/>
                <w:lang w:eastAsia="zh-CN"/>
              </w:rPr>
              <w:t>的鱼类主要为小型低值经济鱼类，有鲫鱼，鲶，</w:t>
            </w:r>
            <w:r>
              <w:rPr>
                <w:rFonts w:hint="default" w:ascii="Times New Roman" w:hAnsi="Times New Roman" w:cs="Times New Roman"/>
                <w:color w:val="auto"/>
                <w:highlight w:val="none"/>
                <w:lang w:val="en-US" w:eastAsia="zh-CN"/>
              </w:rPr>
              <w:t>鲤鱼</w:t>
            </w:r>
            <w:r>
              <w:rPr>
                <w:rFonts w:hint="default" w:ascii="Times New Roman" w:hAnsi="Times New Roman" w:cs="Times New Roman"/>
                <w:color w:val="auto"/>
                <w:highlight w:val="none"/>
                <w:lang w:eastAsia="zh-CN"/>
              </w:rPr>
              <w:t>等。其中鲫鱼、</w:t>
            </w:r>
            <w:r>
              <w:rPr>
                <w:rFonts w:hint="default" w:ascii="Times New Roman" w:hAnsi="Times New Roman" w:cs="Times New Roman"/>
                <w:color w:val="auto"/>
                <w:highlight w:val="none"/>
                <w:lang w:val="en-US" w:eastAsia="zh-CN"/>
              </w:rPr>
              <w:t>鲤鱼</w:t>
            </w:r>
            <w:r>
              <w:rPr>
                <w:rFonts w:hint="default" w:ascii="Times New Roman" w:hAnsi="Times New Roman" w:cs="Times New Roman"/>
                <w:color w:val="auto"/>
                <w:highlight w:val="none"/>
                <w:lang w:eastAsia="zh-CN"/>
              </w:rPr>
              <w:t>为群落优势种，因适应能力强、繁殖周期短，在河段内分布广泛。</w:t>
            </w:r>
          </w:p>
          <w:p w14:paraId="761078F5">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eastAsia" w:cs="Times New Roman"/>
                <w:color w:val="auto"/>
                <w:highlight w:val="yellow"/>
                <w:lang w:val="en-US" w:eastAsia="zh-CN"/>
              </w:rPr>
              <w:t>本项目无涉水工程，</w:t>
            </w:r>
            <w:r>
              <w:rPr>
                <w:rFonts w:hint="default" w:ascii="Times New Roman" w:hAnsi="Times New Roman" w:cs="Times New Roman"/>
                <w:color w:val="auto"/>
                <w:highlight w:val="yellow"/>
                <w:lang w:eastAsia="zh-CN"/>
              </w:rPr>
              <w:t>不涉及重要珍稀水生生物栖息地，亦不涉及重要珍稀鱼类的产卵场、索饵场、越冬场（统称"三场"）及洄游通道</w:t>
            </w:r>
            <w:r>
              <w:rPr>
                <w:rFonts w:hint="default" w:ascii="Times New Roman" w:hAnsi="Times New Roman" w:cs="Times New Roman"/>
                <w:color w:val="auto"/>
                <w:highlight w:val="none"/>
                <w:lang w:eastAsia="zh-CN"/>
              </w:rPr>
              <w:t>，河段水生生态系统以普通经济鱼类及常见浮游生物为主体，无水生生物保护敏感对象。</w:t>
            </w:r>
          </w:p>
          <w:p w14:paraId="2E3EE97B">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（2）浮游生物</w:t>
            </w:r>
          </w:p>
          <w:p w14:paraId="5C337FA7">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河段内浮游植物主要以绿藻门、硅藻门为优势类群。浮游动物主要为铃虫、球形砂壳虫等原生动物为绝对优势类群，偶见轮虫，无枝角类、桡足类优势种。底栖动物以环节动物、节肢动物为优势类群。</w:t>
            </w:r>
          </w:p>
          <w:p w14:paraId="6AAA10BF">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（3）水生植物</w:t>
            </w:r>
          </w:p>
          <w:p w14:paraId="64C953F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受水流冲刷严重地段，水土流失导致岸坡出现坍塌，坡面陡峭，冲刷段几乎无植物生长。</w:t>
            </w:r>
            <w:r>
              <w:rPr>
                <w:rFonts w:hint="default" w:ascii="Times New Roman" w:hAnsi="Times New Roman" w:cs="Times New Roman"/>
                <w:color w:val="auto"/>
                <w:highlight w:val="yellow"/>
                <w:lang w:eastAsia="zh-CN"/>
              </w:rPr>
              <w:t>本项目无涉水工程，不涉及水生植物影响。</w:t>
            </w:r>
          </w:p>
          <w:p w14:paraId="7D766D8B">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yellow"/>
                <w:lang w:val="en-US" w:eastAsia="zh-CN"/>
              </w:rPr>
            </w:pPr>
            <w:r>
              <w:rPr>
                <w:rFonts w:hint="eastAsia" w:ascii="Times New Roman" w:hAnsi="Times New Roman" w:eastAsia="宋体" w:cs="Times New Roman"/>
                <w:color w:val="auto"/>
                <w:highlight w:val="yellow"/>
                <w:lang w:val="en-US" w:eastAsia="zh-CN"/>
              </w:rPr>
              <w:t>6、河势稳定性</w:t>
            </w:r>
          </w:p>
          <w:p w14:paraId="6355AC55">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yellow"/>
                <w:lang w:eastAsia="zh-CN"/>
              </w:rPr>
            </w:pPr>
            <w:r>
              <w:rPr>
                <w:rFonts w:hint="default" w:ascii="Times New Roman" w:hAnsi="Times New Roman" w:eastAsia="宋体" w:cs="Times New Roman"/>
                <w:color w:val="auto"/>
                <w:highlight w:val="yellow"/>
                <w:lang w:eastAsia="zh-CN"/>
              </w:rPr>
              <w:t>上游河段河道河床起伏不大，坡度较缓，由于水流左右岸差异侵蚀作用，主河道多呈蜿蜒曲折状，为典型的蛇曲河类型，由于凸岸沉积和凹岸侵蚀及截弯取直，主河道在左右岸有限的范围内发生局部改道，河道稳定性较好。</w:t>
            </w:r>
          </w:p>
          <w:p w14:paraId="58684240">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yellow"/>
                <w:lang w:eastAsia="zh-CN"/>
              </w:rPr>
            </w:pPr>
            <w:r>
              <w:rPr>
                <w:rFonts w:hint="default" w:ascii="Times New Roman" w:hAnsi="Times New Roman" w:eastAsia="宋体" w:cs="Times New Roman"/>
                <w:color w:val="auto"/>
                <w:highlight w:val="yellow"/>
                <w:lang w:eastAsia="zh-CN"/>
              </w:rPr>
              <w:t>下游河段河道大多蜿蜒曲折，蜿蜒型河道居多，下切严重，下游河断纵向不稳定。</w:t>
            </w:r>
          </w:p>
          <w:p w14:paraId="76A089DE">
            <w:pPr>
              <w:pStyle w:val="84"/>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二、</w:t>
            </w:r>
            <w:r>
              <w:rPr>
                <w:rFonts w:hint="default" w:ascii="Times New Roman" w:hAnsi="Times New Roman" w:cs="Times New Roman"/>
                <w:b/>
                <w:color w:val="auto"/>
                <w:highlight w:val="none"/>
              </w:rPr>
              <w:t>项目区域环境空气质量现状</w:t>
            </w:r>
            <w:bookmarkEnd w:id="36"/>
            <w:bookmarkEnd w:id="37"/>
            <w:bookmarkEnd w:id="38"/>
          </w:p>
          <w:p w14:paraId="56D1F0AD">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根据《环境影响评价技术导则大气环境》（HJ2.2</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2018）6.2.1.1项目所在区域达标判定，优先采用国家或地方生态环境主管部门公开发布的评价基准年环境质量公告或环境质量报告中的数据或结论。</w:t>
            </w:r>
          </w:p>
          <w:p w14:paraId="6691004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color w:val="auto"/>
                <w:highlight w:val="none"/>
              </w:rPr>
            </w:pPr>
            <w:r>
              <w:rPr>
                <w:rFonts w:hint="default" w:ascii="Times New Roman" w:hAnsi="Times New Roman" w:cs="Times New Roman"/>
                <w:bCs/>
                <w:color w:val="auto"/>
                <w:highlight w:val="none"/>
              </w:rPr>
              <w:t>本项目位于绥化市。根据《2025年黑龙江省生态环境质量状况》，绥化市空气质量级别未</w:t>
            </w:r>
            <w:r>
              <w:rPr>
                <w:rFonts w:hint="default" w:ascii="Times New Roman" w:hAnsi="Times New Roman" w:cs="Times New Roman"/>
                <w:bCs/>
                <w:color w:val="auto"/>
                <w:highlight w:val="none"/>
                <w:lang w:val="en-US" w:eastAsia="zh-CN"/>
              </w:rPr>
              <w:t>达到</w:t>
            </w:r>
            <w:r>
              <w:rPr>
                <w:rFonts w:hint="default" w:ascii="Times New Roman" w:hAnsi="Times New Roman" w:eastAsia="宋体" w:cs="Times New Roman"/>
                <w:color w:val="auto"/>
                <w:sz w:val="24"/>
                <w:highlight w:val="none"/>
              </w:rPr>
              <w:t>《环境空气质量标准》（GB3095</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w:t>
            </w:r>
            <w:r>
              <w:rPr>
                <w:rFonts w:hint="default" w:ascii="Times New Roman" w:hAnsi="Times New Roman" w:cs="Times New Roman"/>
                <w:color w:val="auto"/>
                <w:sz w:val="24"/>
                <w:highlight w:val="none"/>
                <w:lang w:val="en-US" w:eastAsia="zh-CN"/>
              </w:rPr>
              <w:t>26</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lang w:val="en-US" w:eastAsia="zh-CN"/>
              </w:rPr>
              <w:t>中过渡阶段浓度限值</w:t>
            </w:r>
            <w:r>
              <w:rPr>
                <w:rFonts w:hint="default" w:ascii="Times New Roman" w:hAnsi="Times New Roman" w:eastAsia="宋体" w:cs="Times New Roman"/>
                <w:color w:val="auto"/>
                <w:sz w:val="24"/>
                <w:highlight w:val="none"/>
              </w:rPr>
              <w:t>的二级标准</w:t>
            </w:r>
            <w:r>
              <w:rPr>
                <w:rFonts w:hint="default" w:ascii="Times New Roman" w:hAnsi="Times New Roman" w:cs="Times New Roman"/>
                <w:bCs/>
                <w:color w:val="auto"/>
                <w:highlight w:val="none"/>
              </w:rPr>
              <w:t>，达标天数为307天</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84.3%</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。P</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bscript"/>
              </w:rPr>
              <w:t>2.5</w:t>
            </w:r>
            <w:r>
              <w:rPr>
                <w:rFonts w:hint="default" w:ascii="Times New Roman" w:hAnsi="Times New Roman" w:cs="Times New Roman"/>
                <w:bCs/>
                <w:color w:val="auto"/>
                <w:highlight w:val="none"/>
              </w:rPr>
              <w:t>、P</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bscript"/>
              </w:rPr>
              <w:t>10</w:t>
            </w:r>
            <w:r>
              <w:rPr>
                <w:rFonts w:hint="default" w:ascii="Times New Roman" w:hAnsi="Times New Roman" w:cs="Times New Roman"/>
                <w:bCs/>
                <w:color w:val="auto"/>
                <w:highlight w:val="none"/>
              </w:rPr>
              <w:t>、SO</w:t>
            </w:r>
            <w:r>
              <w:rPr>
                <w:rFonts w:hint="default" w:ascii="Times New Roman" w:hAnsi="Times New Roman" w:cs="Times New Roman"/>
                <w:bCs/>
                <w:color w:val="auto"/>
                <w:highlight w:val="none"/>
                <w:vertAlign w:val="subscript"/>
              </w:rPr>
              <w:t>2</w:t>
            </w:r>
            <w:r>
              <w:rPr>
                <w:rFonts w:hint="default" w:ascii="Times New Roman" w:hAnsi="Times New Roman" w:cs="Times New Roman"/>
                <w:bCs/>
                <w:color w:val="auto"/>
                <w:highlight w:val="none"/>
              </w:rPr>
              <w:t>、NO</w:t>
            </w:r>
            <w:r>
              <w:rPr>
                <w:rFonts w:hint="default" w:ascii="Times New Roman" w:hAnsi="Times New Roman" w:cs="Times New Roman"/>
                <w:bCs/>
                <w:color w:val="auto"/>
                <w:highlight w:val="none"/>
                <w:vertAlign w:val="subscript"/>
              </w:rPr>
              <w:t>2</w:t>
            </w:r>
            <w:r>
              <w:rPr>
                <w:rFonts w:hint="default" w:ascii="Times New Roman" w:hAnsi="Times New Roman" w:cs="Times New Roman"/>
                <w:bCs/>
                <w:color w:val="auto"/>
                <w:highlight w:val="none"/>
              </w:rPr>
              <w:t>、CO</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95per和O</w:t>
            </w:r>
            <w:r>
              <w:rPr>
                <w:rFonts w:hint="default" w:ascii="Times New Roman" w:hAnsi="Times New Roman" w:cs="Times New Roman"/>
                <w:bCs/>
                <w:color w:val="auto"/>
                <w:highlight w:val="none"/>
                <w:vertAlign w:val="subscript"/>
              </w:rPr>
              <w:t>3</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8h</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90per年均浓度分别为38μg/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、54μg/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、6μg/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、19μg/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、1.1</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rPr>
              <w:t>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和119μg/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w:t>
            </w:r>
          </w:p>
          <w:p w14:paraId="6B0319EC">
            <w:pPr>
              <w:keepNext w:val="0"/>
              <w:keepLines w:val="0"/>
              <w:pageBreakBefore w:val="0"/>
              <w:widowControl w:val="0"/>
              <w:tabs>
                <w:tab w:val="left" w:pos="720"/>
              </w:tabs>
              <w:kinsoku/>
              <w:wordWrap/>
              <w:overflowPunct/>
              <w:topLinePunct w:val="0"/>
              <w:autoSpaceDE/>
              <w:autoSpaceDN/>
              <w:bidi w:val="0"/>
              <w:spacing w:line="500" w:lineRule="exact"/>
              <w:jc w:val="center"/>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1"/>
                <w:szCs w:val="21"/>
                <w:highlight w:val="none"/>
                <w:lang w:val="en-US" w:eastAsia="zh-CN"/>
              </w:rPr>
              <w:t>表3</w:t>
            </w:r>
            <w:r>
              <w:rPr>
                <w:rFonts w:hint="default" w:ascii="Times New Roman" w:hAnsi="Times New Roman" w:cs="Times New Roman"/>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 xml:space="preserve">1 </w:t>
            </w:r>
            <w:r>
              <w:rPr>
                <w:rFonts w:hint="default" w:ascii="Times New Roman" w:hAnsi="Times New Roman"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en-US" w:eastAsia="zh-CN"/>
              </w:rPr>
              <w:t>环境空气质量统计一览表</w:t>
            </w:r>
            <w:r>
              <w:rPr>
                <w:rFonts w:hint="default" w:ascii="Times New Roman" w:hAnsi="Times New Roman" w:eastAsia="宋体" w:cs="Times New Roman"/>
                <w:b/>
                <w:color w:val="auto"/>
                <w:sz w:val="24"/>
                <w:szCs w:val="24"/>
                <w:highlight w:val="none"/>
                <w:lang w:val="en-US" w:eastAsia="zh-CN"/>
              </w:rPr>
              <w:t xml:space="preserve"> </w:t>
            </w:r>
          </w:p>
          <w:tbl>
            <w:tblPr>
              <w:tblStyle w:val="26"/>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4"/>
              <w:gridCol w:w="1274"/>
              <w:gridCol w:w="1274"/>
              <w:gridCol w:w="1274"/>
              <w:gridCol w:w="1274"/>
              <w:gridCol w:w="1274"/>
            </w:tblGrid>
            <w:tr w14:paraId="3279E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39B9D56D">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污染物</w:t>
                  </w:r>
                </w:p>
              </w:tc>
              <w:tc>
                <w:tcPr>
                  <w:tcW w:w="833" w:type="pct"/>
                  <w:tcBorders>
                    <w:tl2br w:val="nil"/>
                    <w:tr2bl w:val="nil"/>
                  </w:tcBorders>
                  <w:noWrap w:val="0"/>
                  <w:vAlign w:val="center"/>
                </w:tcPr>
                <w:p w14:paraId="4CCA83F0">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年评价指标</w:t>
                  </w:r>
                </w:p>
              </w:tc>
              <w:tc>
                <w:tcPr>
                  <w:tcW w:w="833" w:type="pct"/>
                  <w:tcBorders>
                    <w:tl2br w:val="nil"/>
                    <w:tr2bl w:val="nil"/>
                  </w:tcBorders>
                  <w:noWrap w:val="0"/>
                  <w:vAlign w:val="center"/>
                </w:tcPr>
                <w:p w14:paraId="56C00E29">
                  <w:pPr>
                    <w:shd w:val="clear" w:color="auto" w:fill="auto"/>
                    <w:tabs>
                      <w:tab w:val="left" w:pos="3960"/>
                    </w:tabs>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现状浓度</w:t>
                  </w:r>
                </w:p>
                <w:p w14:paraId="2C73CC95">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（μg/</w:t>
                  </w:r>
                  <w:r>
                    <w:rPr>
                      <w:rFonts w:hint="default" w:ascii="Times New Roman" w:hAnsi="Times New Roman" w:cs="Times New Roman"/>
                      <w:color w:val="000000"/>
                      <w:szCs w:val="21"/>
                      <w:highlight w:val="none"/>
                      <w:lang w:eastAsia="zh-CN"/>
                    </w:rPr>
                    <w:t>m</w:t>
                  </w:r>
                  <w:r>
                    <w:rPr>
                      <w:rFonts w:hint="default" w:ascii="Times New Roman" w:hAnsi="Times New Roman" w:eastAsia="宋体" w:cs="Times New Roman"/>
                      <w:color w:val="000000"/>
                      <w:szCs w:val="21"/>
                      <w:highlight w:val="none"/>
                      <w:vertAlign w:val="superscript"/>
                    </w:rPr>
                    <w:t>3</w:t>
                  </w:r>
                  <w:r>
                    <w:rPr>
                      <w:rFonts w:hint="default" w:ascii="Times New Roman" w:hAnsi="Times New Roman" w:eastAsia="宋体" w:cs="Times New Roman"/>
                      <w:color w:val="000000"/>
                      <w:szCs w:val="21"/>
                      <w:highlight w:val="none"/>
                    </w:rPr>
                    <w:t>）</w:t>
                  </w:r>
                </w:p>
              </w:tc>
              <w:tc>
                <w:tcPr>
                  <w:tcW w:w="833" w:type="pct"/>
                  <w:tcBorders>
                    <w:tl2br w:val="nil"/>
                    <w:tr2bl w:val="nil"/>
                  </w:tcBorders>
                  <w:noWrap w:val="0"/>
                  <w:vAlign w:val="center"/>
                </w:tcPr>
                <w:p w14:paraId="1F5E4F6F">
                  <w:pPr>
                    <w:shd w:val="clear" w:color="auto" w:fill="auto"/>
                    <w:tabs>
                      <w:tab w:val="left" w:pos="3960"/>
                    </w:tabs>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标准值</w:t>
                  </w:r>
                </w:p>
                <w:p w14:paraId="3CA500CD">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（μg/</w:t>
                  </w:r>
                  <w:r>
                    <w:rPr>
                      <w:rFonts w:hint="default" w:ascii="Times New Roman" w:hAnsi="Times New Roman" w:cs="Times New Roman"/>
                      <w:color w:val="000000"/>
                      <w:szCs w:val="21"/>
                      <w:highlight w:val="none"/>
                      <w:lang w:eastAsia="zh-CN"/>
                    </w:rPr>
                    <w:t>m</w:t>
                  </w:r>
                  <w:r>
                    <w:rPr>
                      <w:rFonts w:hint="default" w:ascii="Times New Roman" w:hAnsi="Times New Roman" w:eastAsia="宋体" w:cs="Times New Roman"/>
                      <w:color w:val="000000"/>
                      <w:szCs w:val="21"/>
                      <w:highlight w:val="none"/>
                      <w:vertAlign w:val="superscript"/>
                    </w:rPr>
                    <w:t>3</w:t>
                  </w:r>
                  <w:r>
                    <w:rPr>
                      <w:rFonts w:hint="default" w:ascii="Times New Roman" w:hAnsi="Times New Roman" w:eastAsia="宋体" w:cs="Times New Roman"/>
                      <w:color w:val="000000"/>
                      <w:szCs w:val="21"/>
                      <w:highlight w:val="none"/>
                    </w:rPr>
                    <w:t>）</w:t>
                  </w:r>
                </w:p>
              </w:tc>
              <w:tc>
                <w:tcPr>
                  <w:tcW w:w="833" w:type="pct"/>
                  <w:tcBorders>
                    <w:tl2br w:val="nil"/>
                    <w:tr2bl w:val="nil"/>
                  </w:tcBorders>
                  <w:noWrap w:val="0"/>
                  <w:vAlign w:val="center"/>
                </w:tcPr>
                <w:p w14:paraId="7C4902A1">
                  <w:pPr>
                    <w:shd w:val="clear" w:color="auto" w:fill="auto"/>
                    <w:tabs>
                      <w:tab w:val="left" w:pos="3960"/>
                    </w:tabs>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占标率</w:t>
                  </w:r>
                </w:p>
                <w:p w14:paraId="78766151">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w:t>
                  </w:r>
                </w:p>
              </w:tc>
              <w:tc>
                <w:tcPr>
                  <w:tcW w:w="833" w:type="pct"/>
                  <w:tcBorders>
                    <w:tl2br w:val="nil"/>
                    <w:tr2bl w:val="nil"/>
                  </w:tcBorders>
                  <w:noWrap w:val="0"/>
                  <w:vAlign w:val="center"/>
                </w:tcPr>
                <w:p w14:paraId="397069A8">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达标情况</w:t>
                  </w:r>
                </w:p>
              </w:tc>
            </w:tr>
            <w:tr w14:paraId="0F843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124BEBB9">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SO</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p>
              </w:tc>
              <w:tc>
                <w:tcPr>
                  <w:tcW w:w="833" w:type="pct"/>
                  <w:tcBorders>
                    <w:tl2br w:val="nil"/>
                    <w:tr2bl w:val="nil"/>
                  </w:tcBorders>
                  <w:noWrap w:val="0"/>
                  <w:vAlign w:val="center"/>
                </w:tcPr>
                <w:p w14:paraId="20BA71D7">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年平均质量浓度</w:t>
                  </w:r>
                </w:p>
              </w:tc>
              <w:tc>
                <w:tcPr>
                  <w:tcW w:w="833" w:type="pct"/>
                  <w:tcBorders>
                    <w:tl2br w:val="nil"/>
                    <w:tr2bl w:val="nil"/>
                  </w:tcBorders>
                  <w:noWrap w:val="0"/>
                  <w:vAlign w:val="center"/>
                </w:tcPr>
                <w:p w14:paraId="4F1CEDD1">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833" w:type="pct"/>
                  <w:tcBorders>
                    <w:tl2br w:val="nil"/>
                    <w:tr2bl w:val="nil"/>
                  </w:tcBorders>
                  <w:noWrap w:val="0"/>
                  <w:vAlign w:val="center"/>
                </w:tcPr>
                <w:p w14:paraId="062A1D7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60</w:t>
                  </w:r>
                </w:p>
              </w:tc>
              <w:tc>
                <w:tcPr>
                  <w:tcW w:w="833" w:type="pct"/>
                  <w:tcBorders>
                    <w:tl2br w:val="nil"/>
                    <w:tr2bl w:val="nil"/>
                  </w:tcBorders>
                  <w:noWrap w:val="0"/>
                  <w:vAlign w:val="center"/>
                </w:tcPr>
                <w:p w14:paraId="5C57E72D">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10.00</w:t>
                  </w:r>
                </w:p>
              </w:tc>
              <w:tc>
                <w:tcPr>
                  <w:tcW w:w="833" w:type="pct"/>
                  <w:tcBorders>
                    <w:tl2br w:val="nil"/>
                    <w:tr2bl w:val="nil"/>
                  </w:tcBorders>
                  <w:noWrap w:val="0"/>
                  <w:vAlign w:val="center"/>
                </w:tcPr>
                <w:p w14:paraId="4028E706">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r w14:paraId="4B726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3811218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NO</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p>
              </w:tc>
              <w:tc>
                <w:tcPr>
                  <w:tcW w:w="833" w:type="pct"/>
                  <w:tcBorders>
                    <w:tl2br w:val="nil"/>
                    <w:tr2bl w:val="nil"/>
                  </w:tcBorders>
                  <w:noWrap w:val="0"/>
                  <w:vAlign w:val="center"/>
                </w:tcPr>
                <w:p w14:paraId="42A2D944">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年平均质量浓度</w:t>
                  </w:r>
                </w:p>
              </w:tc>
              <w:tc>
                <w:tcPr>
                  <w:tcW w:w="833" w:type="pct"/>
                  <w:tcBorders>
                    <w:tl2br w:val="nil"/>
                    <w:tr2bl w:val="nil"/>
                  </w:tcBorders>
                  <w:noWrap w:val="0"/>
                  <w:vAlign w:val="center"/>
                </w:tcPr>
                <w:p w14:paraId="2C243A34">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19</w:t>
                  </w:r>
                </w:p>
              </w:tc>
              <w:tc>
                <w:tcPr>
                  <w:tcW w:w="833" w:type="pct"/>
                  <w:tcBorders>
                    <w:tl2br w:val="nil"/>
                    <w:tr2bl w:val="nil"/>
                  </w:tcBorders>
                  <w:noWrap w:val="0"/>
                  <w:vAlign w:val="center"/>
                </w:tcPr>
                <w:p w14:paraId="19A043E5">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40</w:t>
                  </w:r>
                </w:p>
              </w:tc>
              <w:tc>
                <w:tcPr>
                  <w:tcW w:w="833" w:type="pct"/>
                  <w:tcBorders>
                    <w:tl2br w:val="nil"/>
                    <w:tr2bl w:val="nil"/>
                  </w:tcBorders>
                  <w:noWrap w:val="0"/>
                  <w:vAlign w:val="center"/>
                </w:tcPr>
                <w:p w14:paraId="0CA383E8">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45.00</w:t>
                  </w:r>
                </w:p>
              </w:tc>
              <w:tc>
                <w:tcPr>
                  <w:tcW w:w="833" w:type="pct"/>
                  <w:tcBorders>
                    <w:tl2br w:val="nil"/>
                    <w:tr2bl w:val="nil"/>
                  </w:tcBorders>
                  <w:noWrap w:val="0"/>
                  <w:vAlign w:val="center"/>
                </w:tcPr>
                <w:p w14:paraId="4C3AC866">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r w14:paraId="00BCB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3A27C056">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P</w:t>
                  </w:r>
                  <w:r>
                    <w:rPr>
                      <w:rFonts w:hint="default" w:ascii="Times New Roman" w:hAnsi="Times New Roman" w:cs="Times New Roman"/>
                      <w:snapToGrid w:val="0"/>
                      <w:color w:val="auto"/>
                      <w:kern w:val="0"/>
                      <w:sz w:val="21"/>
                      <w:szCs w:val="21"/>
                      <w:highlight w:val="none"/>
                      <w:lang w:val="en-US" w:eastAsia="zh-CN" w:bidi="ar-SA"/>
                    </w:rPr>
                    <w:t>m</w:t>
                  </w:r>
                  <w:r>
                    <w:rPr>
                      <w:rFonts w:hint="default" w:ascii="Times New Roman" w:hAnsi="Times New Roman" w:eastAsia="宋体" w:cs="Times New Roman"/>
                      <w:snapToGrid w:val="0"/>
                      <w:color w:val="auto"/>
                      <w:kern w:val="0"/>
                      <w:sz w:val="21"/>
                      <w:szCs w:val="21"/>
                      <w:highlight w:val="none"/>
                      <w:vertAlign w:val="subscript"/>
                      <w:lang w:val="en-US" w:eastAsia="zh-CN" w:bidi="ar-SA"/>
                    </w:rPr>
                    <w:t>10</w:t>
                  </w:r>
                </w:p>
              </w:tc>
              <w:tc>
                <w:tcPr>
                  <w:tcW w:w="833" w:type="pct"/>
                  <w:tcBorders>
                    <w:tl2br w:val="nil"/>
                    <w:tr2bl w:val="nil"/>
                  </w:tcBorders>
                  <w:noWrap w:val="0"/>
                  <w:vAlign w:val="center"/>
                </w:tcPr>
                <w:p w14:paraId="3D4C00BA">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年平均质量浓度</w:t>
                  </w:r>
                </w:p>
              </w:tc>
              <w:tc>
                <w:tcPr>
                  <w:tcW w:w="833" w:type="pct"/>
                  <w:tcBorders>
                    <w:tl2br w:val="nil"/>
                    <w:tr2bl w:val="nil"/>
                  </w:tcBorders>
                  <w:noWrap w:val="0"/>
                  <w:vAlign w:val="center"/>
                </w:tcPr>
                <w:p w14:paraId="5912100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54</w:t>
                  </w:r>
                </w:p>
              </w:tc>
              <w:tc>
                <w:tcPr>
                  <w:tcW w:w="833" w:type="pct"/>
                  <w:tcBorders>
                    <w:tl2br w:val="nil"/>
                    <w:tr2bl w:val="nil"/>
                  </w:tcBorders>
                  <w:noWrap w:val="0"/>
                  <w:vAlign w:val="center"/>
                </w:tcPr>
                <w:p w14:paraId="5598FBE6">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60</w:t>
                  </w:r>
                </w:p>
              </w:tc>
              <w:tc>
                <w:tcPr>
                  <w:tcW w:w="833" w:type="pct"/>
                  <w:tcBorders>
                    <w:tl2br w:val="nil"/>
                    <w:tr2bl w:val="nil"/>
                  </w:tcBorders>
                  <w:noWrap w:val="0"/>
                  <w:vAlign w:val="center"/>
                </w:tcPr>
                <w:p w14:paraId="4F2335CE">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90.00</w:t>
                  </w:r>
                </w:p>
              </w:tc>
              <w:tc>
                <w:tcPr>
                  <w:tcW w:w="833" w:type="pct"/>
                  <w:tcBorders>
                    <w:tl2br w:val="nil"/>
                    <w:tr2bl w:val="nil"/>
                  </w:tcBorders>
                  <w:noWrap w:val="0"/>
                  <w:vAlign w:val="center"/>
                </w:tcPr>
                <w:p w14:paraId="21689B97">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r w14:paraId="5DD23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146B8A11">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P</w:t>
                  </w:r>
                  <w:r>
                    <w:rPr>
                      <w:rFonts w:hint="default" w:ascii="Times New Roman" w:hAnsi="Times New Roman" w:cs="Times New Roman"/>
                      <w:snapToGrid w:val="0"/>
                      <w:color w:val="auto"/>
                      <w:kern w:val="0"/>
                      <w:sz w:val="21"/>
                      <w:szCs w:val="21"/>
                      <w:highlight w:val="none"/>
                      <w:lang w:val="en-US" w:eastAsia="zh-CN" w:bidi="ar-SA"/>
                    </w:rPr>
                    <w:t>m</w:t>
                  </w:r>
                  <w:r>
                    <w:rPr>
                      <w:rFonts w:hint="default" w:ascii="Times New Roman" w:hAnsi="Times New Roman" w:eastAsia="宋体" w:cs="Times New Roman"/>
                      <w:snapToGrid w:val="0"/>
                      <w:color w:val="auto"/>
                      <w:kern w:val="0"/>
                      <w:sz w:val="21"/>
                      <w:szCs w:val="21"/>
                      <w:highlight w:val="none"/>
                      <w:vertAlign w:val="subscript"/>
                      <w:lang w:val="en-US" w:eastAsia="zh-CN" w:bidi="ar-SA"/>
                    </w:rPr>
                    <w:t>2.5</w:t>
                  </w:r>
                </w:p>
              </w:tc>
              <w:tc>
                <w:tcPr>
                  <w:tcW w:w="833" w:type="pct"/>
                  <w:tcBorders>
                    <w:tl2br w:val="nil"/>
                    <w:tr2bl w:val="nil"/>
                  </w:tcBorders>
                  <w:noWrap w:val="0"/>
                  <w:vAlign w:val="center"/>
                </w:tcPr>
                <w:p w14:paraId="2C198C8A">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年平均质量浓度</w:t>
                  </w:r>
                </w:p>
              </w:tc>
              <w:tc>
                <w:tcPr>
                  <w:tcW w:w="833" w:type="pct"/>
                  <w:tcBorders>
                    <w:tl2br w:val="nil"/>
                    <w:tr2bl w:val="nil"/>
                  </w:tcBorders>
                  <w:noWrap w:val="0"/>
                  <w:vAlign w:val="center"/>
                </w:tcPr>
                <w:p w14:paraId="14404BEB">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38</w:t>
                  </w:r>
                </w:p>
              </w:tc>
              <w:tc>
                <w:tcPr>
                  <w:tcW w:w="833" w:type="pct"/>
                  <w:tcBorders>
                    <w:tl2br w:val="nil"/>
                    <w:tr2bl w:val="nil"/>
                  </w:tcBorders>
                  <w:noWrap w:val="0"/>
                  <w:vAlign w:val="center"/>
                </w:tcPr>
                <w:p w14:paraId="44DF2917">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30</w:t>
                  </w:r>
                </w:p>
              </w:tc>
              <w:tc>
                <w:tcPr>
                  <w:tcW w:w="833" w:type="pct"/>
                  <w:tcBorders>
                    <w:tl2br w:val="nil"/>
                    <w:tr2bl w:val="nil"/>
                  </w:tcBorders>
                  <w:noWrap w:val="0"/>
                  <w:vAlign w:val="center"/>
                </w:tcPr>
                <w:p w14:paraId="56FEF834">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126.70</w:t>
                  </w:r>
                </w:p>
              </w:tc>
              <w:tc>
                <w:tcPr>
                  <w:tcW w:w="833" w:type="pct"/>
                  <w:tcBorders>
                    <w:tl2br w:val="nil"/>
                    <w:tr2bl w:val="nil"/>
                  </w:tcBorders>
                  <w:noWrap w:val="0"/>
                  <w:vAlign w:val="center"/>
                </w:tcPr>
                <w:p w14:paraId="407C14A3">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超标</w:t>
                  </w:r>
                </w:p>
              </w:tc>
            </w:tr>
            <w:tr w14:paraId="583D9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4F27EC43">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CO</w:t>
                  </w:r>
                </w:p>
              </w:tc>
              <w:tc>
                <w:tcPr>
                  <w:tcW w:w="833" w:type="pct"/>
                  <w:tcBorders>
                    <w:tl2br w:val="nil"/>
                    <w:tr2bl w:val="nil"/>
                  </w:tcBorders>
                  <w:noWrap w:val="0"/>
                  <w:vAlign w:val="center"/>
                </w:tcPr>
                <w:p w14:paraId="4B6BC5E8">
                  <w:pPr>
                    <w:widowControl w:val="0"/>
                    <w:shd w:val="clear" w:color="auto" w:fill="auto"/>
                    <w:spacing w:line="240" w:lineRule="auto"/>
                    <w:ind w:firstLine="0" w:firstLineChars="0"/>
                    <w:jc w:val="left"/>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第95百分位数日平均质量浓度</w:t>
                  </w:r>
                </w:p>
              </w:tc>
              <w:tc>
                <w:tcPr>
                  <w:tcW w:w="833" w:type="pct"/>
                  <w:tcBorders>
                    <w:tl2br w:val="nil"/>
                    <w:tr2bl w:val="nil"/>
                  </w:tcBorders>
                  <w:noWrap w:val="0"/>
                  <w:vAlign w:val="center"/>
                </w:tcPr>
                <w:p w14:paraId="0743E020">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1100</w:t>
                  </w:r>
                </w:p>
              </w:tc>
              <w:tc>
                <w:tcPr>
                  <w:tcW w:w="833" w:type="pct"/>
                  <w:tcBorders>
                    <w:tl2br w:val="nil"/>
                    <w:tr2bl w:val="nil"/>
                  </w:tcBorders>
                  <w:noWrap w:val="0"/>
                  <w:vAlign w:val="center"/>
                </w:tcPr>
                <w:p w14:paraId="0CA18374">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4000</w:t>
                  </w:r>
                </w:p>
              </w:tc>
              <w:tc>
                <w:tcPr>
                  <w:tcW w:w="833" w:type="pct"/>
                  <w:tcBorders>
                    <w:tl2br w:val="nil"/>
                    <w:tr2bl w:val="nil"/>
                  </w:tcBorders>
                  <w:noWrap w:val="0"/>
                  <w:vAlign w:val="center"/>
                </w:tcPr>
                <w:p w14:paraId="7E7D0D19">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27.50</w:t>
                  </w:r>
                </w:p>
              </w:tc>
              <w:tc>
                <w:tcPr>
                  <w:tcW w:w="833" w:type="pct"/>
                  <w:tcBorders>
                    <w:tl2br w:val="nil"/>
                    <w:tr2bl w:val="nil"/>
                  </w:tcBorders>
                  <w:noWrap w:val="0"/>
                  <w:vAlign w:val="center"/>
                </w:tcPr>
                <w:p w14:paraId="110B74EB">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r w14:paraId="4B148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3BAD8565">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O</w:t>
                  </w:r>
                  <w:r>
                    <w:rPr>
                      <w:rFonts w:hint="default" w:ascii="Times New Roman" w:hAnsi="Times New Roman" w:eastAsia="宋体" w:cs="Times New Roman"/>
                      <w:snapToGrid w:val="0"/>
                      <w:color w:val="auto"/>
                      <w:kern w:val="0"/>
                      <w:sz w:val="21"/>
                      <w:szCs w:val="21"/>
                      <w:highlight w:val="none"/>
                      <w:vertAlign w:val="subscript"/>
                      <w:lang w:val="en-US" w:eastAsia="zh-CN" w:bidi="ar-SA"/>
                    </w:rPr>
                    <w:t>3</w:t>
                  </w:r>
                </w:p>
              </w:tc>
              <w:tc>
                <w:tcPr>
                  <w:tcW w:w="833" w:type="pct"/>
                  <w:tcBorders>
                    <w:tl2br w:val="nil"/>
                    <w:tr2bl w:val="nil"/>
                  </w:tcBorders>
                  <w:noWrap w:val="0"/>
                  <w:vAlign w:val="center"/>
                </w:tcPr>
                <w:p w14:paraId="72BEAF33">
                  <w:pPr>
                    <w:widowControl w:val="0"/>
                    <w:shd w:val="clear" w:color="auto" w:fill="auto"/>
                    <w:spacing w:line="240" w:lineRule="auto"/>
                    <w:ind w:firstLine="0" w:firstLineChars="0"/>
                    <w:jc w:val="left"/>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第90百分位数8h平均质量浓度</w:t>
                  </w:r>
                </w:p>
              </w:tc>
              <w:tc>
                <w:tcPr>
                  <w:tcW w:w="833" w:type="pct"/>
                  <w:tcBorders>
                    <w:tl2br w:val="nil"/>
                    <w:tr2bl w:val="nil"/>
                  </w:tcBorders>
                  <w:noWrap w:val="0"/>
                  <w:vAlign w:val="center"/>
                </w:tcPr>
                <w:p w14:paraId="616FC49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119</w:t>
                  </w:r>
                </w:p>
              </w:tc>
              <w:tc>
                <w:tcPr>
                  <w:tcW w:w="833" w:type="pct"/>
                  <w:tcBorders>
                    <w:tl2br w:val="nil"/>
                    <w:tr2bl w:val="nil"/>
                  </w:tcBorders>
                  <w:noWrap w:val="0"/>
                  <w:vAlign w:val="center"/>
                </w:tcPr>
                <w:p w14:paraId="6D06A033">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160</w:t>
                  </w:r>
                </w:p>
              </w:tc>
              <w:tc>
                <w:tcPr>
                  <w:tcW w:w="833" w:type="pct"/>
                  <w:tcBorders>
                    <w:tl2br w:val="nil"/>
                    <w:tr2bl w:val="nil"/>
                  </w:tcBorders>
                  <w:noWrap w:val="0"/>
                  <w:vAlign w:val="center"/>
                </w:tcPr>
                <w:p w14:paraId="2B7BC1D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75.00</w:t>
                  </w:r>
                </w:p>
              </w:tc>
              <w:tc>
                <w:tcPr>
                  <w:tcW w:w="833" w:type="pct"/>
                  <w:tcBorders>
                    <w:tl2br w:val="nil"/>
                    <w:tr2bl w:val="nil"/>
                  </w:tcBorders>
                  <w:noWrap w:val="0"/>
                  <w:vAlign w:val="center"/>
                </w:tcPr>
                <w:p w14:paraId="1F4BB36F">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bl>
          <w:p w14:paraId="330E5CBE">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由上表可知，该地区P</w:t>
            </w:r>
            <w:r>
              <w:rPr>
                <w:rFonts w:hint="eastAsia" w:cs="Times New Roman"/>
                <w:b w:val="0"/>
                <w:bCs/>
                <w:color w:val="auto"/>
                <w:highlight w:val="none"/>
                <w:lang w:val="en-US" w:eastAsia="zh-CN"/>
              </w:rPr>
              <w:t>M</w:t>
            </w:r>
            <w:r>
              <w:rPr>
                <w:rFonts w:hint="default" w:ascii="Times New Roman" w:hAnsi="Times New Roman" w:cs="Times New Roman"/>
                <w:b w:val="0"/>
                <w:bCs/>
                <w:color w:val="auto"/>
                <w:highlight w:val="none"/>
                <w:vertAlign w:val="subscript"/>
              </w:rPr>
              <w:t>2.5</w:t>
            </w:r>
            <w:r>
              <w:rPr>
                <w:rFonts w:hint="default" w:ascii="Times New Roman" w:hAnsi="Times New Roman" w:cs="Times New Roman"/>
                <w:b w:val="0"/>
                <w:bCs/>
                <w:color w:val="auto"/>
                <w:highlight w:val="none"/>
              </w:rPr>
              <w:t>常规指标因子不均能满足</w:t>
            </w:r>
            <w:r>
              <w:rPr>
                <w:rFonts w:hint="default" w:ascii="Times New Roman" w:hAnsi="Times New Roman" w:eastAsia="宋体" w:cs="Times New Roman"/>
                <w:color w:val="auto"/>
                <w:sz w:val="24"/>
                <w:highlight w:val="none"/>
              </w:rPr>
              <w:t>《环境空气质量标准》（GB3095</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w:t>
            </w:r>
            <w:r>
              <w:rPr>
                <w:rFonts w:hint="default" w:ascii="Times New Roman" w:hAnsi="Times New Roman" w:cs="Times New Roman"/>
                <w:color w:val="auto"/>
                <w:sz w:val="24"/>
                <w:highlight w:val="none"/>
                <w:lang w:val="en-US" w:eastAsia="zh-CN"/>
              </w:rPr>
              <w:t>26</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lang w:val="en-US" w:eastAsia="zh-CN"/>
              </w:rPr>
              <w:t>中过渡阶段浓度限值</w:t>
            </w:r>
            <w:r>
              <w:rPr>
                <w:rFonts w:hint="default" w:ascii="Times New Roman" w:hAnsi="Times New Roman" w:eastAsia="宋体" w:cs="Times New Roman"/>
                <w:color w:val="auto"/>
                <w:sz w:val="24"/>
                <w:highlight w:val="none"/>
              </w:rPr>
              <w:t>的二级标准</w:t>
            </w:r>
            <w:r>
              <w:rPr>
                <w:rFonts w:hint="default" w:ascii="Times New Roman" w:hAnsi="Times New Roman" w:cs="Times New Roman"/>
                <w:b w:val="0"/>
                <w:bCs/>
                <w:color w:val="auto"/>
                <w:highlight w:val="none"/>
              </w:rPr>
              <w:t>要求，项目所在区域属于环境空气质量不达标区域。</w:t>
            </w:r>
          </w:p>
          <w:p w14:paraId="169D1C1B">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三、</w:t>
            </w:r>
            <w:r>
              <w:rPr>
                <w:rFonts w:hint="default" w:ascii="Times New Roman" w:hAnsi="Times New Roman" w:cs="Times New Roman"/>
                <w:b/>
                <w:color w:val="auto"/>
                <w:highlight w:val="none"/>
              </w:rPr>
              <w:t>地表水环境质量现状</w:t>
            </w:r>
          </w:p>
          <w:p w14:paraId="302C377C">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1、水环境质量现状</w:t>
            </w:r>
          </w:p>
          <w:p w14:paraId="2E8E06A1">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本项目涉及的地表水体为</w:t>
            </w:r>
            <w:r>
              <w:rPr>
                <w:rFonts w:hint="default" w:ascii="Times New Roman" w:hAnsi="Times New Roman" w:cs="Times New Roman"/>
                <w:color w:val="auto"/>
                <w:highlight w:val="none"/>
                <w:lang w:val="en-US" w:eastAsia="zh-CN"/>
              </w:rPr>
              <w:t>欧根河</w:t>
            </w:r>
            <w:r>
              <w:rPr>
                <w:rFonts w:hint="default" w:ascii="Times New Roman" w:hAnsi="Times New Roman" w:cs="Times New Roman"/>
                <w:color w:val="auto"/>
                <w:highlight w:val="none"/>
              </w:rPr>
              <w:t>，属于</w:t>
            </w:r>
            <w:r>
              <w:rPr>
                <w:rFonts w:hint="default" w:ascii="Times New Roman" w:hAnsi="Times New Roman" w:cs="Times New Roman"/>
                <w:color w:val="auto"/>
                <w:highlight w:val="none"/>
                <w:lang w:val="en-US" w:eastAsia="zh-CN"/>
              </w:rPr>
              <w:t>呼兰河一级支流</w:t>
            </w:r>
            <w:r>
              <w:rPr>
                <w:rFonts w:hint="default" w:ascii="Times New Roman" w:hAnsi="Times New Roman" w:cs="Times New Roman"/>
                <w:color w:val="auto"/>
                <w:highlight w:val="none"/>
              </w:rPr>
              <w:t>，无水功能区划，</w:t>
            </w:r>
            <w:r>
              <w:rPr>
                <w:rFonts w:hint="default" w:ascii="Times New Roman" w:hAnsi="Times New Roman" w:cs="Times New Roman"/>
                <w:color w:val="auto"/>
                <w:highlight w:val="none"/>
                <w:lang w:val="en-US" w:eastAsia="zh-CN"/>
              </w:rPr>
              <w:t>根据《黑龙江省水环境生态补偿办法》（黑环发[2024]22号），距离最近的国考断面为呼兰河绥望桥断面，水质目标</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 3 \* ROMAN \* MERGEFORMAT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rPr>
              <w:t>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故执行</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 3 \* ROMAN \* MERGEFORMAT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rPr>
              <w:t>类</w:t>
            </w:r>
            <w:r>
              <w:rPr>
                <w:rFonts w:hint="default" w:ascii="Times New Roman" w:hAnsi="Times New Roman" w:cs="Times New Roman"/>
                <w:color w:val="auto"/>
                <w:highlight w:val="none"/>
                <w:lang w:val="en-US" w:eastAsia="zh-CN"/>
              </w:rPr>
              <w:t>标准。</w:t>
            </w:r>
          </w:p>
          <w:p w14:paraId="398FF4DB">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根据《2025年黑龙江省生态环境质量状况》，绥化市地表水国家考核断面共10个，Ⅰ</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Ⅲ类水质比例为80.0%。无劣V类水质断面。</w:t>
            </w:r>
          </w:p>
          <w:bookmarkEnd w:id="39"/>
          <w:bookmarkEnd w:id="40"/>
          <w:p w14:paraId="361FDE0B">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bookmarkStart w:id="41" w:name="_Toc78298347"/>
            <w:bookmarkStart w:id="42" w:name="_Toc69831440"/>
            <w:bookmarkStart w:id="43" w:name="_Toc68691110"/>
            <w:r>
              <w:rPr>
                <w:rFonts w:hint="default" w:ascii="Times New Roman" w:hAnsi="Times New Roman" w:cs="Times New Roman"/>
                <w:color w:val="auto"/>
                <w:highlight w:val="none"/>
              </w:rPr>
              <w:t>2、水文情势</w:t>
            </w:r>
          </w:p>
          <w:p w14:paraId="5412F77C">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根据流域的特征及本次治理布置选取</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个控制断面。</w:t>
            </w:r>
          </w:p>
          <w:p w14:paraId="7A176007">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（1）控制断面洪水</w:t>
            </w:r>
          </w:p>
          <w:p w14:paraId="29A4440A">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w:t>
            </w:r>
            <w:r>
              <w:rPr>
                <w:rFonts w:hint="default" w:ascii="Times New Roman" w:hAnsi="Times New Roman" w:cs="Times New Roman"/>
                <w:b/>
                <w:color w:val="auto"/>
                <w:sz w:val="21"/>
                <w:szCs w:val="21"/>
                <w:highlight w:val="none"/>
                <w:lang w:val="en-US" w:eastAsia="zh-CN"/>
              </w:rPr>
              <w:t xml:space="preserve">3—2  </w:t>
            </w:r>
            <w:r>
              <w:rPr>
                <w:rFonts w:hint="default" w:ascii="Times New Roman" w:hAnsi="Times New Roman" w:cs="Times New Roman"/>
                <w:b/>
                <w:color w:val="auto"/>
                <w:sz w:val="21"/>
                <w:szCs w:val="21"/>
                <w:highlight w:val="none"/>
              </w:rPr>
              <w:t>控制断面涉及洪水成果表   单位</w:t>
            </w:r>
            <w:r>
              <w:rPr>
                <w:rFonts w:hint="default" w:ascii="Times New Roman" w:hAnsi="Times New Roman" w:cs="Times New Roman"/>
                <w:b/>
                <w:color w:val="auto"/>
                <w:sz w:val="21"/>
                <w:szCs w:val="21"/>
                <w:highlight w:val="none"/>
                <w:lang w:eastAsia="zh-CN"/>
              </w:rPr>
              <w:t>:m</w:t>
            </w:r>
            <w:r>
              <w:rPr>
                <w:rFonts w:hint="default" w:ascii="Times New Roman" w:hAnsi="Times New Roman" w:cs="Times New Roman"/>
                <w:b/>
                <w:color w:val="auto"/>
                <w:sz w:val="21"/>
                <w:szCs w:val="21"/>
                <w:highlight w:val="none"/>
                <w:vertAlign w:val="superscript"/>
              </w:rPr>
              <w:t>3</w:t>
            </w:r>
            <w:r>
              <w:rPr>
                <w:rFonts w:hint="default" w:ascii="Times New Roman" w:hAnsi="Times New Roman" w:cs="Times New Roman"/>
                <w:b/>
                <w:color w:val="auto"/>
                <w:sz w:val="21"/>
                <w:szCs w:val="21"/>
                <w:highlight w:val="none"/>
              </w:rPr>
              <w:t>/s</w:t>
            </w:r>
          </w:p>
          <w:tbl>
            <w:tblPr>
              <w:tblStyle w:val="25"/>
              <w:tblW w:w="4998" w:type="pct"/>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37"/>
              <w:gridCol w:w="1609"/>
              <w:gridCol w:w="1439"/>
              <w:gridCol w:w="1027"/>
              <w:gridCol w:w="1042"/>
            </w:tblGrid>
            <w:tr w14:paraId="7BE10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57" w:type="pct"/>
                  <w:vMerge w:val="restart"/>
                  <w:tcBorders>
                    <w:top w:val="single" w:color="auto" w:sz="4" w:space="0"/>
                    <w:left w:val="single" w:color="auto" w:sz="0" w:space="0"/>
                    <w:tl2br w:val="nil"/>
                    <w:tr2bl w:val="nil"/>
                  </w:tcBorders>
                  <w:noWrap/>
                  <w:vAlign w:val="center"/>
                </w:tcPr>
                <w:p w14:paraId="4BE1E787">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断面</w:t>
                  </w:r>
                </w:p>
              </w:tc>
              <w:tc>
                <w:tcPr>
                  <w:tcW w:w="1051" w:type="pct"/>
                  <w:vMerge w:val="restart"/>
                  <w:tcBorders>
                    <w:top w:val="single" w:color="auto" w:sz="4" w:space="0"/>
                    <w:tl2br w:val="nil"/>
                    <w:tr2bl w:val="nil"/>
                  </w:tcBorders>
                  <w:noWrap/>
                  <w:vAlign w:val="center"/>
                </w:tcPr>
                <w:p w14:paraId="17C28799">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面积</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k</w:t>
                  </w:r>
                  <w:r>
                    <w:rPr>
                      <w:rFonts w:hint="default" w:ascii="Times New Roman" w:hAnsi="Times New Roman" w:cs="Times New Roman"/>
                      <w:color w:val="auto"/>
                      <w:sz w:val="21"/>
                      <w:szCs w:val="20"/>
                      <w:highlight w:val="none"/>
                      <w:lang w:eastAsia="zh-CN"/>
                    </w:rPr>
                    <w:t>m</w:t>
                  </w:r>
                  <w:r>
                    <w:rPr>
                      <w:rFonts w:hint="default" w:ascii="Times New Roman" w:hAnsi="Times New Roman" w:eastAsia="宋体" w:cs="Times New Roman"/>
                      <w:color w:val="auto"/>
                      <w:sz w:val="21"/>
                      <w:szCs w:val="20"/>
                      <w:highlight w:val="none"/>
                      <w:vertAlign w:val="superscript"/>
                    </w:rPr>
                    <w:t>2</w:t>
                  </w:r>
                  <w:r>
                    <w:rPr>
                      <w:rFonts w:hint="default" w:ascii="Times New Roman" w:hAnsi="Times New Roman" w:eastAsia="宋体" w:cs="Times New Roman"/>
                      <w:color w:val="auto"/>
                      <w:sz w:val="21"/>
                      <w:szCs w:val="20"/>
                      <w:highlight w:val="none"/>
                      <w:vertAlign w:val="baseline"/>
                      <w:lang w:eastAsia="zh-CN"/>
                    </w:rPr>
                    <w:t>）</w:t>
                  </w:r>
                </w:p>
              </w:tc>
              <w:tc>
                <w:tcPr>
                  <w:tcW w:w="2291" w:type="pct"/>
                  <w:gridSpan w:val="3"/>
                  <w:tcBorders>
                    <w:top w:val="single" w:color="auto" w:sz="4" w:space="0"/>
                    <w:right w:val="single" w:color="auto" w:sz="4" w:space="0"/>
                    <w:tl2br w:val="nil"/>
                    <w:tr2bl w:val="nil"/>
                  </w:tcBorders>
                  <w:noWrap w:val="0"/>
                  <w:vAlign w:val="center"/>
                </w:tcPr>
                <w:p w14:paraId="743E7A09">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设计值</w:t>
                  </w:r>
                </w:p>
              </w:tc>
            </w:tr>
            <w:tr w14:paraId="30861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57" w:type="pct"/>
                  <w:vMerge w:val="continue"/>
                  <w:tcBorders>
                    <w:left w:val="single" w:color="auto" w:sz="4" w:space="0"/>
                    <w:tl2br w:val="nil"/>
                    <w:tr2bl w:val="nil"/>
                  </w:tcBorders>
                  <w:noWrap w:val="0"/>
                  <w:vAlign w:val="center"/>
                </w:tcPr>
                <w:p w14:paraId="583FEF5E">
                  <w:pPr>
                    <w:spacing w:line="240" w:lineRule="auto"/>
                    <w:ind w:firstLine="0" w:firstLineChars="0"/>
                    <w:jc w:val="center"/>
                    <w:rPr>
                      <w:rFonts w:hint="default" w:ascii="Times New Roman" w:hAnsi="Times New Roman" w:eastAsia="宋体" w:cs="Times New Roman"/>
                      <w:color w:val="auto"/>
                      <w:sz w:val="21"/>
                      <w:szCs w:val="20"/>
                      <w:highlight w:val="none"/>
                    </w:rPr>
                  </w:pPr>
                </w:p>
              </w:tc>
              <w:tc>
                <w:tcPr>
                  <w:tcW w:w="1051" w:type="pct"/>
                  <w:vMerge w:val="continue"/>
                  <w:tcBorders>
                    <w:tl2br w:val="nil"/>
                    <w:tr2bl w:val="nil"/>
                  </w:tcBorders>
                  <w:noWrap w:val="0"/>
                  <w:vAlign w:val="center"/>
                </w:tcPr>
                <w:p w14:paraId="7BDF2CC9">
                  <w:pPr>
                    <w:spacing w:line="240" w:lineRule="auto"/>
                    <w:ind w:firstLine="0" w:firstLineChars="0"/>
                    <w:jc w:val="center"/>
                    <w:rPr>
                      <w:rFonts w:hint="default" w:ascii="Times New Roman" w:hAnsi="Times New Roman" w:eastAsia="宋体" w:cs="Times New Roman"/>
                      <w:color w:val="auto"/>
                      <w:sz w:val="21"/>
                      <w:szCs w:val="20"/>
                      <w:highlight w:val="none"/>
                    </w:rPr>
                  </w:pPr>
                </w:p>
              </w:tc>
              <w:tc>
                <w:tcPr>
                  <w:tcW w:w="940" w:type="pct"/>
                  <w:tcBorders>
                    <w:tl2br w:val="nil"/>
                    <w:tr2bl w:val="nil"/>
                  </w:tcBorders>
                  <w:noWrap/>
                  <w:vAlign w:val="center"/>
                </w:tcPr>
                <w:p w14:paraId="6FB6557B">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P=5%</w:t>
                  </w:r>
                </w:p>
              </w:tc>
              <w:tc>
                <w:tcPr>
                  <w:tcW w:w="671" w:type="pct"/>
                  <w:tcBorders>
                    <w:tl2br w:val="nil"/>
                    <w:tr2bl w:val="nil"/>
                  </w:tcBorders>
                  <w:noWrap/>
                  <w:vAlign w:val="center"/>
                </w:tcPr>
                <w:p w14:paraId="184F700C">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P=10%</w:t>
                  </w:r>
                </w:p>
              </w:tc>
              <w:tc>
                <w:tcPr>
                  <w:tcW w:w="680" w:type="pct"/>
                  <w:tcBorders>
                    <w:right w:val="single" w:color="auto" w:sz="4" w:space="0"/>
                    <w:tl2br w:val="nil"/>
                    <w:tr2bl w:val="nil"/>
                  </w:tcBorders>
                  <w:noWrap/>
                  <w:vAlign w:val="center"/>
                </w:tcPr>
                <w:p w14:paraId="5A927E7E">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P=20%</w:t>
                  </w:r>
                </w:p>
              </w:tc>
            </w:tr>
            <w:tr w14:paraId="6A37FB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57" w:type="pct"/>
                  <w:tcBorders>
                    <w:left w:val="single" w:color="auto" w:sz="4" w:space="0"/>
                    <w:tl2br w:val="nil"/>
                    <w:tr2bl w:val="nil"/>
                  </w:tcBorders>
                  <w:noWrap/>
                  <w:vAlign w:val="center"/>
                </w:tcPr>
                <w:p w14:paraId="14F63374">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val="en-US" w:eastAsia="zh-CN"/>
                    </w:rPr>
                    <w:t>欧根河</w:t>
                  </w:r>
                  <w:r>
                    <w:rPr>
                      <w:rFonts w:hint="default" w:ascii="Times New Roman" w:hAnsi="Times New Roman" w:eastAsia="宋体" w:cs="Times New Roman"/>
                      <w:color w:val="auto"/>
                      <w:sz w:val="21"/>
                      <w:szCs w:val="20"/>
                      <w:highlight w:val="none"/>
                    </w:rPr>
                    <w:t>水文站</w:t>
                  </w:r>
                </w:p>
              </w:tc>
              <w:tc>
                <w:tcPr>
                  <w:tcW w:w="1051" w:type="pct"/>
                  <w:tcBorders>
                    <w:tl2br w:val="nil"/>
                    <w:tr2bl w:val="nil"/>
                  </w:tcBorders>
                  <w:noWrap/>
                  <w:vAlign w:val="center"/>
                </w:tcPr>
                <w:p w14:paraId="4B51A591">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1927</w:t>
                  </w:r>
                </w:p>
              </w:tc>
              <w:tc>
                <w:tcPr>
                  <w:tcW w:w="940" w:type="pct"/>
                  <w:tcBorders>
                    <w:tl2br w:val="nil"/>
                    <w:tr2bl w:val="nil"/>
                  </w:tcBorders>
                  <w:noWrap/>
                  <w:vAlign w:val="center"/>
                </w:tcPr>
                <w:p w14:paraId="4710DA19">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1073</w:t>
                  </w:r>
                </w:p>
              </w:tc>
              <w:tc>
                <w:tcPr>
                  <w:tcW w:w="671" w:type="pct"/>
                  <w:tcBorders>
                    <w:tl2br w:val="nil"/>
                    <w:tr2bl w:val="nil"/>
                  </w:tcBorders>
                  <w:noWrap/>
                  <w:vAlign w:val="center"/>
                </w:tcPr>
                <w:p w14:paraId="0200C952">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633</w:t>
                  </w:r>
                </w:p>
              </w:tc>
              <w:tc>
                <w:tcPr>
                  <w:tcW w:w="680" w:type="pct"/>
                  <w:tcBorders>
                    <w:right w:val="single" w:color="auto" w:sz="4" w:space="0"/>
                    <w:tl2br w:val="nil"/>
                    <w:tr2bl w:val="nil"/>
                  </w:tcBorders>
                  <w:noWrap/>
                  <w:vAlign w:val="center"/>
                </w:tcPr>
                <w:p w14:paraId="52031708">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324</w:t>
                  </w:r>
                </w:p>
              </w:tc>
            </w:tr>
            <w:tr w14:paraId="25FA0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657" w:type="pct"/>
                  <w:tcBorders>
                    <w:left w:val="single" w:color="auto" w:sz="4" w:space="0"/>
                    <w:bottom w:val="single" w:color="auto" w:sz="4" w:space="0"/>
                    <w:tl2br w:val="nil"/>
                    <w:tr2bl w:val="nil"/>
                  </w:tcBorders>
                  <w:noWrap/>
                  <w:vAlign w:val="center"/>
                </w:tcPr>
                <w:p w14:paraId="1B8C9768">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欧根河口</w:t>
                  </w:r>
                </w:p>
              </w:tc>
              <w:tc>
                <w:tcPr>
                  <w:tcW w:w="1051" w:type="pct"/>
                  <w:tcBorders>
                    <w:bottom w:val="single" w:color="auto" w:sz="4" w:space="0"/>
                    <w:tl2br w:val="nil"/>
                    <w:tr2bl w:val="nil"/>
                  </w:tcBorders>
                  <w:noWrap/>
                  <w:vAlign w:val="center"/>
                </w:tcPr>
                <w:p w14:paraId="38BD61E9">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2004</w:t>
                  </w:r>
                </w:p>
              </w:tc>
              <w:tc>
                <w:tcPr>
                  <w:tcW w:w="940" w:type="pct"/>
                  <w:tcBorders>
                    <w:bottom w:val="single" w:color="auto" w:sz="4" w:space="0"/>
                    <w:tl2br w:val="nil"/>
                    <w:tr2bl w:val="nil"/>
                  </w:tcBorders>
                  <w:noWrap/>
                  <w:vAlign w:val="center"/>
                </w:tcPr>
                <w:p w14:paraId="4A8FB35E">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1102</w:t>
                  </w:r>
                </w:p>
              </w:tc>
              <w:tc>
                <w:tcPr>
                  <w:tcW w:w="671" w:type="pct"/>
                  <w:tcBorders>
                    <w:bottom w:val="single" w:color="auto" w:sz="4" w:space="0"/>
                    <w:tl2br w:val="nil"/>
                    <w:tr2bl w:val="nil"/>
                  </w:tcBorders>
                  <w:noWrap/>
                  <w:vAlign w:val="center"/>
                </w:tcPr>
                <w:p w14:paraId="727F7BDF">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650</w:t>
                  </w:r>
                </w:p>
              </w:tc>
              <w:tc>
                <w:tcPr>
                  <w:tcW w:w="680" w:type="pct"/>
                  <w:tcBorders>
                    <w:bottom w:val="single" w:color="auto" w:sz="4" w:space="0"/>
                    <w:right w:val="single" w:color="auto" w:sz="4" w:space="0"/>
                    <w:tl2br w:val="nil"/>
                    <w:tr2bl w:val="nil"/>
                  </w:tcBorders>
                  <w:noWrap/>
                  <w:vAlign w:val="center"/>
                </w:tcPr>
                <w:p w14:paraId="5E896F6B">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333</w:t>
                  </w:r>
                </w:p>
              </w:tc>
            </w:tr>
          </w:tbl>
          <w:p w14:paraId="64C5F6C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（2）设计枯水流量</w:t>
            </w:r>
          </w:p>
          <w:p w14:paraId="2F1EC32F">
            <w:pPr>
              <w:keepNext w:val="0"/>
              <w:keepLines w:val="0"/>
              <w:pageBreakBefore w:val="0"/>
              <w:widowControl w:val="0"/>
              <w:shd w:val="clear" w:color="auto" w:fill="auto"/>
              <w:kinsoku/>
              <w:wordWrap/>
              <w:overflowPunct/>
              <w:topLinePunct w:val="0"/>
              <w:autoSpaceDE/>
              <w:autoSpaceDN/>
              <w:bidi w:val="0"/>
              <w:spacing w:line="500" w:lineRule="exact"/>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根据《堤防工程设计规范（GB 50286</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2013）》，按护岸工程设计要求，计算多年平均枯水流量或设计枯水流量。设计枯水流量可按月平均流量最低的三个月的平均值计。</w:t>
            </w:r>
          </w:p>
          <w:p w14:paraId="04B27F7C">
            <w:pPr>
              <w:keepNext w:val="0"/>
              <w:keepLines w:val="0"/>
              <w:pageBreakBefore w:val="0"/>
              <w:widowControl w:val="0"/>
              <w:shd w:val="clear" w:color="auto" w:fill="auto"/>
              <w:kinsoku/>
              <w:wordWrap/>
              <w:overflowPunct/>
              <w:topLinePunct w:val="0"/>
              <w:autoSpaceDE/>
              <w:autoSpaceDN/>
              <w:bidi w:val="0"/>
              <w:spacing w:line="500" w:lineRule="exact"/>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由于欧根站实测资料系列较短，依据北关</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二</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站1952年～2023年畅流期</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4月～11月</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月平均流量系列，并统计月平均流量最低的三个月平均值作为单站设计枯水流量，北关</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二</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站多年平均最低三个月平均流量为15</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³/s。</w:t>
            </w:r>
          </w:p>
          <w:p w14:paraId="32CC03F5">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sz w:val="24"/>
                <w:szCs w:val="24"/>
                <w:highlight w:val="none"/>
              </w:rPr>
              <w:t>根据工程所在位置，将单站枯水设计流量按照面积比转换到工程位置，再根据控制断面所在大横断面资料绘制断面H～Q曲线，最终得到设计枯水位，由于枯水流量较小，枯水水位可按河底高程计算</w:t>
            </w:r>
            <w:r>
              <w:rPr>
                <w:rFonts w:hint="default" w:ascii="Times New Roman" w:hAnsi="Times New Roman" w:eastAsia="宋体" w:cs="Times New Roman"/>
                <w:color w:val="auto"/>
                <w:sz w:val="24"/>
                <w:szCs w:val="24"/>
                <w:highlight w:val="none"/>
              </w:rPr>
              <w:t>。</w:t>
            </w:r>
          </w:p>
          <w:p w14:paraId="268EF8D5">
            <w:pPr>
              <w:keepNext w:val="0"/>
              <w:keepLines w:val="0"/>
              <w:pageBreakBefore w:val="0"/>
              <w:widowControl w:val="0"/>
              <w:kinsoku/>
              <w:wordWrap/>
              <w:overflowPunct/>
              <w:topLinePunct w:val="0"/>
              <w:autoSpaceDE/>
              <w:autoSpaceDN/>
              <w:bidi w:val="0"/>
              <w:spacing w:line="500" w:lineRule="exact"/>
              <w:ind w:firstLine="211" w:firstLineChars="10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default" w:ascii="Times New Roman" w:hAnsi="Times New Roman" w:cs="Times New Roman"/>
                <w:b/>
                <w:color w:val="auto"/>
                <w:kern w:val="2"/>
                <w:sz w:val="21"/>
                <w:szCs w:val="21"/>
                <w:highlight w:val="none"/>
                <w:lang w:val="en-US" w:eastAsia="zh-CN" w:bidi="ar-SA"/>
              </w:rPr>
              <w:t>—</w:t>
            </w:r>
            <w:r>
              <w:rPr>
                <w:rFonts w:hint="default" w:ascii="Times New Roman" w:hAnsi="Times New Roman" w:eastAsia="宋体" w:cs="Times New Roman"/>
                <w:b/>
                <w:color w:val="auto"/>
                <w:kern w:val="2"/>
                <w:sz w:val="21"/>
                <w:szCs w:val="21"/>
                <w:highlight w:val="none"/>
                <w:lang w:val="en-US" w:eastAsia="zh-CN" w:bidi="ar-SA"/>
              </w:rPr>
              <w:t>3</w:t>
            </w:r>
            <w:r>
              <w:rPr>
                <w:rFonts w:hint="default" w:ascii="Times New Roman" w:hAnsi="Times New Roman" w:cs="Times New Roman"/>
                <w:b/>
                <w:color w:val="auto"/>
                <w:kern w:val="2"/>
                <w:sz w:val="21"/>
                <w:szCs w:val="21"/>
                <w:highlight w:val="none"/>
                <w:lang w:val="en-US" w:eastAsia="zh-CN" w:bidi="ar-SA"/>
              </w:rPr>
              <w:t xml:space="preserve">  </w:t>
            </w:r>
            <w:r>
              <w:rPr>
                <w:rFonts w:hint="default" w:ascii="Times New Roman" w:hAnsi="Times New Roman" w:eastAsia="宋体" w:cs="Times New Roman"/>
                <w:b/>
                <w:color w:val="auto"/>
                <w:kern w:val="2"/>
                <w:sz w:val="21"/>
                <w:szCs w:val="21"/>
                <w:highlight w:val="none"/>
                <w:lang w:val="en-US" w:eastAsia="zh-CN" w:bidi="ar-SA"/>
              </w:rPr>
              <w:t>枯水流量成果表</w:t>
            </w:r>
          </w:p>
          <w:tbl>
            <w:tblPr>
              <w:tblStyle w:val="25"/>
              <w:tblW w:w="5000" w:type="pct"/>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53"/>
              <w:gridCol w:w="2951"/>
              <w:gridCol w:w="1953"/>
            </w:tblGrid>
            <w:tr w14:paraId="002897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97" w:type="pct"/>
                  <w:tcBorders>
                    <w:top w:val="single" w:color="auto" w:sz="4" w:space="0"/>
                    <w:left w:val="single" w:color="auto" w:sz="0" w:space="0"/>
                    <w:tl2br w:val="nil"/>
                    <w:tr2bl w:val="nil"/>
                  </w:tcBorders>
                  <w:noWrap/>
                  <w:vAlign w:val="center"/>
                </w:tcPr>
                <w:p w14:paraId="678BF6EA">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断面位置</w:t>
                  </w:r>
                </w:p>
              </w:tc>
              <w:tc>
                <w:tcPr>
                  <w:tcW w:w="1926" w:type="pct"/>
                  <w:tcBorders>
                    <w:top w:val="single" w:color="auto" w:sz="4" w:space="0"/>
                    <w:tl2br w:val="nil"/>
                    <w:tr2bl w:val="nil"/>
                  </w:tcBorders>
                  <w:noWrap/>
                  <w:vAlign w:val="center"/>
                </w:tcPr>
                <w:p w14:paraId="25DBE292">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控制面积</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k</w:t>
                  </w:r>
                  <w:r>
                    <w:rPr>
                      <w:rFonts w:hint="default" w:ascii="Times New Roman" w:hAnsi="Times New Roman" w:cs="Times New Roman"/>
                      <w:color w:val="auto"/>
                      <w:sz w:val="21"/>
                      <w:szCs w:val="20"/>
                      <w:highlight w:val="none"/>
                      <w:lang w:eastAsia="zh-CN"/>
                    </w:rPr>
                    <w:t>m</w:t>
                  </w:r>
                  <w:r>
                    <w:rPr>
                      <w:rFonts w:hint="default" w:ascii="Times New Roman" w:hAnsi="Times New Roman" w:eastAsia="宋体" w:cs="Times New Roman"/>
                      <w:color w:val="auto"/>
                      <w:sz w:val="21"/>
                      <w:szCs w:val="20"/>
                      <w:highlight w:val="none"/>
                      <w:vertAlign w:val="superscript"/>
                    </w:rPr>
                    <w:t>2</w:t>
                  </w:r>
                  <w:r>
                    <w:rPr>
                      <w:rFonts w:hint="default" w:ascii="Times New Roman" w:hAnsi="Times New Roman" w:eastAsia="宋体" w:cs="Times New Roman"/>
                      <w:color w:val="auto"/>
                      <w:sz w:val="21"/>
                      <w:szCs w:val="20"/>
                      <w:highlight w:val="none"/>
                      <w:vertAlign w:val="baseline"/>
                      <w:lang w:eastAsia="zh-CN"/>
                    </w:rPr>
                    <w:t>）</w:t>
                  </w:r>
                </w:p>
              </w:tc>
              <w:tc>
                <w:tcPr>
                  <w:tcW w:w="1275" w:type="pct"/>
                  <w:tcBorders>
                    <w:top w:val="single" w:color="auto" w:sz="4" w:space="0"/>
                    <w:right w:val="single" w:color="auto" w:sz="4" w:space="0"/>
                    <w:tl2br w:val="nil"/>
                    <w:tr2bl w:val="nil"/>
                  </w:tcBorders>
                  <w:noWrap/>
                  <w:vAlign w:val="center"/>
                </w:tcPr>
                <w:p w14:paraId="3A392004">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枯水流量</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cs="Times New Roman"/>
                      <w:color w:val="auto"/>
                      <w:sz w:val="21"/>
                      <w:szCs w:val="20"/>
                      <w:highlight w:val="none"/>
                      <w:lang w:eastAsia="zh-CN"/>
                    </w:rPr>
                    <w:t>m</w:t>
                  </w:r>
                  <w:r>
                    <w:rPr>
                      <w:rFonts w:hint="default" w:ascii="Times New Roman" w:hAnsi="Times New Roman" w:eastAsia="宋体" w:cs="Times New Roman"/>
                      <w:color w:val="auto"/>
                      <w:sz w:val="21"/>
                      <w:szCs w:val="20"/>
                      <w:highlight w:val="none"/>
                      <w:vertAlign w:val="superscript"/>
                    </w:rPr>
                    <w:t>3</w:t>
                  </w:r>
                  <w:r>
                    <w:rPr>
                      <w:rFonts w:hint="default" w:ascii="Times New Roman" w:hAnsi="Times New Roman" w:eastAsia="宋体" w:cs="Times New Roman"/>
                      <w:color w:val="auto"/>
                      <w:sz w:val="21"/>
                      <w:szCs w:val="20"/>
                      <w:highlight w:val="none"/>
                    </w:rPr>
                    <w:t>/s</w:t>
                  </w:r>
                  <w:r>
                    <w:rPr>
                      <w:rFonts w:hint="default" w:ascii="Times New Roman" w:hAnsi="Times New Roman" w:eastAsia="宋体" w:cs="Times New Roman"/>
                      <w:color w:val="auto"/>
                      <w:sz w:val="21"/>
                      <w:szCs w:val="20"/>
                      <w:highlight w:val="none"/>
                      <w:lang w:eastAsia="zh-CN"/>
                    </w:rPr>
                    <w:t>）</w:t>
                  </w:r>
                </w:p>
              </w:tc>
            </w:tr>
            <w:tr w14:paraId="3F3734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97" w:type="pct"/>
                  <w:tcBorders>
                    <w:left w:val="single" w:color="auto" w:sz="4" w:space="0"/>
                    <w:bottom w:val="single" w:color="auto" w:sz="4" w:space="0"/>
                    <w:tl2br w:val="nil"/>
                    <w:tr2bl w:val="nil"/>
                  </w:tcBorders>
                  <w:noWrap/>
                  <w:vAlign w:val="center"/>
                </w:tcPr>
                <w:p w14:paraId="3284C073">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val="en-US" w:eastAsia="zh-CN"/>
                    </w:rPr>
                    <w:t>欧根河北关（二）</w:t>
                  </w:r>
                  <w:r>
                    <w:rPr>
                      <w:rFonts w:hint="default" w:ascii="Times New Roman" w:hAnsi="Times New Roman" w:eastAsia="宋体" w:cs="Times New Roman"/>
                      <w:color w:val="auto"/>
                      <w:sz w:val="21"/>
                      <w:szCs w:val="20"/>
                      <w:highlight w:val="none"/>
                    </w:rPr>
                    <w:t>站</w:t>
                  </w:r>
                </w:p>
              </w:tc>
              <w:tc>
                <w:tcPr>
                  <w:tcW w:w="1926" w:type="pct"/>
                  <w:tcBorders>
                    <w:bottom w:val="single" w:color="auto" w:sz="4" w:space="0"/>
                    <w:tl2br w:val="nil"/>
                    <w:tr2bl w:val="nil"/>
                  </w:tcBorders>
                  <w:noWrap/>
                  <w:vAlign w:val="center"/>
                </w:tcPr>
                <w:p w14:paraId="6B010669">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1927</w:t>
                  </w:r>
                </w:p>
              </w:tc>
              <w:tc>
                <w:tcPr>
                  <w:tcW w:w="1275" w:type="pct"/>
                  <w:tcBorders>
                    <w:bottom w:val="single" w:color="auto" w:sz="4" w:space="0"/>
                    <w:right w:val="single" w:color="auto" w:sz="4" w:space="0"/>
                    <w:tl2br w:val="nil"/>
                    <w:tr2bl w:val="nil"/>
                  </w:tcBorders>
                  <w:noWrap/>
                  <w:vAlign w:val="center"/>
                </w:tcPr>
                <w:p w14:paraId="6B514AC5">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15</w:t>
                  </w:r>
                </w:p>
              </w:tc>
            </w:tr>
          </w:tbl>
          <w:p w14:paraId="79C8C93A">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textAlignment w:val="auto"/>
              <w:rPr>
                <w:rFonts w:hint="default" w:ascii="Times New Roman" w:hAnsi="Times New Roman" w:cs="Times New Roman"/>
                <w:b/>
                <w:color w:val="auto"/>
                <w:sz w:val="28"/>
                <w:szCs w:val="28"/>
                <w:highlight w:val="none"/>
              </w:rPr>
            </w:pPr>
            <w:bookmarkStart w:id="44" w:name="_Toc23063"/>
            <w:bookmarkStart w:id="45" w:name="_Toc82120797"/>
            <w:r>
              <w:rPr>
                <w:rFonts w:hint="default" w:ascii="Times New Roman" w:hAnsi="Times New Roman" w:cs="Times New Roman"/>
                <w:b/>
                <w:color w:val="auto"/>
                <w:highlight w:val="none"/>
                <w:lang w:val="en-US" w:eastAsia="zh-CN"/>
              </w:rPr>
              <w:t>四、</w:t>
            </w:r>
            <w:r>
              <w:rPr>
                <w:rFonts w:hint="default" w:ascii="Times New Roman" w:hAnsi="Times New Roman" w:cs="Times New Roman"/>
                <w:b/>
                <w:color w:val="auto"/>
                <w:highlight w:val="none"/>
              </w:rPr>
              <w:t>声环境质量现状</w:t>
            </w:r>
            <w:bookmarkEnd w:id="41"/>
            <w:bookmarkEnd w:id="42"/>
            <w:bookmarkEnd w:id="43"/>
            <w:bookmarkEnd w:id="44"/>
            <w:bookmarkEnd w:id="45"/>
          </w:p>
          <w:p w14:paraId="6F97026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本工</w:t>
            </w:r>
            <w:r>
              <w:rPr>
                <w:rFonts w:hint="default" w:ascii="Times New Roman" w:hAnsi="Times New Roman" w:cs="Times New Roman"/>
                <w:color w:val="auto"/>
                <w:spacing w:val="-4"/>
                <w:sz w:val="24"/>
                <w:highlight w:val="none"/>
              </w:rPr>
              <w:t>程位于农村地区，</w:t>
            </w:r>
            <w:r>
              <w:rPr>
                <w:rFonts w:hint="default" w:ascii="Times New Roman" w:hAnsi="Times New Roman" w:cs="Times New Roman"/>
                <w:color w:val="auto"/>
                <w:kern w:val="0"/>
                <w:sz w:val="24"/>
                <w:highlight w:val="none"/>
              </w:rPr>
              <w:t>参照《声环境质量标准》（GB3096</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2008），本项目所在区域</w:t>
            </w:r>
            <w:r>
              <w:rPr>
                <w:rFonts w:hint="default" w:ascii="Times New Roman" w:hAnsi="Times New Roman" w:cs="Times New Roman"/>
                <w:color w:val="auto"/>
                <w:kern w:val="0"/>
                <w:sz w:val="24"/>
                <w:highlight w:val="none"/>
                <w:lang w:val="en-US" w:eastAsia="zh-CN"/>
              </w:rPr>
              <w:t>农村的</w:t>
            </w:r>
            <w:r>
              <w:rPr>
                <w:rFonts w:hint="default" w:ascii="Times New Roman" w:hAnsi="Times New Roman" w:cs="Times New Roman"/>
                <w:color w:val="auto"/>
                <w:kern w:val="0"/>
                <w:sz w:val="24"/>
                <w:highlight w:val="none"/>
              </w:rPr>
              <w:t>声功能区划按1类区执行。</w:t>
            </w:r>
            <w:r>
              <w:rPr>
                <w:rFonts w:hint="default" w:ascii="Times New Roman" w:hAnsi="Times New Roman" w:cs="Times New Roman"/>
                <w:color w:val="auto"/>
                <w:sz w:val="24"/>
                <w:highlight w:val="none"/>
              </w:rPr>
              <w:t>工程所在区域无大型排放废气、废水和噪声的工业企业污染源，周边为农田，声环境质量良好，可满足</w:t>
            </w:r>
            <w:r>
              <w:rPr>
                <w:rFonts w:hint="default" w:ascii="Times New Roman" w:hAnsi="Times New Roman" w:cs="Times New Roman"/>
                <w:color w:val="auto"/>
                <w:kern w:val="0"/>
                <w:sz w:val="24"/>
                <w:highlight w:val="none"/>
              </w:rPr>
              <w:t>《声环境质量标准》（GB3096</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2008）1类标准</w:t>
            </w:r>
            <w:r>
              <w:rPr>
                <w:rFonts w:hint="default" w:ascii="Times New Roman" w:hAnsi="Times New Roman" w:cs="Times New Roman"/>
                <w:color w:val="auto"/>
                <w:sz w:val="24"/>
                <w:highlight w:val="none"/>
              </w:rPr>
              <w:t>。</w:t>
            </w:r>
          </w:p>
          <w:p w14:paraId="10A2EA1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color w:val="auto"/>
                <w:sz w:val="24"/>
                <w:highlight w:val="none"/>
                <w:lang w:val="en-US" w:eastAsia="zh-CN"/>
              </w:rPr>
              <w:t>本项目施工线路两侧200m范围内无环境敏感点，因此不进行声环境质量补测</w:t>
            </w:r>
            <w:r>
              <w:rPr>
                <w:rFonts w:hint="default" w:ascii="Times New Roman" w:hAnsi="Times New Roman" w:cs="Times New Roman"/>
                <w:color w:val="auto"/>
                <w:kern w:val="0"/>
                <w:sz w:val="24"/>
                <w:highlight w:val="none"/>
                <w:lang w:val="en-US" w:eastAsia="zh-CN"/>
              </w:rPr>
              <w:t>。</w:t>
            </w:r>
          </w:p>
          <w:p w14:paraId="1E9BB0AF">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五、地下水环境质量现状</w:t>
            </w:r>
          </w:p>
          <w:p w14:paraId="633C3021">
            <w:pPr>
              <w:keepNext w:val="0"/>
              <w:keepLines w:val="0"/>
              <w:pageBreakBefore w:val="0"/>
              <w:widowControl w:val="0"/>
              <w:kinsoku/>
              <w:wordWrap/>
              <w:overflowPunct/>
              <w:topLinePunct w:val="0"/>
              <w:autoSpaceDE/>
              <w:autoSpaceDN/>
              <w:bidi w:val="0"/>
              <w:spacing w:line="500" w:lineRule="exact"/>
              <w:ind w:firstLine="470" w:firstLineChars="196"/>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根据《环境影响评价技术导则 地下水环境》（HJ610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2016）附录A，本项目属于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A水利</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4、防洪治涝工程</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其他</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项目，地下水环境影响评价项目类别为报告表</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4 \* ROMAN \* MERGEFORMAT </w:instrText>
            </w:r>
            <w:r>
              <w:rPr>
                <w:rFonts w:hint="default" w:ascii="Times New Roman" w:hAnsi="Times New Roman" w:cs="Times New Roman"/>
                <w:color w:val="auto"/>
                <w:sz w:val="24"/>
                <w:highlight w:val="none"/>
              </w:rPr>
              <w:fldChar w:fldCharType="separate"/>
            </w:r>
            <w:r>
              <w:rPr>
                <w:rFonts w:hint="default" w:ascii="Times New Roman" w:hAnsi="Times New Roman" w:eastAsia="微软雅黑" w:cs="Times New Roman"/>
                <w:color w:val="auto"/>
                <w:sz w:val="24"/>
                <w:highlight w:val="none"/>
              </w:rPr>
              <w:t>Ⅳ</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类，根据导则4.1条款规定，不开展地下水环境影响评价。</w:t>
            </w:r>
          </w:p>
          <w:p w14:paraId="1067A7E3">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六、</w:t>
            </w:r>
            <w:r>
              <w:rPr>
                <w:rFonts w:hint="default" w:ascii="Times New Roman" w:hAnsi="Times New Roman" w:cs="Times New Roman"/>
                <w:b/>
                <w:bCs/>
                <w:color w:val="auto"/>
                <w:sz w:val="24"/>
                <w:highlight w:val="none"/>
              </w:rPr>
              <w:t>土壤</w:t>
            </w:r>
            <w:r>
              <w:rPr>
                <w:rFonts w:hint="default" w:ascii="Times New Roman" w:hAnsi="Times New Roman" w:cs="Times New Roman"/>
                <w:b/>
                <w:bCs/>
                <w:color w:val="auto"/>
                <w:sz w:val="24"/>
                <w:highlight w:val="none"/>
                <w:lang w:val="en-US" w:eastAsia="zh-CN"/>
              </w:rPr>
              <w:t>环境质量现状</w:t>
            </w:r>
          </w:p>
          <w:p w14:paraId="6C185C30">
            <w:pPr>
              <w:keepNext w:val="0"/>
              <w:keepLines w:val="0"/>
              <w:pageBreakBefore w:val="0"/>
              <w:widowControl w:val="0"/>
              <w:kinsoku/>
              <w:wordWrap/>
              <w:overflowPunct/>
              <w:topLinePunct w:val="0"/>
              <w:autoSpaceDE/>
              <w:autoSpaceDN/>
              <w:bidi w:val="0"/>
              <w:spacing w:line="500" w:lineRule="exact"/>
              <w:ind w:firstLine="470" w:firstLineChars="196"/>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根据《环境影响评价技术导则 土壤环境》（HJ964</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2018），本项目所属行业类别为水利工程，本项目属于附录A中的水利</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其他，为</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3 \* ROMAN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III</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类。根据6.2.1章节，生态影响型建</w:t>
            </w:r>
            <w:r>
              <w:rPr>
                <w:rFonts w:hint="default" w:ascii="Times New Roman" w:hAnsi="Times New Roman" w:eastAsia="宋体" w:cs="Times New Roman"/>
                <w:color w:val="auto"/>
                <w:sz w:val="24"/>
                <w:highlight w:val="none"/>
              </w:rPr>
              <w:t>设项目评价工作等级划分依据，本项目所在区域多年平均年降水量为</w:t>
            </w:r>
            <w:r>
              <w:rPr>
                <w:rFonts w:hint="default" w:ascii="Times New Roman" w:hAnsi="Times New Roman" w:eastAsia="宋体" w:cs="Times New Roman"/>
                <w:color w:val="auto"/>
                <w:sz w:val="24"/>
                <w:highlight w:val="none"/>
                <w:lang w:val="en-US" w:eastAsia="zh-CN"/>
              </w:rPr>
              <w:t>668</w:t>
            </w:r>
            <w:r>
              <w:rPr>
                <w:rFonts w:hint="default" w:ascii="Times New Roman" w:hAnsi="Times New Roman" w:cs="Times New Roman"/>
                <w:color w:val="auto"/>
                <w:sz w:val="24"/>
                <w:highlight w:val="none"/>
                <w:lang w:eastAsia="zh-CN"/>
              </w:rPr>
              <w:t>mm</w:t>
            </w:r>
            <w:r>
              <w:rPr>
                <w:rFonts w:hint="default" w:ascii="Times New Roman" w:hAnsi="Times New Roman" w:eastAsia="宋体" w:cs="Times New Roman"/>
                <w:color w:val="auto"/>
                <w:sz w:val="24"/>
                <w:highlight w:val="none"/>
              </w:rPr>
              <w:t>，多年平均蒸发量为</w:t>
            </w:r>
            <w:r>
              <w:rPr>
                <w:rFonts w:hint="default" w:ascii="Times New Roman" w:hAnsi="Times New Roman" w:eastAsia="宋体" w:cs="Times New Roman"/>
                <w:color w:val="auto"/>
                <w:sz w:val="24"/>
                <w:highlight w:val="none"/>
                <w:lang w:val="en-US" w:eastAsia="zh-CN"/>
              </w:rPr>
              <w:t>1130</w:t>
            </w:r>
            <w:r>
              <w:rPr>
                <w:rFonts w:hint="default" w:ascii="Times New Roman" w:hAnsi="Times New Roman" w:cs="Times New Roman"/>
                <w:color w:val="auto"/>
                <w:sz w:val="24"/>
                <w:highlight w:val="none"/>
                <w:lang w:eastAsia="zh-CN"/>
              </w:rPr>
              <w:t>mm</w:t>
            </w:r>
            <w:r>
              <w:rPr>
                <w:rFonts w:hint="default" w:ascii="Times New Roman" w:hAnsi="Times New Roman" w:eastAsia="宋体" w:cs="Times New Roman"/>
                <w:color w:val="auto"/>
                <w:sz w:val="24"/>
                <w:highlight w:val="none"/>
                <w:lang w:eastAsia="zh-CN"/>
              </w:rPr>
              <w:t>。该区的水文地质结构受控于其</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漫岗平原与低山丘陵相间</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的地貌格局和</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松散孔隙水与基岩裂隙水并存</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的地层特点。地下水主要接受大气降水的入渗补给，由东北向西南方向径流，最终排泄于呼兰河等河流。</w:t>
            </w:r>
            <w:r>
              <w:rPr>
                <w:rFonts w:hint="default" w:ascii="Times New Roman" w:hAnsi="Times New Roman" w:eastAsia="宋体" w:cs="Times New Roman"/>
                <w:color w:val="auto"/>
                <w:sz w:val="24"/>
                <w:highlight w:val="none"/>
                <w:lang w:val="en-US" w:eastAsia="zh-CN"/>
              </w:rPr>
              <w:t>地下水埋深在0.30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～3.50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，水位在185.21</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～187.68</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，年最大变幅2.00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左右。</w:t>
            </w:r>
          </w:p>
          <w:p w14:paraId="6CD1801C">
            <w:pPr>
              <w:keepNext w:val="0"/>
              <w:keepLines w:val="0"/>
              <w:pageBreakBefore w:val="0"/>
              <w:widowControl w:val="0"/>
              <w:kinsoku/>
              <w:wordWrap/>
              <w:overflowPunct/>
              <w:topLinePunct w:val="0"/>
              <w:autoSpaceDE/>
              <w:autoSpaceDN/>
              <w:bidi w:val="0"/>
              <w:spacing w:line="500" w:lineRule="exact"/>
              <w:ind w:firstLine="470" w:firstLineChars="196"/>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区域土壤含盐量一般低于2g/kg；根据中国土壤数据库，工程区土类主要为暗棕壤，pH</w:t>
            </w:r>
            <w:r>
              <w:rPr>
                <w:rFonts w:hint="default" w:ascii="Times New Roman" w:hAnsi="Times New Roman" w:eastAsia="宋体" w:cs="Times New Roman"/>
                <w:color w:val="auto"/>
                <w:sz w:val="24"/>
                <w:highlight w:val="none"/>
                <w:lang w:val="en-US" w:eastAsia="zh-CN"/>
              </w:rPr>
              <w:t>为6.5</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7.5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无量纲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，则判断土壤盐化、酸化、碱化程度属于不敏感。因此根据生态影响型评价工作等对照生态影响型评价工作等级划分表，本</w:t>
            </w:r>
            <w:r>
              <w:rPr>
                <w:rFonts w:hint="default" w:ascii="Times New Roman" w:hAnsi="Times New Roman" w:eastAsia="宋体" w:cs="Times New Roman"/>
                <w:color w:val="auto"/>
                <w:sz w:val="24"/>
                <w:highlight w:val="none"/>
                <w:lang w:val="en-US" w:eastAsia="zh-CN"/>
              </w:rPr>
              <w:t>工程</w:t>
            </w:r>
            <w:r>
              <w:rPr>
                <w:rFonts w:hint="default" w:ascii="Times New Roman" w:hAnsi="Times New Roman" w:eastAsia="宋体" w:cs="Times New Roman"/>
                <w:color w:val="auto"/>
                <w:sz w:val="24"/>
                <w:highlight w:val="none"/>
              </w:rPr>
              <w:t>敏感程度为</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不敏感</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判定本工程土壤环境影响评价等级为</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无需开展土壤环境影响评价工作</w:t>
            </w:r>
            <w:r>
              <w:rPr>
                <w:rFonts w:hint="default" w:ascii="Times New Roman" w:hAnsi="Times New Roman" w:cs="Times New Roman"/>
                <w:color w:val="auto"/>
                <w:sz w:val="24"/>
                <w:highlight w:val="none"/>
              </w:rPr>
              <w:t>。</w:t>
            </w:r>
          </w:p>
          <w:p w14:paraId="66384879">
            <w:pPr>
              <w:pStyle w:val="84"/>
              <w:bidi w:val="0"/>
              <w:rPr>
                <w:rFonts w:hint="default" w:ascii="Times New Roman" w:hAnsi="Times New Roman" w:cs="Times New Roman"/>
                <w:b/>
                <w:bCs/>
                <w:color w:val="auto"/>
                <w:highlight w:val="none"/>
                <w:lang w:eastAsia="zh-CN"/>
              </w:rPr>
            </w:pPr>
          </w:p>
        </w:tc>
      </w:tr>
      <w:tr w14:paraId="26B04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81" w:type="pct"/>
            <w:noWrap w:val="0"/>
            <w:vAlign w:val="center"/>
          </w:tcPr>
          <w:p w14:paraId="7A3A298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bCs/>
                <w:color w:val="auto"/>
                <w:sz w:val="24"/>
                <w:highlight w:val="none"/>
              </w:rPr>
              <w:t>与项目有关的原有环境污染和生态破坏问题</w:t>
            </w:r>
          </w:p>
        </w:tc>
        <w:tc>
          <w:tcPr>
            <w:tcW w:w="4619" w:type="pct"/>
            <w:noWrap w:val="0"/>
            <w:vAlign w:val="center"/>
          </w:tcPr>
          <w:p w14:paraId="5475E7CD">
            <w:pPr>
              <w:pStyle w:val="84"/>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1、现状问题</w:t>
            </w:r>
          </w:p>
          <w:p w14:paraId="5D5510A0">
            <w:pPr>
              <w:pStyle w:val="84"/>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sz w:val="24"/>
                <w:highlight w:val="none"/>
                <w:lang w:val="en-US" w:eastAsia="zh-CN"/>
              </w:rPr>
              <w:t>长期以来，欧根河防洪治理缺乏投资机制和渠道，治理资金严重不足，河道防洪标准低，防洪除涝工程管理也比较落后，加之近年来随着气候的变化和大气环流影响向内陆的延伸，东北地区进入丰水期，年降雨量逐年增大，局部区域已经达到历史极值，并且频受台风影响突发多点，洪灾损失越来越大，对河道的防洪要求越来越高。</w:t>
            </w:r>
          </w:p>
          <w:p w14:paraId="06C494B3">
            <w:pPr>
              <w:pStyle w:val="8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2、环境污染</w:t>
            </w:r>
          </w:p>
          <w:p w14:paraId="4FA12D78">
            <w:pPr>
              <w:pStyle w:val="8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原有现状问题会导致防洪标准低、河道行洪不畅，暴雨洪水易造成城区、农田涝渍积水，积水浸泡生活垃圾、污水管网、农田化肥农药等，形成黑臭水体、面源污染扩散，恶化河流水质。护岸破损或无护岸会导致洪水漫溢冲刷堤岸、农田与建设用地，将泥沙、悬浮物、腐殖质、畜禽养殖废物带入河道，造成水体悬浮物浓度升高、有机污染加重。同时缺乏工程管护会使河道淤积严重，自净能力下降，污染物易累积，进一步加剧水体污染。</w:t>
            </w:r>
          </w:p>
          <w:p w14:paraId="7C1E501F">
            <w:pPr>
              <w:pStyle w:val="8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highlight w:val="none"/>
                <w:lang w:val="en-US" w:eastAsia="zh-CN"/>
              </w:rPr>
            </w:pPr>
          </w:p>
          <w:p w14:paraId="4780C9DB">
            <w:pPr>
              <w:pStyle w:val="8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highlight w:val="none"/>
                <w:lang w:val="en-US" w:eastAsia="zh-CN"/>
              </w:rPr>
            </w:pPr>
          </w:p>
          <w:p w14:paraId="442EC91A">
            <w:pPr>
              <w:pStyle w:val="8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highlight w:val="none"/>
                <w:lang w:val="en-US" w:eastAsia="zh-CN"/>
              </w:rPr>
            </w:pPr>
          </w:p>
          <w:p w14:paraId="24F46C25">
            <w:pPr>
              <w:pStyle w:val="8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highlight w:val="none"/>
                <w:lang w:val="en-US" w:eastAsia="zh-CN"/>
              </w:rPr>
            </w:pPr>
          </w:p>
          <w:p w14:paraId="458FAAEB">
            <w:pPr>
              <w:shd w:val="clear" w:color="auto" w:fill="auto"/>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2408555" cy="3501390"/>
                  <wp:effectExtent l="0" t="0" r="14605" b="3810"/>
                  <wp:docPr id="67"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75"/>
                          <pic:cNvPicPr>
                            <a:picLocks noChangeAspect="1"/>
                          </pic:cNvPicPr>
                        </pic:nvPicPr>
                        <pic:blipFill>
                          <a:blip r:embed="rId16"/>
                          <a:stretch>
                            <a:fillRect/>
                          </a:stretch>
                        </pic:blipFill>
                        <pic:spPr>
                          <a:xfrm>
                            <a:off x="0" y="0"/>
                            <a:ext cx="2408555" cy="3501390"/>
                          </a:xfrm>
                          <a:prstGeom prst="rect">
                            <a:avLst/>
                          </a:prstGeom>
                          <a:noFill/>
                          <a:ln>
                            <a:noFill/>
                          </a:ln>
                        </pic:spPr>
                      </pic:pic>
                    </a:graphicData>
                  </a:graphic>
                </wp:inline>
              </w:drawing>
            </w:r>
            <w:r>
              <w:rPr>
                <w:rFonts w:hint="default" w:ascii="Times New Roman" w:hAnsi="Times New Roman" w:cs="Times New Roman"/>
                <w:highlight w:val="none"/>
              </w:rPr>
              <w:t xml:space="preserve"> </w:t>
            </w:r>
            <w:r>
              <w:rPr>
                <w:rFonts w:hint="default" w:ascii="Times New Roman" w:hAnsi="Times New Roman" w:cs="Times New Roman"/>
                <w:highlight w:val="none"/>
              </w:rPr>
              <w:drawing>
                <wp:inline distT="0" distB="0" distL="114300" distR="114300">
                  <wp:extent cx="2352675" cy="3507740"/>
                  <wp:effectExtent l="0" t="0" r="9525" b="12700"/>
                  <wp:docPr id="23"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77"/>
                          <pic:cNvPicPr>
                            <a:picLocks noChangeAspect="1"/>
                          </pic:cNvPicPr>
                        </pic:nvPicPr>
                        <pic:blipFill>
                          <a:blip r:embed="rId17"/>
                          <a:srcRect t="8551"/>
                          <a:stretch>
                            <a:fillRect/>
                          </a:stretch>
                        </pic:blipFill>
                        <pic:spPr>
                          <a:xfrm>
                            <a:off x="0" y="0"/>
                            <a:ext cx="2352675" cy="3507740"/>
                          </a:xfrm>
                          <a:prstGeom prst="rect">
                            <a:avLst/>
                          </a:prstGeom>
                          <a:noFill/>
                          <a:ln>
                            <a:noFill/>
                          </a:ln>
                        </pic:spPr>
                      </pic:pic>
                    </a:graphicData>
                  </a:graphic>
                </wp:inline>
              </w:drawing>
            </w:r>
          </w:p>
          <w:p w14:paraId="02BA9742">
            <w:pPr>
              <w:shd w:val="clear" w:color="auto" w:fill="auto"/>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图</w:t>
            </w:r>
            <w:r>
              <w:rPr>
                <w:rFonts w:hint="default" w:ascii="Times New Roman" w:hAnsi="Times New Roman" w:cs="Times New Roman"/>
                <w:b/>
                <w:bCs/>
                <w:sz w:val="21"/>
                <w:szCs w:val="21"/>
                <w:highlight w:val="none"/>
                <w:lang w:val="en-US" w:eastAsia="zh-CN"/>
              </w:rPr>
              <w:t>3—1</w:t>
            </w:r>
            <w:r>
              <w:rPr>
                <w:rFonts w:hint="default" w:ascii="Times New Roman" w:hAnsi="Times New Roman" w:cs="Times New Roman"/>
                <w:b/>
                <w:bCs/>
                <w:sz w:val="21"/>
                <w:szCs w:val="21"/>
                <w:highlight w:val="none"/>
              </w:rPr>
              <w:t xml:space="preserve"> </w:t>
            </w:r>
            <w:r>
              <w:rPr>
                <w:rFonts w:hint="default" w:ascii="Times New Roman" w:hAnsi="Times New Roman" w:cs="Times New Roman"/>
                <w:b/>
                <w:bCs/>
                <w:sz w:val="21"/>
                <w:szCs w:val="21"/>
                <w:highlight w:val="none"/>
                <w:lang w:val="en-US" w:eastAsia="zh-CN"/>
              </w:rPr>
              <w:t xml:space="preserve"> </w:t>
            </w:r>
            <w:r>
              <w:rPr>
                <w:rFonts w:hint="default" w:ascii="Times New Roman" w:hAnsi="Times New Roman" w:cs="Times New Roman"/>
                <w:b/>
                <w:bCs/>
                <w:sz w:val="21"/>
                <w:szCs w:val="21"/>
                <w:highlight w:val="none"/>
              </w:rPr>
              <w:t>护岸现状照片</w:t>
            </w:r>
          </w:p>
          <w:p w14:paraId="2F5DF401">
            <w:pPr>
              <w:pStyle w:val="8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3、生态破坏问题</w:t>
            </w:r>
            <w:r>
              <w:rPr>
                <w:rFonts w:hint="default" w:ascii="Times New Roman" w:hAnsi="Times New Roman" w:cs="Times New Roman"/>
                <w:color w:val="auto"/>
                <w:sz w:val="24"/>
                <w:highlight w:val="none"/>
                <w:lang w:val="en-US" w:eastAsia="zh-CN"/>
              </w:rPr>
              <w:t>:</w:t>
            </w:r>
          </w:p>
          <w:p w14:paraId="43C88756">
            <w:pPr>
              <w:pStyle w:val="8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原有现状问题会导致河道行洪能力不足、洪水频繁冲刷，导致岸坡侵蚀、水土流失加剧，河道形态紊乱，破坏河岸带原生地貌，洪泛频繁、水位骤涨骤落，破坏水生生物栖息环境，影响鱼类洄游、底栖生物生存，降低河流生物多样性，同时河岸植被因冲刷、淹涝退化，河岸带生态廊道破碎，保土固岸、涵养水源功能减弱，河道淤积、滩地被占、水文连通性下降，河流生态系统结构与功能退化等破坏生态的问题。</w:t>
            </w:r>
          </w:p>
          <w:p w14:paraId="10C6DC9F">
            <w:pPr>
              <w:pStyle w:val="84"/>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欧根河中上游左岸有大量耕地和村庄，其防洪能力无法满足保护区防洪保安的实际需求，部分岸坡冲刷坍塌破坏严重，急需进行达标建设与岸坡防护。</w:t>
            </w:r>
          </w:p>
          <w:p w14:paraId="493ADC64">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lang w:val="en-US" w:eastAsia="zh-CN"/>
              </w:rPr>
              <w:t>综上所述，</w:t>
            </w:r>
            <w:r>
              <w:rPr>
                <w:rFonts w:hint="default" w:ascii="Times New Roman" w:hAnsi="Times New Roman" w:cs="Times New Roman"/>
                <w:color w:val="auto"/>
                <w:highlight w:val="none"/>
              </w:rPr>
              <w:t>实施</w:t>
            </w:r>
            <w:r>
              <w:rPr>
                <w:rFonts w:hint="default" w:ascii="Times New Roman" w:hAnsi="Times New Roman" w:cs="Times New Roman"/>
                <w:color w:val="auto"/>
                <w:highlight w:val="none"/>
                <w:lang w:eastAsia="zh-CN"/>
              </w:rPr>
              <w:t>黑龙江省庆安县欧根河治理工程</w:t>
            </w:r>
            <w:r>
              <w:rPr>
                <w:rFonts w:hint="default" w:ascii="Times New Roman" w:hAnsi="Times New Roman" w:cs="Times New Roman"/>
                <w:color w:val="auto"/>
                <w:highlight w:val="none"/>
              </w:rPr>
              <w:t>是十分必要的</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本项目的建设可</w:t>
            </w:r>
            <w:r>
              <w:rPr>
                <w:rFonts w:hint="default" w:ascii="Times New Roman" w:hAnsi="Times New Roman" w:eastAsia="宋体" w:cs="Times New Roman"/>
                <w:color w:val="auto"/>
                <w:sz w:val="24"/>
                <w:highlight w:val="none"/>
                <w:lang w:val="en-US" w:eastAsia="zh-CN"/>
              </w:rPr>
              <w:t>使其能抵御10年一遇洪水，保护两</w:t>
            </w:r>
            <w:r>
              <w:rPr>
                <w:rFonts w:hint="default" w:ascii="Times New Roman" w:hAnsi="Times New Roman" w:eastAsia="宋体" w:cs="Times New Roman"/>
                <w:color w:val="auto"/>
                <w:sz w:val="24"/>
                <w:highlight w:val="none"/>
                <w:lang w:eastAsia="zh-CN"/>
              </w:rPr>
              <w:t>岸人民生命财产安全，</w:t>
            </w:r>
            <w:r>
              <w:rPr>
                <w:rFonts w:hint="default" w:ascii="Times New Roman" w:hAnsi="Times New Roman" w:eastAsia="宋体" w:cs="Times New Roman"/>
                <w:color w:val="auto"/>
                <w:sz w:val="24"/>
                <w:highlight w:val="none"/>
                <w:lang w:val="en-US" w:eastAsia="zh-CN"/>
              </w:rPr>
              <w:t>解决环境污染及生态破坏问题，</w:t>
            </w:r>
            <w:r>
              <w:rPr>
                <w:rFonts w:hint="default" w:ascii="Times New Roman" w:hAnsi="Times New Roman" w:eastAsia="宋体" w:cs="Times New Roman"/>
                <w:color w:val="auto"/>
                <w:sz w:val="24"/>
                <w:highlight w:val="none"/>
                <w:lang w:eastAsia="zh-CN"/>
              </w:rPr>
              <w:t>促进国民经济持续发展，维护社会和谐稳定。</w:t>
            </w:r>
            <w:r>
              <w:rPr>
                <w:rFonts w:hint="default" w:ascii="Times New Roman" w:hAnsi="Times New Roman" w:cs="Times New Roman"/>
                <w:color w:val="auto"/>
                <w:highlight w:val="none"/>
                <w:lang w:val="en-US" w:eastAsia="zh-CN"/>
              </w:rPr>
              <w:t>本项目已列入黑龙江省水利厅《关于加强"十五五"期间中小河流治理前期工作有关要求的通知》（黑水发[2025]71号）。</w:t>
            </w:r>
          </w:p>
          <w:p w14:paraId="6E6710F5">
            <w:pPr>
              <w:pStyle w:val="84"/>
              <w:rPr>
                <w:rFonts w:hint="default" w:ascii="Times New Roman" w:hAnsi="Times New Roman" w:cs="Times New Roman"/>
                <w:color w:val="auto"/>
                <w:highlight w:val="none"/>
              </w:rPr>
            </w:pPr>
          </w:p>
        </w:tc>
      </w:tr>
      <w:tr w14:paraId="2A75B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381" w:type="pct"/>
            <w:noWrap w:val="0"/>
            <w:vAlign w:val="center"/>
          </w:tcPr>
          <w:p w14:paraId="7446C0E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生态环境保护目标</w:t>
            </w:r>
          </w:p>
        </w:tc>
        <w:tc>
          <w:tcPr>
            <w:tcW w:w="4619" w:type="pct"/>
            <w:noWrap w:val="0"/>
            <w:vAlign w:val="top"/>
          </w:tcPr>
          <w:p w14:paraId="1BD48087">
            <w:pPr>
              <w:pStyle w:val="84"/>
              <w:keepNext w:val="0"/>
              <w:keepLines w:val="0"/>
              <w:pageBreakBefore w:val="0"/>
              <w:widowControl w:val="0"/>
              <w:kinsoku/>
              <w:wordWrap/>
              <w:overflowPunct/>
              <w:topLinePunct w:val="0"/>
              <w:autoSpaceDE/>
              <w:autoSpaceDN/>
              <w:bidi w:val="0"/>
              <w:adjustRightInd w:val="0"/>
              <w:snapToGrid w:val="0"/>
              <w:spacing w:line="500" w:lineRule="exac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1、生态保护目标</w:t>
            </w:r>
          </w:p>
          <w:p w14:paraId="045D01F5">
            <w:pPr>
              <w:pStyle w:val="84"/>
              <w:keepNext w:val="0"/>
              <w:keepLines w:val="0"/>
              <w:pageBreakBefore w:val="0"/>
              <w:widowControl w:val="0"/>
              <w:kinsoku/>
              <w:wordWrap/>
              <w:overflowPunct/>
              <w:topLinePunct w:val="0"/>
              <w:autoSpaceDE/>
              <w:autoSpaceDN/>
              <w:bidi w:val="0"/>
              <w:adjustRightInd w:val="0"/>
              <w:snapToGrid w:val="0"/>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部分工程在</w:t>
            </w:r>
            <w:r>
              <w:rPr>
                <w:rFonts w:hint="default" w:ascii="Times New Roman" w:hAnsi="Times New Roman" w:cs="Times New Roman"/>
                <w:color w:val="auto"/>
                <w:highlight w:val="none"/>
              </w:rPr>
              <w:t>生态保护红线内，</w:t>
            </w:r>
            <w:r>
              <w:rPr>
                <w:rFonts w:hint="default" w:ascii="Times New Roman" w:hAnsi="Times New Roman" w:cs="Times New Roman"/>
                <w:color w:val="auto"/>
                <w:highlight w:val="none"/>
                <w:lang w:eastAsia="zh-CN"/>
              </w:rPr>
              <w:t>生态评价范围为</w:t>
            </w:r>
            <w:r>
              <w:rPr>
                <w:rFonts w:hint="default" w:ascii="Times New Roman" w:hAnsi="Times New Roman" w:cs="Times New Roman"/>
                <w:color w:val="auto"/>
                <w:highlight w:val="none"/>
                <w:lang w:val="en-US" w:eastAsia="zh-CN"/>
              </w:rPr>
              <w:t>300米内生态环境。生态评价范围内无珍稀野生动植物及其栖息地分布，</w:t>
            </w:r>
            <w:r>
              <w:rPr>
                <w:rFonts w:hint="default" w:ascii="Times New Roman" w:hAnsi="Times New Roman" w:cs="Times New Roman"/>
                <w:color w:val="auto"/>
                <w:highlight w:val="none"/>
              </w:rPr>
              <w:t>本工程施工期的生态保护目标主要为防止由于项目建设而导致施工区陆生生态环境遭到破坏；鱼类、浮游动植物、底栖动物及栖息环境不遭到破坏，生态保护目标见下表。</w:t>
            </w:r>
          </w:p>
          <w:p w14:paraId="7AF7DC0A">
            <w:pPr>
              <w:keepNext w:val="0"/>
              <w:keepLines w:val="0"/>
              <w:pageBreakBefore w:val="0"/>
              <w:widowControl w:val="0"/>
              <w:kinsoku/>
              <w:wordWrap/>
              <w:overflowPunct/>
              <w:topLinePunct w:val="0"/>
              <w:autoSpaceDE/>
              <w:autoSpaceDN/>
              <w:bidi w:val="0"/>
              <w:adjustRightInd w:val="0"/>
              <w:snapToGrid w:val="0"/>
              <w:spacing w:line="500" w:lineRule="exact"/>
              <w:ind w:firstLine="482"/>
              <w:jc w:val="center"/>
              <w:textAlignment w:val="baseline"/>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lang w:val="en-US" w:eastAsia="zh-CN"/>
              </w:rPr>
              <w:t xml:space="preserve">4  </w:t>
            </w:r>
            <w:r>
              <w:rPr>
                <w:rFonts w:hint="default" w:ascii="Times New Roman" w:hAnsi="Times New Roman" w:cs="Times New Roman"/>
                <w:b/>
                <w:color w:val="auto"/>
                <w:kern w:val="0"/>
                <w:sz w:val="21"/>
                <w:szCs w:val="21"/>
                <w:highlight w:val="none"/>
                <w:lang w:val="en-GB"/>
              </w:rPr>
              <w:t>生态环境</w:t>
            </w:r>
            <w:r>
              <w:rPr>
                <w:rFonts w:hint="default" w:ascii="Times New Roman" w:hAnsi="Times New Roman" w:cs="Times New Roman"/>
                <w:b/>
                <w:color w:val="auto"/>
                <w:kern w:val="0"/>
                <w:sz w:val="21"/>
                <w:szCs w:val="21"/>
                <w:highlight w:val="none"/>
              </w:rPr>
              <w:t>保护目标</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4"/>
              <w:gridCol w:w="1615"/>
              <w:gridCol w:w="2154"/>
              <w:gridCol w:w="2154"/>
            </w:tblGrid>
            <w:tr w14:paraId="4008E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2" w:type="pct"/>
                  <w:tcBorders>
                    <w:top w:val="single" w:color="auto" w:sz="4" w:space="0"/>
                    <w:left w:val="single" w:color="auto" w:sz="0" w:space="0"/>
                  </w:tcBorders>
                  <w:noWrap w:val="0"/>
                  <w:vAlign w:val="center"/>
                </w:tcPr>
                <w:p w14:paraId="0D453273">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保护目标名称</w:t>
                  </w:r>
                </w:p>
              </w:tc>
              <w:tc>
                <w:tcPr>
                  <w:tcW w:w="1054" w:type="pct"/>
                  <w:tcBorders>
                    <w:top w:val="single" w:color="auto" w:sz="4" w:space="0"/>
                  </w:tcBorders>
                  <w:noWrap w:val="0"/>
                  <w:vAlign w:val="center"/>
                </w:tcPr>
                <w:p w14:paraId="645E25C3">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保护对象</w:t>
                  </w:r>
                </w:p>
              </w:tc>
              <w:tc>
                <w:tcPr>
                  <w:tcW w:w="1406" w:type="pct"/>
                  <w:tcBorders>
                    <w:top w:val="single" w:color="auto" w:sz="4" w:space="0"/>
                  </w:tcBorders>
                  <w:noWrap w:val="0"/>
                  <w:vAlign w:val="center"/>
                </w:tcPr>
                <w:p w14:paraId="0CD94407">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保护目标</w:t>
                  </w:r>
                </w:p>
              </w:tc>
              <w:tc>
                <w:tcPr>
                  <w:tcW w:w="1406" w:type="pct"/>
                  <w:tcBorders>
                    <w:top w:val="single" w:color="auto" w:sz="4" w:space="0"/>
                    <w:right w:val="single" w:color="auto" w:sz="4" w:space="0"/>
                  </w:tcBorders>
                  <w:noWrap w:val="0"/>
                  <w:vAlign w:val="top"/>
                </w:tcPr>
                <w:p w14:paraId="6EF12D81">
                  <w:pPr>
                    <w:pStyle w:val="89"/>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与项目区位置关系</w:t>
                  </w:r>
                </w:p>
              </w:tc>
            </w:tr>
            <w:tr w14:paraId="21281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132" w:type="pct"/>
                  <w:tcBorders>
                    <w:left w:val="single" w:color="auto" w:sz="4" w:space="0"/>
                  </w:tcBorders>
                  <w:noWrap w:val="0"/>
                  <w:vAlign w:val="center"/>
                </w:tcPr>
                <w:p w14:paraId="343DAB33">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陆生生态环境</w:t>
                  </w:r>
                </w:p>
              </w:tc>
              <w:tc>
                <w:tcPr>
                  <w:tcW w:w="1054" w:type="pct"/>
                  <w:noWrap w:val="0"/>
                  <w:vAlign w:val="center"/>
                </w:tcPr>
                <w:p w14:paraId="0D865440">
                  <w:pPr>
                    <w:pStyle w:val="89"/>
                    <w:jc w:val="center"/>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rPr>
                    <w:t>工程区</w:t>
                  </w:r>
                  <w:r>
                    <w:rPr>
                      <w:rFonts w:hint="default" w:ascii="Times New Roman" w:hAnsi="Times New Roman" w:cs="Times New Roman"/>
                      <w:color w:val="auto"/>
                      <w:highlight w:val="none"/>
                      <w:lang w:val="en-US" w:eastAsia="zh-CN"/>
                    </w:rPr>
                    <w:t>及</w:t>
                  </w:r>
                  <w:r>
                    <w:rPr>
                      <w:rFonts w:hint="default" w:ascii="Times New Roman" w:hAnsi="Times New Roman" w:cs="Times New Roman"/>
                      <w:color w:val="auto"/>
                      <w:highlight w:val="none"/>
                      <w:lang w:val="en-GB"/>
                    </w:rPr>
                    <w:t>周边</w:t>
                  </w:r>
                  <w:r>
                    <w:rPr>
                      <w:rFonts w:hint="default" w:ascii="Times New Roman" w:hAnsi="Times New Roman" w:cs="Times New Roman"/>
                      <w:color w:val="auto"/>
                      <w:highlight w:val="none"/>
                      <w:lang w:val="en-US" w:eastAsia="zh-CN"/>
                    </w:rPr>
                    <w:t>300米的</w:t>
                  </w:r>
                  <w:r>
                    <w:rPr>
                      <w:rFonts w:hint="default" w:ascii="Times New Roman" w:hAnsi="Times New Roman" w:cs="Times New Roman"/>
                      <w:color w:val="auto"/>
                      <w:highlight w:val="none"/>
                      <w:lang w:val="en-GB"/>
                    </w:rPr>
                    <w:t>生态环境，包括野生动植物及其栖息地。</w:t>
                  </w:r>
                </w:p>
              </w:tc>
              <w:tc>
                <w:tcPr>
                  <w:tcW w:w="1406" w:type="pct"/>
                  <w:noWrap w:val="0"/>
                  <w:vAlign w:val="center"/>
                </w:tcPr>
                <w:p w14:paraId="4B84B8E5">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周边生态环境质量不因工程的建设而下降</w:t>
                  </w:r>
                </w:p>
              </w:tc>
              <w:tc>
                <w:tcPr>
                  <w:tcW w:w="1406" w:type="pct"/>
                  <w:tcBorders>
                    <w:right w:val="single" w:color="auto" w:sz="4" w:space="0"/>
                  </w:tcBorders>
                  <w:noWrap w:val="0"/>
                  <w:vAlign w:val="center"/>
                </w:tcPr>
                <w:p w14:paraId="785B307F">
                  <w:pPr>
                    <w:pStyle w:val="89"/>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GB"/>
                    </w:rPr>
                    <w:t>项目区周边陆生生态环境</w:t>
                  </w:r>
                </w:p>
              </w:tc>
            </w:tr>
            <w:tr w14:paraId="24E0E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132" w:type="pct"/>
                  <w:tcBorders>
                    <w:left w:val="single" w:color="auto" w:sz="4" w:space="0"/>
                  </w:tcBorders>
                  <w:noWrap w:val="0"/>
                  <w:vAlign w:val="center"/>
                </w:tcPr>
                <w:p w14:paraId="4E8147EA">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水生生态环境</w:t>
                  </w:r>
                </w:p>
              </w:tc>
              <w:tc>
                <w:tcPr>
                  <w:tcW w:w="1054" w:type="pct"/>
                  <w:noWrap w:val="0"/>
                  <w:vAlign w:val="center"/>
                </w:tcPr>
                <w:p w14:paraId="75BBADE6">
                  <w:pPr>
                    <w:pStyle w:val="89"/>
                    <w:jc w:val="center"/>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eastAsia="zh-CN"/>
                    </w:rPr>
                    <w:t>欧根河</w:t>
                  </w:r>
                  <w:r>
                    <w:rPr>
                      <w:rFonts w:hint="default" w:ascii="Times New Roman" w:hAnsi="Times New Roman" w:cs="Times New Roman"/>
                      <w:color w:val="auto"/>
                      <w:highlight w:val="none"/>
                      <w:lang w:val="en-GB"/>
                    </w:rPr>
                    <w:t>水生生态环境，包括鱼类、浮游动植物、底栖动物及栖息环境</w:t>
                  </w:r>
                </w:p>
              </w:tc>
              <w:tc>
                <w:tcPr>
                  <w:tcW w:w="1406" w:type="pct"/>
                  <w:noWrap w:val="0"/>
                  <w:vAlign w:val="center"/>
                </w:tcPr>
                <w:p w14:paraId="6F006FF5">
                  <w:pPr>
                    <w:pStyle w:val="89"/>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鱼类、浮游动植物、底栖动物及栖息环境不遭到破坏</w:t>
                  </w:r>
                  <w:r>
                    <w:rPr>
                      <w:rFonts w:hint="eastAsia" w:cs="Times New Roman"/>
                      <w:color w:val="auto"/>
                      <w:highlight w:val="none"/>
                      <w:lang w:eastAsia="zh-CN"/>
                    </w:rPr>
                    <w:t>，</w:t>
                  </w:r>
                  <w:r>
                    <w:rPr>
                      <w:rFonts w:hint="eastAsia" w:cs="Times New Roman"/>
                      <w:color w:val="auto"/>
                      <w:highlight w:val="yellow"/>
                      <w:lang w:val="en-US" w:eastAsia="zh-CN"/>
                    </w:rPr>
                    <w:t>评价范围内无受保护的野生鱼类。</w:t>
                  </w:r>
                </w:p>
              </w:tc>
              <w:tc>
                <w:tcPr>
                  <w:tcW w:w="1406" w:type="pct"/>
                  <w:tcBorders>
                    <w:right w:val="single" w:color="auto" w:sz="4" w:space="0"/>
                  </w:tcBorders>
                  <w:noWrap w:val="0"/>
                  <w:vAlign w:val="center"/>
                </w:tcPr>
                <w:p w14:paraId="36869B6C">
                  <w:pPr>
                    <w:pStyle w:val="89"/>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项目区所在的</w:t>
                  </w:r>
                  <w:r>
                    <w:rPr>
                      <w:rFonts w:hint="default" w:ascii="Times New Roman" w:hAnsi="Times New Roman" w:cs="Times New Roman"/>
                      <w:color w:val="auto"/>
                      <w:highlight w:val="none"/>
                      <w:lang w:eastAsia="zh-CN"/>
                    </w:rPr>
                    <w:t>欧根河</w:t>
                  </w:r>
                  <w:r>
                    <w:rPr>
                      <w:rFonts w:hint="default" w:ascii="Times New Roman" w:hAnsi="Times New Roman" w:cs="Times New Roman"/>
                      <w:color w:val="auto"/>
                      <w:highlight w:val="none"/>
                    </w:rPr>
                    <w:t>水生生态环境</w:t>
                  </w:r>
                </w:p>
              </w:tc>
            </w:tr>
            <w:tr w14:paraId="5FF67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132" w:type="pct"/>
                  <w:tcBorders>
                    <w:left w:val="single" w:color="auto" w:sz="4" w:space="0"/>
                    <w:bottom w:val="single" w:color="auto" w:sz="4" w:space="0"/>
                  </w:tcBorders>
                  <w:shd w:val="clear" w:color="auto" w:fill="auto"/>
                  <w:noWrap w:val="0"/>
                  <w:vAlign w:val="center"/>
                </w:tcPr>
                <w:p w14:paraId="7689B01A">
                  <w:pPr>
                    <w:pStyle w:val="89"/>
                    <w:rPr>
                      <w:rFonts w:hint="default" w:ascii="Times New Roman" w:hAnsi="Times New Roman" w:eastAsia="宋体"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lang w:val="en-US" w:eastAsia="zh-CN"/>
                    </w:rPr>
                    <w:t>绥化市一般生态空间</w:t>
                  </w:r>
                </w:p>
              </w:tc>
              <w:tc>
                <w:tcPr>
                  <w:tcW w:w="1054" w:type="pct"/>
                  <w:tcBorders>
                    <w:bottom w:val="single" w:color="auto" w:sz="4" w:space="0"/>
                  </w:tcBorders>
                  <w:shd w:val="clear" w:color="auto" w:fill="auto"/>
                  <w:noWrap w:val="0"/>
                  <w:vAlign w:val="center"/>
                </w:tcPr>
                <w:p w14:paraId="380F32D7">
                  <w:pPr>
                    <w:pStyle w:val="89"/>
                    <w:jc w:val="center"/>
                    <w:rPr>
                      <w:rFonts w:hint="default" w:ascii="Times New Roman" w:hAnsi="Times New Roman" w:eastAsia="宋体" w:cs="Times New Roman"/>
                      <w:color w:val="auto"/>
                      <w:spacing w:val="-4"/>
                      <w:kern w:val="2"/>
                      <w:sz w:val="21"/>
                      <w:szCs w:val="24"/>
                      <w:highlight w:val="none"/>
                      <w:lang w:val="en-GB" w:eastAsia="zh-CN" w:bidi="ar-SA"/>
                    </w:rPr>
                  </w:pPr>
                  <w:r>
                    <w:rPr>
                      <w:rFonts w:hint="default" w:ascii="Times New Roman" w:hAnsi="Times New Roman" w:cs="Times New Roman"/>
                      <w:color w:val="auto"/>
                      <w:highlight w:val="none"/>
                      <w:lang w:val="en-US" w:eastAsia="zh-CN"/>
                    </w:rPr>
                    <w:t>一般生态空间</w:t>
                  </w:r>
                  <w:r>
                    <w:rPr>
                      <w:rFonts w:hint="default" w:ascii="Times New Roman" w:hAnsi="Times New Roman" w:cs="Times New Roman"/>
                      <w:color w:val="auto"/>
                      <w:highlight w:val="none"/>
                      <w:lang w:val="en-GB"/>
                    </w:rPr>
                    <w:t>内生态环境</w:t>
                  </w:r>
                </w:p>
              </w:tc>
              <w:tc>
                <w:tcPr>
                  <w:tcW w:w="1406" w:type="pct"/>
                  <w:tcBorders>
                    <w:bottom w:val="single" w:color="auto" w:sz="4" w:space="0"/>
                  </w:tcBorders>
                  <w:shd w:val="clear" w:color="auto" w:fill="auto"/>
                  <w:noWrap w:val="0"/>
                  <w:vAlign w:val="center"/>
                </w:tcPr>
                <w:p w14:paraId="2DA9227C">
                  <w:pPr>
                    <w:pStyle w:val="89"/>
                    <w:jc w:val="center"/>
                    <w:rPr>
                      <w:rFonts w:hint="default" w:ascii="Times New Roman" w:hAnsi="Times New Roman" w:eastAsia="宋体"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lang w:val="en-GB" w:eastAsia="zh-CN"/>
                    </w:rPr>
                    <w:t>一般生态空间</w:t>
                  </w:r>
                  <w:r>
                    <w:rPr>
                      <w:rFonts w:hint="default" w:ascii="Times New Roman" w:hAnsi="Times New Roman" w:cs="Times New Roman"/>
                      <w:color w:val="auto"/>
                      <w:highlight w:val="none"/>
                      <w:lang w:val="en-GB"/>
                    </w:rPr>
                    <w:t>内生态环境不遭到破坏</w:t>
                  </w:r>
                </w:p>
              </w:tc>
              <w:tc>
                <w:tcPr>
                  <w:tcW w:w="1406" w:type="pct"/>
                  <w:tcBorders>
                    <w:bottom w:val="single" w:color="auto" w:sz="4" w:space="0"/>
                    <w:right w:val="single" w:color="auto" w:sz="4" w:space="0"/>
                  </w:tcBorders>
                  <w:shd w:val="clear" w:color="auto" w:fill="auto"/>
                  <w:noWrap w:val="0"/>
                  <w:vAlign w:val="center"/>
                </w:tcPr>
                <w:p w14:paraId="17628A25">
                  <w:pPr>
                    <w:pStyle w:val="89"/>
                    <w:jc w:val="both"/>
                    <w:rPr>
                      <w:rFonts w:hint="default" w:ascii="Times New Roman" w:hAnsi="Times New Roman" w:eastAsia="宋体"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lang w:val="en-US" w:eastAsia="zh-CN"/>
                    </w:rPr>
                    <w:t>部分工程位于一般生态空间内</w:t>
                  </w:r>
                </w:p>
              </w:tc>
            </w:tr>
            <w:tr w14:paraId="42A01C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0" w:type="auto"/>
                  <w:shd w:val="clear" w:color="auto" w:fill="auto"/>
                  <w:vAlign w:val="center"/>
                </w:tcPr>
                <w:p w14:paraId="50B5CBBA">
                  <w:pPr>
                    <w:pStyle w:val="89"/>
                    <w:jc w:val="both"/>
                    <w:rPr>
                      <w:rFonts w:hint="default" w:ascii="Times New Roman" w:hAnsi="Times New Roman" w:eastAsia="宋体"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lang w:val="en-US" w:eastAsia="zh-CN"/>
                    </w:rPr>
                    <w:t>庆安县</w:t>
                  </w:r>
                  <w:r>
                    <w:rPr>
                      <w:rFonts w:hint="default" w:ascii="Times New Roman" w:hAnsi="Times New Roman" w:cs="Times New Roman"/>
                      <w:color w:val="auto"/>
                      <w:highlight w:val="none"/>
                      <w:lang w:eastAsia="zh-CN"/>
                    </w:rPr>
                    <w:t>生态保护红线</w:t>
                  </w:r>
                </w:p>
              </w:tc>
              <w:tc>
                <w:tcPr>
                  <w:tcW w:w="0" w:type="auto"/>
                  <w:shd w:val="clear" w:color="auto" w:fill="auto"/>
                  <w:vAlign w:val="center"/>
                </w:tcPr>
                <w:p w14:paraId="0860755B">
                  <w:pPr>
                    <w:pStyle w:val="89"/>
                    <w:jc w:val="both"/>
                    <w:rPr>
                      <w:rFonts w:hint="default" w:ascii="Times New Roman" w:hAnsi="Times New Roman" w:eastAsia="宋体" w:cs="Times New Roman"/>
                      <w:color w:val="auto"/>
                      <w:spacing w:val="-4"/>
                      <w:kern w:val="2"/>
                      <w:sz w:val="21"/>
                      <w:szCs w:val="24"/>
                      <w:highlight w:val="none"/>
                      <w:lang w:val="en-GB" w:eastAsia="zh-CN" w:bidi="ar-SA"/>
                    </w:rPr>
                  </w:pPr>
                  <w:r>
                    <w:rPr>
                      <w:rFonts w:hint="default" w:ascii="Times New Roman" w:hAnsi="Times New Roman" w:cs="Times New Roman"/>
                      <w:color w:val="auto"/>
                      <w:highlight w:val="none"/>
                      <w:lang w:val="en-US" w:eastAsia="zh-CN"/>
                    </w:rPr>
                    <w:t>庆安县小兴安岭生物多样性与水源涵养功能生态保护红线—生物多样性维护生态功能重要区、庆安县小兴安岭生物多样性与水源涵养功能生态保护红线—水源涵养生态功能重要区</w:t>
                  </w:r>
                </w:p>
              </w:tc>
              <w:tc>
                <w:tcPr>
                  <w:tcW w:w="0" w:type="auto"/>
                  <w:shd w:val="clear" w:color="auto" w:fill="auto"/>
                  <w:vAlign w:val="center"/>
                </w:tcPr>
                <w:p w14:paraId="141B675B">
                  <w:pPr>
                    <w:pStyle w:val="89"/>
                    <w:jc w:val="both"/>
                    <w:rPr>
                      <w:rFonts w:hint="default" w:ascii="Times New Roman" w:hAnsi="Times New Roman" w:eastAsia="宋体" w:cs="Times New Roman"/>
                      <w:color w:val="auto"/>
                      <w:spacing w:val="-4"/>
                      <w:kern w:val="2"/>
                      <w:sz w:val="21"/>
                      <w:szCs w:val="24"/>
                      <w:highlight w:val="none"/>
                      <w:lang w:val="en-GB" w:eastAsia="zh-CN" w:bidi="ar-SA"/>
                    </w:rPr>
                  </w:pPr>
                  <w:r>
                    <w:rPr>
                      <w:rFonts w:hint="default" w:ascii="Times New Roman" w:hAnsi="Times New Roman" w:cs="Times New Roman"/>
                      <w:color w:val="auto"/>
                      <w:highlight w:val="none"/>
                      <w:lang w:val="en-GB" w:eastAsia="zh-CN"/>
                    </w:rPr>
                    <w:t>严格控制施工区域，不超范围施工，防止对生态保护红线的生态环境造成影响</w:t>
                  </w:r>
                </w:p>
              </w:tc>
              <w:tc>
                <w:tcPr>
                  <w:tcW w:w="0" w:type="auto"/>
                  <w:shd w:val="clear" w:color="auto" w:fill="auto"/>
                  <w:vAlign w:val="center"/>
                </w:tcPr>
                <w:p w14:paraId="3AC9EA1F">
                  <w:pPr>
                    <w:pStyle w:val="89"/>
                    <w:jc w:val="both"/>
                    <w:rPr>
                      <w:rFonts w:hint="default" w:ascii="Times New Roman" w:hAnsi="Times New Roman" w:eastAsia="宋体"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lang w:val="en-US" w:eastAsia="zh-CN"/>
                    </w:rPr>
                    <w:t>部分护岸工程占用生态保护红线。</w:t>
                  </w:r>
                </w:p>
              </w:tc>
            </w:tr>
          </w:tbl>
          <w:p w14:paraId="7E871922">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rPr>
              <w:t>、大气环境</w:t>
            </w:r>
          </w:p>
          <w:p w14:paraId="577AA21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大气环境保护目标为主体工程及临时工程周边</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00米范围内的自然保护区、风景名胜区、自然公园、居住区、文化区和农村地区中人群较集中的区域等保护目标。</w:t>
            </w:r>
          </w:p>
          <w:p w14:paraId="37F0788A">
            <w:pPr>
              <w:keepNext w:val="0"/>
              <w:keepLines w:val="0"/>
              <w:pageBreakBefore w:val="0"/>
              <w:widowControl w:val="0"/>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lang w:val="en-US" w:eastAsia="zh-CN"/>
              </w:rPr>
              <w:t xml:space="preserve">5  </w:t>
            </w:r>
            <w:r>
              <w:rPr>
                <w:rFonts w:hint="default" w:ascii="Times New Roman" w:hAnsi="Times New Roman" w:cs="Times New Roman"/>
                <w:b/>
                <w:color w:val="auto"/>
                <w:kern w:val="0"/>
                <w:sz w:val="21"/>
                <w:szCs w:val="21"/>
                <w:highlight w:val="none"/>
              </w:rPr>
              <w:t>大气环境保护目标</w:t>
            </w:r>
          </w:p>
          <w:tbl>
            <w:tblPr>
              <w:tblStyle w:val="2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3"/>
              <w:gridCol w:w="2427"/>
              <w:gridCol w:w="1133"/>
              <w:gridCol w:w="780"/>
              <w:gridCol w:w="620"/>
              <w:gridCol w:w="1918"/>
            </w:tblGrid>
            <w:tr w14:paraId="6F1D23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tcBorders>
                    <w:top w:val="single" w:color="auto" w:sz="4" w:space="0"/>
                    <w:left w:val="single" w:color="auto" w:sz="0" w:space="0"/>
                  </w:tcBorders>
                  <w:noWrap w:val="0"/>
                  <w:vAlign w:val="center"/>
                </w:tcPr>
                <w:p w14:paraId="6A448299">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保护对象名称</w:t>
                  </w:r>
                </w:p>
              </w:tc>
              <w:tc>
                <w:tcPr>
                  <w:tcW w:w="1640" w:type="pct"/>
                  <w:tcBorders>
                    <w:top w:val="single" w:color="auto" w:sz="4" w:space="0"/>
                  </w:tcBorders>
                  <w:noWrap w:val="0"/>
                  <w:vAlign w:val="center"/>
                </w:tcPr>
                <w:p w14:paraId="5E2A8E37">
                  <w:pPr>
                    <w:pStyle w:val="89"/>
                    <w:spacing w:line="276" w:lineRule="auto"/>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坐标</w:t>
                  </w:r>
                </w:p>
              </w:tc>
              <w:tc>
                <w:tcPr>
                  <w:tcW w:w="794" w:type="pct"/>
                  <w:tcBorders>
                    <w:top w:val="single" w:color="auto" w:sz="4" w:space="0"/>
                  </w:tcBorders>
                  <w:noWrap w:val="0"/>
                  <w:vAlign w:val="center"/>
                </w:tcPr>
                <w:p w14:paraId="4DE7A572">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工程</w:t>
                  </w:r>
                </w:p>
              </w:tc>
              <w:tc>
                <w:tcPr>
                  <w:tcW w:w="511" w:type="pct"/>
                  <w:tcBorders>
                    <w:top w:val="single" w:color="auto" w:sz="4" w:space="0"/>
                  </w:tcBorders>
                  <w:noWrap w:val="0"/>
                  <w:vAlign w:val="center"/>
                </w:tcPr>
                <w:p w14:paraId="53BD813D">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方位/距离</w:t>
                  </w:r>
                  <w:r>
                    <w:rPr>
                      <w:rFonts w:hint="default" w:ascii="Times New Roman" w:hAnsi="Times New Roman" w:eastAsia="宋体" w:cs="Times New Roman"/>
                      <w:color w:val="auto"/>
                      <w:kern w:val="0"/>
                      <w:highlight w:val="none"/>
                      <w:lang w:eastAsia="zh-CN"/>
                    </w:rPr>
                    <w:t>（</w:t>
                  </w:r>
                  <w:r>
                    <w:rPr>
                      <w:rFonts w:hint="default" w:ascii="Times New Roman" w:hAnsi="Times New Roman" w:cs="Times New Roman"/>
                      <w:color w:val="auto"/>
                      <w:kern w:val="0"/>
                      <w:highlight w:val="none"/>
                      <w:lang w:val="en-US" w:eastAsia="zh-CN"/>
                    </w:rPr>
                    <w:t>m</w:t>
                  </w:r>
                  <w:r>
                    <w:rPr>
                      <w:rFonts w:hint="default" w:ascii="Times New Roman" w:hAnsi="Times New Roman" w:eastAsia="宋体" w:cs="Times New Roman"/>
                      <w:color w:val="auto"/>
                      <w:kern w:val="0"/>
                      <w:highlight w:val="none"/>
                      <w:lang w:eastAsia="zh-CN"/>
                    </w:rPr>
                    <w:t>）</w:t>
                  </w:r>
                </w:p>
              </w:tc>
              <w:tc>
                <w:tcPr>
                  <w:tcW w:w="511" w:type="pct"/>
                  <w:tcBorders>
                    <w:top w:val="single" w:color="auto" w:sz="4" w:space="0"/>
                  </w:tcBorders>
                  <w:noWrap w:val="0"/>
                  <w:vAlign w:val="center"/>
                </w:tcPr>
                <w:p w14:paraId="0CB98056">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主要保护对象</w:t>
                  </w:r>
                </w:p>
              </w:tc>
              <w:tc>
                <w:tcPr>
                  <w:tcW w:w="984" w:type="pct"/>
                  <w:tcBorders>
                    <w:top w:val="single" w:color="auto" w:sz="4" w:space="0"/>
                    <w:right w:val="single" w:color="auto" w:sz="4" w:space="0"/>
                  </w:tcBorders>
                  <w:noWrap w:val="0"/>
                  <w:vAlign w:val="center"/>
                </w:tcPr>
                <w:p w14:paraId="6F407469">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功能区划</w:t>
                  </w:r>
                </w:p>
              </w:tc>
            </w:tr>
            <w:tr w14:paraId="23AE8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559" w:type="pct"/>
                  <w:tcBorders>
                    <w:left w:val="single" w:color="auto" w:sz="4" w:space="0"/>
                    <w:bottom w:val="single" w:color="auto" w:sz="4" w:space="0"/>
                  </w:tcBorders>
                  <w:noWrap w:val="0"/>
                  <w:vAlign w:val="center"/>
                </w:tcPr>
                <w:p w14:paraId="2EBB2C69">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奶牛场居民区</w:t>
                  </w:r>
                </w:p>
              </w:tc>
              <w:tc>
                <w:tcPr>
                  <w:tcW w:w="1640" w:type="pct"/>
                  <w:tcBorders>
                    <w:bottom w:val="single" w:color="auto" w:sz="4" w:space="0"/>
                  </w:tcBorders>
                  <w:noWrap w:val="0"/>
                  <w:vAlign w:val="center"/>
                </w:tcPr>
                <w:p w14:paraId="6B635946">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东经127.615762</w:t>
                  </w:r>
                  <w:r>
                    <w:rPr>
                      <w:rFonts w:hint="default" w:ascii="Times New Roman" w:hAnsi="Times New Roman"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，北纬47.127125</w:t>
                  </w:r>
                  <w:r>
                    <w:rPr>
                      <w:rFonts w:hint="default" w:ascii="Times New Roman" w:hAnsi="Times New Roman" w:cs="Times New Roman"/>
                      <w:color w:val="auto"/>
                      <w:kern w:val="0"/>
                      <w:highlight w:val="none"/>
                      <w:lang w:val="en-US" w:eastAsia="zh-CN"/>
                    </w:rPr>
                    <w:t>°</w:t>
                  </w:r>
                </w:p>
              </w:tc>
              <w:tc>
                <w:tcPr>
                  <w:tcW w:w="794" w:type="pct"/>
                  <w:tcBorders>
                    <w:bottom w:val="single" w:color="auto" w:sz="4" w:space="0"/>
                  </w:tcBorders>
                  <w:noWrap w:val="0"/>
                  <w:vAlign w:val="center"/>
                </w:tcPr>
                <w:p w14:paraId="1A312D27">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000000"/>
                      <w:sz w:val="21"/>
                      <w:szCs w:val="21"/>
                      <w:highlight w:val="none"/>
                      <w:lang w:val="en-US" w:eastAsia="zh-CN"/>
                    </w:rPr>
                    <w:t>2号堤防东侧40</w:t>
                  </w:r>
                  <w:r>
                    <w:rPr>
                      <w:rFonts w:hint="default" w:ascii="Times New Roman" w:hAnsi="Times New Roman"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lang w:val="en-US" w:eastAsia="zh-CN"/>
                    </w:rPr>
                    <w:t>处</w:t>
                  </w:r>
                </w:p>
              </w:tc>
              <w:tc>
                <w:tcPr>
                  <w:tcW w:w="511" w:type="pct"/>
                  <w:tcBorders>
                    <w:bottom w:val="single" w:color="auto" w:sz="4" w:space="0"/>
                  </w:tcBorders>
                  <w:noWrap w:val="0"/>
                  <w:vAlign w:val="center"/>
                </w:tcPr>
                <w:p w14:paraId="4A60A115">
                  <w:pPr>
                    <w:pStyle w:val="112"/>
                    <w:jc w:val="center"/>
                    <w:rPr>
                      <w:rFonts w:hint="default" w:ascii="Times New Roman" w:hAnsi="Times New Roman" w:eastAsia="宋体" w:cs="Times New Roman"/>
                      <w:color w:val="000000"/>
                      <w:kern w:val="0"/>
                      <w:sz w:val="21"/>
                      <w:szCs w:val="21"/>
                      <w:highlight w:val="none"/>
                      <w:lang w:val="en-US" w:eastAsia="zh-CN" w:bidi="ar-SA"/>
                    </w:rPr>
                  </w:pPr>
                  <w:r>
                    <w:rPr>
                      <w:rStyle w:val="129"/>
                      <w:rFonts w:hint="default" w:ascii="Times New Roman" w:hAnsi="Times New Roman" w:eastAsia="宋体" w:cs="Times New Roman"/>
                      <w:color w:val="000000"/>
                      <w:sz w:val="21"/>
                      <w:szCs w:val="21"/>
                      <w:highlight w:val="none"/>
                      <w:lang w:val="en-US" w:eastAsia="zh-CN"/>
                    </w:rPr>
                    <w:t>40</w:t>
                  </w:r>
                </w:p>
              </w:tc>
              <w:tc>
                <w:tcPr>
                  <w:tcW w:w="511" w:type="pct"/>
                  <w:tcBorders>
                    <w:bottom w:val="single" w:color="auto" w:sz="4" w:space="0"/>
                  </w:tcBorders>
                  <w:noWrap w:val="0"/>
                  <w:vAlign w:val="center"/>
                </w:tcPr>
                <w:p w14:paraId="434743F4">
                  <w:pPr>
                    <w:pStyle w:val="112"/>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cs="Times New Roman"/>
                      <w:color w:val="000000"/>
                      <w:sz w:val="21"/>
                      <w:highlight w:val="none"/>
                      <w:lang w:val="en-US" w:eastAsia="zh-CN"/>
                    </w:rPr>
                    <w:t>E</w:t>
                  </w:r>
                </w:p>
              </w:tc>
              <w:tc>
                <w:tcPr>
                  <w:tcW w:w="984" w:type="pct"/>
                  <w:tcBorders>
                    <w:bottom w:val="single" w:color="auto" w:sz="4" w:space="0"/>
                    <w:right w:val="single" w:color="auto" w:sz="4" w:space="0"/>
                  </w:tcBorders>
                  <w:noWrap w:val="0"/>
                  <w:vAlign w:val="center"/>
                </w:tcPr>
                <w:p w14:paraId="61B94172">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《环境空气质量标准》</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rPr>
                    <w:t>GB3095</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rPr>
                    <w:t>20</w:t>
                  </w:r>
                  <w:r>
                    <w:rPr>
                      <w:rFonts w:hint="default" w:ascii="Times New Roman" w:hAnsi="Times New Roman" w:eastAsia="宋体" w:cs="Times New Roman"/>
                      <w:color w:val="auto"/>
                      <w:kern w:val="0"/>
                      <w:highlight w:val="none"/>
                      <w:lang w:val="en-US"/>
                    </w:rPr>
                    <w:t>26</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lang w:val="en-US"/>
                    </w:rPr>
                    <w:t>二</w:t>
                  </w:r>
                  <w:r>
                    <w:rPr>
                      <w:rFonts w:hint="default" w:ascii="Times New Roman" w:hAnsi="Times New Roman" w:eastAsia="宋体" w:cs="Times New Roman"/>
                      <w:color w:val="auto"/>
                      <w:kern w:val="0"/>
                      <w:highlight w:val="none"/>
                    </w:rPr>
                    <w:t>类区</w:t>
                  </w:r>
                </w:p>
              </w:tc>
            </w:tr>
          </w:tbl>
          <w:p w14:paraId="657B88BC">
            <w:pPr>
              <w:pStyle w:val="84"/>
              <w:rPr>
                <w:rFonts w:hint="default" w:ascii="Times New Roman" w:hAnsi="Times New Roman" w:cs="Times New Roman"/>
                <w:color w:val="auto"/>
                <w:highlight w:val="none"/>
              </w:rPr>
            </w:pPr>
          </w:p>
          <w:p w14:paraId="7E35E64A">
            <w:pPr>
              <w:pStyle w:val="84"/>
              <w:rPr>
                <w:rFonts w:hint="default" w:ascii="Times New Roman" w:hAnsi="Times New Roman" w:cs="Times New Roman"/>
                <w:color w:val="auto"/>
                <w:highlight w:val="none"/>
              </w:rPr>
            </w:pPr>
          </w:p>
          <w:p w14:paraId="00225B22">
            <w:pPr>
              <w:pStyle w:val="84"/>
              <w:rPr>
                <w:rFonts w:hint="default" w:ascii="Times New Roman" w:hAnsi="Times New Roman" w:cs="Times New Roman"/>
                <w:color w:val="auto"/>
                <w:highlight w:val="none"/>
              </w:rPr>
            </w:pPr>
          </w:p>
          <w:p w14:paraId="1EF99D6C">
            <w:pPr>
              <w:pStyle w:val="84"/>
              <w:rPr>
                <w:rFonts w:hint="default" w:ascii="Times New Roman" w:hAnsi="Times New Roman" w:cs="Times New Roman"/>
                <w:color w:val="auto"/>
                <w:highlight w:val="none"/>
              </w:rPr>
            </w:pPr>
          </w:p>
          <w:p w14:paraId="3AA31C7A">
            <w:pPr>
              <w:pStyle w:val="84"/>
              <w:rPr>
                <w:rFonts w:hint="default" w:ascii="Times New Roman" w:hAnsi="Times New Roman" w:cs="Times New Roman"/>
                <w:color w:val="auto"/>
                <w:highlight w:val="none"/>
              </w:rPr>
            </w:pPr>
          </w:p>
          <w:p w14:paraId="1F5D082F">
            <w:pPr>
              <w:pStyle w:val="84"/>
              <w:rPr>
                <w:rFonts w:hint="default" w:ascii="Times New Roman" w:hAnsi="Times New Roman" w:cs="Times New Roman"/>
                <w:color w:val="auto"/>
                <w:highlight w:val="none"/>
              </w:rPr>
            </w:pPr>
          </w:p>
          <w:p w14:paraId="5374252A">
            <w:pPr>
              <w:pStyle w:val="84"/>
              <w:rPr>
                <w:rFonts w:hint="default" w:ascii="Times New Roman" w:hAnsi="Times New Roman" w:cs="Times New Roman"/>
                <w:color w:val="auto"/>
                <w:highlight w:val="none"/>
              </w:rPr>
            </w:pPr>
          </w:p>
        </w:tc>
      </w:tr>
      <w:tr w14:paraId="11E49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5" w:hRule="atLeast"/>
          <w:jc w:val="center"/>
        </w:trPr>
        <w:tc>
          <w:tcPr>
            <w:tcW w:w="381" w:type="pct"/>
            <w:noWrap w:val="0"/>
            <w:vAlign w:val="center"/>
          </w:tcPr>
          <w:p w14:paraId="52200740">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评价标准</w:t>
            </w:r>
          </w:p>
        </w:tc>
        <w:tc>
          <w:tcPr>
            <w:tcW w:w="4619" w:type="pct"/>
            <w:noWrap w:val="0"/>
            <w:vAlign w:val="top"/>
          </w:tcPr>
          <w:p w14:paraId="35AEBED3">
            <w:pPr>
              <w:adjustRightInd w:val="0"/>
              <w:snapToGrid w:val="0"/>
              <w:spacing w:line="500" w:lineRule="exact"/>
              <w:ind w:firstLine="482"/>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val="en-US" w:eastAsia="zh-CN"/>
              </w:rPr>
              <w:t>一、</w:t>
            </w:r>
            <w:r>
              <w:rPr>
                <w:rFonts w:hint="default" w:ascii="Times New Roman" w:hAnsi="Times New Roman" w:cs="Times New Roman"/>
                <w:b/>
                <w:bCs/>
                <w:color w:val="auto"/>
                <w:kern w:val="0"/>
                <w:sz w:val="24"/>
                <w:highlight w:val="none"/>
              </w:rPr>
              <w:t>环境质量标准</w:t>
            </w:r>
          </w:p>
          <w:p w14:paraId="117A20F3">
            <w:pPr>
              <w:adjustRightInd w:val="0"/>
              <w:snapToGrid w:val="0"/>
              <w:spacing w:line="500" w:lineRule="exact"/>
              <w:ind w:firstLine="482"/>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1、环境空气</w:t>
            </w:r>
          </w:p>
          <w:p w14:paraId="39B4F15D">
            <w:pPr>
              <w:adjustRightInd w:val="0"/>
              <w:snapToGrid w:val="0"/>
              <w:spacing w:line="500" w:lineRule="exact"/>
              <w:ind w:firstLine="482"/>
              <w:rPr>
                <w:rFonts w:hint="default" w:ascii="Times New Roman" w:hAnsi="Times New Roman" w:cs="Times New Roman"/>
                <w:b w:val="0"/>
                <w:bCs w:val="0"/>
                <w:color w:val="auto"/>
                <w:kern w:val="0"/>
                <w:sz w:val="24"/>
                <w:highlight w:val="none"/>
              </w:rPr>
            </w:pPr>
            <w:r>
              <w:rPr>
                <w:rFonts w:hint="default" w:ascii="Times New Roman" w:hAnsi="Times New Roman" w:cs="Times New Roman"/>
                <w:b w:val="0"/>
                <w:bCs w:val="0"/>
                <w:color w:val="auto"/>
                <w:kern w:val="0"/>
                <w:sz w:val="24"/>
                <w:highlight w:val="none"/>
                <w:lang w:val="en-US" w:eastAsia="zh-CN"/>
              </w:rPr>
              <w:t>现状</w:t>
            </w:r>
            <w:r>
              <w:rPr>
                <w:rFonts w:hint="default" w:ascii="Times New Roman" w:hAnsi="Times New Roman" w:cs="Times New Roman"/>
                <w:b w:val="0"/>
                <w:bCs w:val="0"/>
                <w:color w:val="auto"/>
                <w:kern w:val="0"/>
                <w:sz w:val="24"/>
                <w:highlight w:val="none"/>
              </w:rPr>
              <w:t>至2030年12月31日止，评价范围环境空气执行《环境空气质量标准》（GB3095</w:t>
            </w:r>
            <w:r>
              <w:rPr>
                <w:rFonts w:hint="default" w:ascii="Times New Roman" w:hAnsi="Times New Roman" w:cs="Times New Roman"/>
                <w:b w:val="0"/>
                <w:bCs w:val="0"/>
                <w:color w:val="auto"/>
                <w:kern w:val="0"/>
                <w:sz w:val="24"/>
                <w:highlight w:val="none"/>
                <w:lang w:eastAsia="zh-CN"/>
              </w:rPr>
              <w:t>—</w:t>
            </w:r>
            <w:r>
              <w:rPr>
                <w:rFonts w:hint="default" w:ascii="Times New Roman" w:hAnsi="Times New Roman" w:cs="Times New Roman"/>
                <w:b w:val="0"/>
                <w:bCs w:val="0"/>
                <w:color w:val="auto"/>
                <w:kern w:val="0"/>
                <w:sz w:val="24"/>
                <w:highlight w:val="none"/>
              </w:rPr>
              <w:t>2026）过渡阶段</w:t>
            </w:r>
            <w:r>
              <w:rPr>
                <w:rFonts w:hint="default" w:ascii="Times New Roman" w:hAnsi="Times New Roman" w:cs="Times New Roman"/>
                <w:b w:val="0"/>
                <w:bCs w:val="0"/>
                <w:color w:val="auto"/>
                <w:kern w:val="0"/>
                <w:sz w:val="24"/>
                <w:highlight w:val="none"/>
                <w:lang w:val="en-US" w:eastAsia="zh-CN"/>
              </w:rPr>
              <w:t>二</w:t>
            </w:r>
            <w:r>
              <w:rPr>
                <w:rFonts w:hint="default" w:ascii="Times New Roman" w:hAnsi="Times New Roman" w:cs="Times New Roman"/>
                <w:b w:val="0"/>
                <w:bCs w:val="0"/>
                <w:color w:val="auto"/>
                <w:kern w:val="0"/>
                <w:sz w:val="24"/>
                <w:highlight w:val="none"/>
              </w:rPr>
              <w:t>级标准浓度限值。</w:t>
            </w:r>
          </w:p>
          <w:p w14:paraId="144C776D">
            <w:pPr>
              <w:adjustRightInd w:val="0"/>
              <w:snapToGrid w:val="0"/>
              <w:spacing w:line="500" w:lineRule="exact"/>
              <w:ind w:firstLine="482"/>
              <w:rPr>
                <w:rFonts w:hint="default" w:ascii="Times New Roman" w:hAnsi="Times New Roman" w:cs="Times New Roman"/>
                <w:b w:val="0"/>
                <w:bCs w:val="0"/>
                <w:color w:val="auto"/>
                <w:kern w:val="0"/>
                <w:sz w:val="24"/>
                <w:highlight w:val="none"/>
              </w:rPr>
            </w:pPr>
            <w:r>
              <w:rPr>
                <w:rFonts w:hint="default" w:ascii="Times New Roman" w:hAnsi="Times New Roman" w:cs="Times New Roman"/>
                <w:b w:val="0"/>
                <w:bCs w:val="0"/>
                <w:color w:val="auto"/>
                <w:kern w:val="0"/>
                <w:sz w:val="24"/>
                <w:highlight w:val="none"/>
              </w:rPr>
              <w:t>自2031年1月1日起，评价范围内环境空气执行《环境空气质量标准》（GB3095</w:t>
            </w:r>
            <w:r>
              <w:rPr>
                <w:rFonts w:hint="default" w:ascii="Times New Roman" w:hAnsi="Times New Roman" w:cs="Times New Roman"/>
                <w:b w:val="0"/>
                <w:bCs w:val="0"/>
                <w:color w:val="auto"/>
                <w:kern w:val="0"/>
                <w:sz w:val="24"/>
                <w:highlight w:val="none"/>
                <w:lang w:eastAsia="zh-CN"/>
              </w:rPr>
              <w:t>—</w:t>
            </w:r>
            <w:r>
              <w:rPr>
                <w:rFonts w:hint="default" w:ascii="Times New Roman" w:hAnsi="Times New Roman" w:cs="Times New Roman"/>
                <w:b w:val="0"/>
                <w:bCs w:val="0"/>
                <w:color w:val="auto"/>
                <w:kern w:val="0"/>
                <w:sz w:val="24"/>
                <w:highlight w:val="none"/>
              </w:rPr>
              <w:t>2026）二级标准</w:t>
            </w:r>
            <w:r>
              <w:rPr>
                <w:rFonts w:hint="default" w:ascii="Times New Roman" w:hAnsi="Times New Roman" w:cs="Times New Roman"/>
                <w:b w:val="0"/>
                <w:bCs w:val="0"/>
                <w:color w:val="auto"/>
                <w:kern w:val="0"/>
                <w:sz w:val="24"/>
                <w:highlight w:val="none"/>
                <w:lang w:val="en-US" w:eastAsia="zh-CN"/>
              </w:rPr>
              <w:t>浓度限值</w:t>
            </w:r>
            <w:r>
              <w:rPr>
                <w:rFonts w:hint="default" w:ascii="Times New Roman" w:hAnsi="Times New Roman" w:cs="Times New Roman"/>
                <w:b w:val="0"/>
                <w:bCs w:val="0"/>
                <w:color w:val="auto"/>
                <w:kern w:val="0"/>
                <w:sz w:val="24"/>
                <w:highlight w:val="none"/>
              </w:rPr>
              <w:t>。</w:t>
            </w:r>
          </w:p>
          <w:p w14:paraId="6F4A7733">
            <w:pPr>
              <w:adjustRightInd w:val="0"/>
              <w:snapToGrid w:val="0"/>
              <w:spacing w:line="500" w:lineRule="exact"/>
              <w:ind w:firstLine="422" w:firstLineChars="200"/>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lang w:val="en-US" w:eastAsia="zh-CN"/>
              </w:rPr>
              <w:t xml:space="preserve">8  </w:t>
            </w:r>
            <w:r>
              <w:rPr>
                <w:rFonts w:hint="default" w:ascii="Times New Roman" w:hAnsi="Times New Roman" w:cs="Times New Roman"/>
                <w:b/>
                <w:color w:val="auto"/>
                <w:kern w:val="0"/>
                <w:sz w:val="21"/>
                <w:szCs w:val="21"/>
                <w:highlight w:val="none"/>
              </w:rPr>
              <w:t>环境空气质量标准</w:t>
            </w:r>
          </w:p>
          <w:tbl>
            <w:tblPr>
              <w:tblStyle w:val="25"/>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1399"/>
              <w:gridCol w:w="1243"/>
              <w:gridCol w:w="803"/>
              <w:gridCol w:w="804"/>
              <w:gridCol w:w="803"/>
              <w:gridCol w:w="809"/>
              <w:gridCol w:w="1110"/>
            </w:tblGrid>
            <w:tr w14:paraId="6D293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tcBorders>
                    <w:tl2br w:val="nil"/>
                  </w:tcBorders>
                  <w:shd w:val="clear" w:color="auto" w:fill="FFFFFF"/>
                  <w:noWrap w:val="0"/>
                  <w:vAlign w:val="center"/>
                </w:tcPr>
                <w:p w14:paraId="0078BA4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序号</w:t>
                  </w:r>
                </w:p>
              </w:tc>
              <w:tc>
                <w:tcPr>
                  <w:tcW w:w="915" w:type="pct"/>
                  <w:vMerge w:val="restart"/>
                  <w:shd w:val="clear" w:color="auto" w:fill="FFFFFF"/>
                  <w:noWrap w:val="0"/>
                  <w:vAlign w:val="center"/>
                </w:tcPr>
                <w:p w14:paraId="125C1163">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污染物项目</w:t>
                  </w:r>
                </w:p>
              </w:tc>
              <w:tc>
                <w:tcPr>
                  <w:tcW w:w="813" w:type="pct"/>
                  <w:vMerge w:val="restart"/>
                  <w:shd w:val="clear" w:color="auto" w:fill="FFFFFF"/>
                  <w:noWrap w:val="0"/>
                  <w:vAlign w:val="center"/>
                </w:tcPr>
                <w:p w14:paraId="49A2919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平均时间</w:t>
                  </w:r>
                </w:p>
              </w:tc>
              <w:tc>
                <w:tcPr>
                  <w:tcW w:w="2105" w:type="pct"/>
                  <w:gridSpan w:val="4"/>
                  <w:shd w:val="clear" w:color="auto" w:fill="FFFFFF"/>
                  <w:noWrap w:val="0"/>
                  <w:vAlign w:val="center"/>
                </w:tcPr>
                <w:p w14:paraId="7FC4665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GB3095—2026</w:t>
                  </w:r>
                </w:p>
              </w:tc>
              <w:tc>
                <w:tcPr>
                  <w:tcW w:w="725" w:type="pct"/>
                  <w:vMerge w:val="restart"/>
                  <w:shd w:val="clear" w:color="auto" w:fill="FFFFFF"/>
                  <w:noWrap w:val="0"/>
                  <w:vAlign w:val="center"/>
                </w:tcPr>
                <w:p w14:paraId="6E5CA14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单位</w:t>
                  </w:r>
                </w:p>
              </w:tc>
            </w:tr>
            <w:tr w14:paraId="1DAE3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522F21EF">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3C64AA7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vMerge w:val="continue"/>
                  <w:shd w:val="clear" w:color="auto" w:fill="FFFFFF"/>
                  <w:noWrap w:val="0"/>
                  <w:vAlign w:val="center"/>
                </w:tcPr>
                <w:p w14:paraId="1A2385E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1051" w:type="pct"/>
                  <w:gridSpan w:val="2"/>
                  <w:shd w:val="clear" w:color="auto" w:fill="FFFFFF"/>
                  <w:noWrap w:val="0"/>
                  <w:vAlign w:val="center"/>
                </w:tcPr>
                <w:p w14:paraId="1C06B3D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过渡阶段</w:t>
                  </w:r>
                  <w:r>
                    <w:rPr>
                      <w:rFonts w:hint="default" w:ascii="Times New Roman" w:hAnsi="Times New Roman" w:cs="Times New Roman"/>
                      <w:b w:val="0"/>
                      <w:color w:val="auto"/>
                      <w:sz w:val="21"/>
                      <w:szCs w:val="21"/>
                      <w:highlight w:val="none"/>
                    </w:rPr>
                    <w:t>浓度限值</w:t>
                  </w:r>
                </w:p>
              </w:tc>
              <w:tc>
                <w:tcPr>
                  <w:tcW w:w="1053" w:type="pct"/>
                  <w:gridSpan w:val="2"/>
                  <w:shd w:val="clear" w:color="auto" w:fill="FFFFFF"/>
                  <w:noWrap w:val="0"/>
                  <w:vAlign w:val="center"/>
                </w:tcPr>
                <w:p w14:paraId="3BC93FB0">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rPr>
                    <w:t>浓度限值</w:t>
                  </w:r>
                </w:p>
              </w:tc>
              <w:tc>
                <w:tcPr>
                  <w:tcW w:w="725" w:type="pct"/>
                  <w:vMerge w:val="continue"/>
                  <w:shd w:val="clear" w:color="auto" w:fill="FFFFFF"/>
                  <w:noWrap w:val="0"/>
                  <w:vAlign w:val="center"/>
                </w:tcPr>
                <w:p w14:paraId="4266E3B6">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695D3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0333A29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2FCE126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vMerge w:val="continue"/>
                  <w:shd w:val="clear" w:color="auto" w:fill="FFFFFF"/>
                  <w:noWrap w:val="0"/>
                  <w:vAlign w:val="center"/>
                </w:tcPr>
                <w:p w14:paraId="458E72D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525" w:type="pct"/>
                  <w:shd w:val="clear" w:color="auto" w:fill="FFFFFF"/>
                  <w:noWrap w:val="0"/>
                  <w:vAlign w:val="center"/>
                </w:tcPr>
                <w:p w14:paraId="7D1953E3">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一</w:t>
                  </w:r>
                  <w:r>
                    <w:rPr>
                      <w:rFonts w:hint="default" w:ascii="Times New Roman" w:hAnsi="Times New Roman" w:cs="Times New Roman"/>
                      <w:b w:val="0"/>
                      <w:color w:val="auto"/>
                      <w:sz w:val="21"/>
                      <w:szCs w:val="21"/>
                      <w:highlight w:val="none"/>
                    </w:rPr>
                    <w:t>级</w:t>
                  </w:r>
                </w:p>
              </w:tc>
              <w:tc>
                <w:tcPr>
                  <w:tcW w:w="525" w:type="pct"/>
                  <w:shd w:val="clear" w:color="auto" w:fill="FFFFFF"/>
                  <w:noWrap w:val="0"/>
                  <w:vAlign w:val="center"/>
                </w:tcPr>
                <w:p w14:paraId="70856AC0">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二级</w:t>
                  </w:r>
                </w:p>
              </w:tc>
              <w:tc>
                <w:tcPr>
                  <w:tcW w:w="525" w:type="pct"/>
                  <w:shd w:val="clear" w:color="auto" w:fill="FFFFFF"/>
                  <w:noWrap w:val="0"/>
                  <w:vAlign w:val="center"/>
                </w:tcPr>
                <w:p w14:paraId="62B6EFA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一</w:t>
                  </w:r>
                  <w:r>
                    <w:rPr>
                      <w:rFonts w:hint="default" w:ascii="Times New Roman" w:hAnsi="Times New Roman" w:cs="Times New Roman"/>
                      <w:b w:val="0"/>
                      <w:color w:val="auto"/>
                      <w:sz w:val="21"/>
                      <w:szCs w:val="21"/>
                      <w:highlight w:val="none"/>
                    </w:rPr>
                    <w:t>级</w:t>
                  </w:r>
                </w:p>
              </w:tc>
              <w:tc>
                <w:tcPr>
                  <w:tcW w:w="527" w:type="pct"/>
                  <w:shd w:val="clear" w:color="auto" w:fill="FFFFFF"/>
                  <w:noWrap w:val="0"/>
                  <w:vAlign w:val="center"/>
                </w:tcPr>
                <w:p w14:paraId="0F7BD2C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二级</w:t>
                  </w:r>
                </w:p>
              </w:tc>
              <w:tc>
                <w:tcPr>
                  <w:tcW w:w="725" w:type="pct"/>
                  <w:vMerge w:val="continue"/>
                  <w:shd w:val="clear" w:color="auto" w:fill="FFFFFF"/>
                  <w:noWrap w:val="0"/>
                  <w:vAlign w:val="center"/>
                </w:tcPr>
                <w:p w14:paraId="778DF56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25C6E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7A349A7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w:t>
                  </w:r>
                </w:p>
              </w:tc>
              <w:tc>
                <w:tcPr>
                  <w:tcW w:w="915" w:type="pct"/>
                  <w:vMerge w:val="restart"/>
                  <w:shd w:val="clear" w:color="auto" w:fill="FFFFFF"/>
                  <w:noWrap w:val="0"/>
                  <w:vAlign w:val="center"/>
                </w:tcPr>
                <w:p w14:paraId="3A56A77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二氧化硫（SO</w:t>
                  </w:r>
                  <w:r>
                    <w:rPr>
                      <w:rFonts w:hint="default" w:ascii="Times New Roman" w:hAnsi="Times New Roman" w:cs="Times New Roman"/>
                      <w:b w:val="0"/>
                      <w:color w:val="auto"/>
                      <w:sz w:val="21"/>
                      <w:szCs w:val="21"/>
                      <w:highlight w:val="none"/>
                      <w:vertAlign w:val="subscript"/>
                    </w:rPr>
                    <w:t>2</w:t>
                  </w:r>
                  <w:r>
                    <w:rPr>
                      <w:rFonts w:hint="default" w:ascii="Times New Roman" w:hAnsi="Times New Roman" w:cs="Times New Roman"/>
                      <w:b w:val="0"/>
                      <w:color w:val="auto"/>
                      <w:sz w:val="21"/>
                      <w:szCs w:val="21"/>
                      <w:highlight w:val="none"/>
                    </w:rPr>
                    <w:t>）</w:t>
                  </w:r>
                </w:p>
              </w:tc>
              <w:tc>
                <w:tcPr>
                  <w:tcW w:w="813" w:type="pct"/>
                  <w:shd w:val="clear" w:color="auto" w:fill="FFFFFF"/>
                  <w:noWrap w:val="0"/>
                  <w:vAlign w:val="center"/>
                </w:tcPr>
                <w:p w14:paraId="2B5C5CB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7CB7BEA4">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w:t>
                  </w:r>
                </w:p>
              </w:tc>
              <w:tc>
                <w:tcPr>
                  <w:tcW w:w="525" w:type="pct"/>
                  <w:shd w:val="clear" w:color="auto" w:fill="FFFFFF"/>
                  <w:noWrap w:val="0"/>
                  <w:vAlign w:val="center"/>
                </w:tcPr>
                <w:p w14:paraId="7BD320F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60</w:t>
                  </w:r>
                </w:p>
              </w:tc>
              <w:tc>
                <w:tcPr>
                  <w:tcW w:w="525" w:type="pct"/>
                  <w:shd w:val="clear" w:color="auto" w:fill="FFFFFF"/>
                  <w:noWrap w:val="0"/>
                  <w:vAlign w:val="center"/>
                </w:tcPr>
                <w:p w14:paraId="33601CB3">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w:t>
                  </w:r>
                </w:p>
              </w:tc>
              <w:tc>
                <w:tcPr>
                  <w:tcW w:w="527" w:type="pct"/>
                  <w:shd w:val="clear" w:color="auto" w:fill="FFFFFF"/>
                  <w:noWrap w:val="0"/>
                  <w:vAlign w:val="center"/>
                </w:tcPr>
                <w:p w14:paraId="5D6B6D6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w:t>
                  </w:r>
                </w:p>
              </w:tc>
              <w:tc>
                <w:tcPr>
                  <w:tcW w:w="725" w:type="pct"/>
                  <w:vMerge w:val="restart"/>
                  <w:shd w:val="clear" w:color="auto" w:fill="FFFFFF"/>
                  <w:noWrap w:val="0"/>
                  <w:vAlign w:val="center"/>
                </w:tcPr>
                <w:p w14:paraId="581CF14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μg/</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vertAlign w:val="superscript"/>
                    </w:rPr>
                    <w:t>3</w:t>
                  </w:r>
                </w:p>
              </w:tc>
            </w:tr>
            <w:tr w14:paraId="2EA6E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5B2B957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7B449A4F">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shd w:val="clear" w:color="auto" w:fill="FFFFFF"/>
                  <w:noWrap w:val="0"/>
                  <w:vAlign w:val="center"/>
                </w:tcPr>
                <w:p w14:paraId="47AE332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738DFA3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5" w:type="pct"/>
                  <w:shd w:val="clear" w:color="auto" w:fill="FFFFFF"/>
                  <w:noWrap w:val="0"/>
                  <w:vAlign w:val="center"/>
                </w:tcPr>
                <w:p w14:paraId="4011460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150</w:t>
                  </w:r>
                </w:p>
              </w:tc>
              <w:tc>
                <w:tcPr>
                  <w:tcW w:w="525" w:type="pct"/>
                  <w:shd w:val="clear" w:color="auto" w:fill="FFFFFF"/>
                  <w:noWrap w:val="0"/>
                  <w:vAlign w:val="center"/>
                </w:tcPr>
                <w:p w14:paraId="3463E1E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7" w:type="pct"/>
                  <w:shd w:val="clear" w:color="auto" w:fill="FFFFFF"/>
                  <w:noWrap w:val="0"/>
                  <w:vAlign w:val="center"/>
                </w:tcPr>
                <w:p w14:paraId="66C7D5FC">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725" w:type="pct"/>
                  <w:vMerge w:val="continue"/>
                  <w:shd w:val="clear" w:color="auto" w:fill="FFFFFF"/>
                  <w:noWrap w:val="0"/>
                  <w:vAlign w:val="center"/>
                </w:tcPr>
                <w:p w14:paraId="6E50A70A">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54DDE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4E3753C6">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31D219A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shd w:val="clear" w:color="auto" w:fill="FFFFFF"/>
                  <w:noWrap w:val="0"/>
                  <w:vAlign w:val="center"/>
                </w:tcPr>
                <w:p w14:paraId="6DCB035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1小时平均</w:t>
                  </w:r>
                </w:p>
              </w:tc>
              <w:tc>
                <w:tcPr>
                  <w:tcW w:w="525" w:type="pct"/>
                  <w:shd w:val="clear" w:color="auto" w:fill="FFFFFF"/>
                  <w:noWrap w:val="0"/>
                  <w:vAlign w:val="center"/>
                </w:tcPr>
                <w:p w14:paraId="2E43F81A">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150</w:t>
                  </w:r>
                </w:p>
              </w:tc>
              <w:tc>
                <w:tcPr>
                  <w:tcW w:w="525" w:type="pct"/>
                  <w:shd w:val="clear" w:color="auto" w:fill="FFFFFF"/>
                  <w:noWrap w:val="0"/>
                  <w:vAlign w:val="center"/>
                </w:tcPr>
                <w:p w14:paraId="451DA0C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500</w:t>
                  </w:r>
                </w:p>
              </w:tc>
              <w:tc>
                <w:tcPr>
                  <w:tcW w:w="525" w:type="pct"/>
                  <w:shd w:val="clear" w:color="auto" w:fill="FFFFFF"/>
                  <w:noWrap w:val="0"/>
                  <w:vAlign w:val="center"/>
                </w:tcPr>
                <w:p w14:paraId="0A5DEB3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150</w:t>
                  </w:r>
                </w:p>
              </w:tc>
              <w:tc>
                <w:tcPr>
                  <w:tcW w:w="527" w:type="pct"/>
                  <w:shd w:val="clear" w:color="auto" w:fill="FFFFFF"/>
                  <w:noWrap w:val="0"/>
                  <w:vAlign w:val="center"/>
                </w:tcPr>
                <w:p w14:paraId="4DA81B8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150</w:t>
                  </w:r>
                </w:p>
              </w:tc>
              <w:tc>
                <w:tcPr>
                  <w:tcW w:w="725" w:type="pct"/>
                  <w:vMerge w:val="continue"/>
                  <w:shd w:val="clear" w:color="auto" w:fill="FFFFFF"/>
                  <w:noWrap w:val="0"/>
                  <w:vAlign w:val="center"/>
                </w:tcPr>
                <w:p w14:paraId="442075C8">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6DE0D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2AF58FB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w:t>
                  </w:r>
                </w:p>
              </w:tc>
              <w:tc>
                <w:tcPr>
                  <w:tcW w:w="915" w:type="pct"/>
                  <w:vMerge w:val="restart"/>
                  <w:shd w:val="clear" w:color="auto" w:fill="FFFFFF"/>
                  <w:noWrap w:val="0"/>
                  <w:vAlign w:val="center"/>
                </w:tcPr>
                <w:p w14:paraId="5FC54E7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二氧化氮（NO</w:t>
                  </w:r>
                  <w:r>
                    <w:rPr>
                      <w:rFonts w:hint="default" w:ascii="Times New Roman" w:hAnsi="Times New Roman" w:cs="Times New Roman"/>
                      <w:b w:val="0"/>
                      <w:color w:val="auto"/>
                      <w:sz w:val="21"/>
                      <w:szCs w:val="21"/>
                      <w:highlight w:val="none"/>
                      <w:vertAlign w:val="subscript"/>
                    </w:rPr>
                    <w:t>2</w:t>
                  </w:r>
                  <w:r>
                    <w:rPr>
                      <w:rFonts w:hint="default" w:ascii="Times New Roman" w:hAnsi="Times New Roman" w:cs="Times New Roman"/>
                      <w:b w:val="0"/>
                      <w:color w:val="auto"/>
                      <w:sz w:val="21"/>
                      <w:szCs w:val="21"/>
                      <w:highlight w:val="none"/>
                    </w:rPr>
                    <w:t>）</w:t>
                  </w:r>
                </w:p>
              </w:tc>
              <w:tc>
                <w:tcPr>
                  <w:tcW w:w="813" w:type="pct"/>
                  <w:shd w:val="clear" w:color="auto" w:fill="FFFFFF"/>
                  <w:noWrap w:val="0"/>
                  <w:vAlign w:val="center"/>
                </w:tcPr>
                <w:p w14:paraId="65A494F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354D66C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40</w:t>
                  </w:r>
                </w:p>
              </w:tc>
              <w:tc>
                <w:tcPr>
                  <w:tcW w:w="525" w:type="pct"/>
                  <w:shd w:val="clear" w:color="auto" w:fill="FFFFFF"/>
                  <w:noWrap w:val="0"/>
                  <w:vAlign w:val="center"/>
                </w:tcPr>
                <w:p w14:paraId="0F1BF55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40</w:t>
                  </w:r>
                </w:p>
              </w:tc>
              <w:tc>
                <w:tcPr>
                  <w:tcW w:w="525" w:type="pct"/>
                  <w:shd w:val="clear" w:color="auto" w:fill="FFFFFF"/>
                  <w:noWrap w:val="0"/>
                  <w:vAlign w:val="center"/>
                </w:tcPr>
                <w:p w14:paraId="3E27ED2C">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30</w:t>
                  </w:r>
                </w:p>
              </w:tc>
              <w:tc>
                <w:tcPr>
                  <w:tcW w:w="527" w:type="pct"/>
                  <w:shd w:val="clear" w:color="auto" w:fill="FFFFFF"/>
                  <w:noWrap w:val="0"/>
                  <w:vAlign w:val="center"/>
                </w:tcPr>
                <w:p w14:paraId="39DEF0A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30</w:t>
                  </w:r>
                </w:p>
              </w:tc>
              <w:tc>
                <w:tcPr>
                  <w:tcW w:w="725" w:type="pct"/>
                  <w:vMerge w:val="continue"/>
                  <w:shd w:val="clear" w:color="auto" w:fill="FFFFFF"/>
                  <w:noWrap w:val="0"/>
                  <w:vAlign w:val="center"/>
                </w:tcPr>
                <w:p w14:paraId="769D97FC">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33EE7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6A026264">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63ED15B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shd w:val="clear" w:color="auto" w:fill="FFFFFF"/>
                  <w:noWrap w:val="0"/>
                  <w:vAlign w:val="center"/>
                </w:tcPr>
                <w:p w14:paraId="2477E63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4A4106D0">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80</w:t>
                  </w:r>
                </w:p>
              </w:tc>
              <w:tc>
                <w:tcPr>
                  <w:tcW w:w="525" w:type="pct"/>
                  <w:shd w:val="clear" w:color="auto" w:fill="FFFFFF"/>
                  <w:noWrap w:val="0"/>
                  <w:vAlign w:val="center"/>
                </w:tcPr>
                <w:p w14:paraId="0CEE1B14">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80</w:t>
                  </w:r>
                </w:p>
              </w:tc>
              <w:tc>
                <w:tcPr>
                  <w:tcW w:w="525" w:type="pct"/>
                  <w:shd w:val="clear" w:color="auto" w:fill="FFFFFF"/>
                  <w:noWrap w:val="0"/>
                  <w:vAlign w:val="center"/>
                </w:tcPr>
                <w:p w14:paraId="13AFEB4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7" w:type="pct"/>
                  <w:shd w:val="clear" w:color="auto" w:fill="FFFFFF"/>
                  <w:noWrap w:val="0"/>
                  <w:vAlign w:val="center"/>
                </w:tcPr>
                <w:p w14:paraId="6F9CD43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725" w:type="pct"/>
                  <w:vMerge w:val="continue"/>
                  <w:shd w:val="clear" w:color="auto" w:fill="FFFFFF"/>
                  <w:noWrap w:val="0"/>
                  <w:vAlign w:val="center"/>
                </w:tcPr>
                <w:p w14:paraId="1F7B039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7A44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55A87A2A">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7351E29A">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shd w:val="clear" w:color="auto" w:fill="FFFFFF"/>
                  <w:noWrap w:val="0"/>
                  <w:vAlign w:val="center"/>
                </w:tcPr>
                <w:p w14:paraId="470A670A">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1小时平均</w:t>
                  </w:r>
                </w:p>
              </w:tc>
              <w:tc>
                <w:tcPr>
                  <w:tcW w:w="525" w:type="pct"/>
                  <w:shd w:val="clear" w:color="auto" w:fill="FFFFFF"/>
                  <w:noWrap w:val="0"/>
                  <w:vAlign w:val="center"/>
                </w:tcPr>
                <w:p w14:paraId="6415333F">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525" w:type="pct"/>
                  <w:shd w:val="clear" w:color="auto" w:fill="FFFFFF"/>
                  <w:noWrap w:val="0"/>
                  <w:vAlign w:val="center"/>
                </w:tcPr>
                <w:p w14:paraId="073E668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200</w:t>
                  </w:r>
                </w:p>
              </w:tc>
              <w:tc>
                <w:tcPr>
                  <w:tcW w:w="525" w:type="pct"/>
                  <w:shd w:val="clear" w:color="auto" w:fill="FFFFFF"/>
                  <w:noWrap w:val="0"/>
                  <w:vAlign w:val="center"/>
                </w:tcPr>
                <w:p w14:paraId="4FF60766">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527" w:type="pct"/>
                  <w:shd w:val="clear" w:color="auto" w:fill="FFFFFF"/>
                  <w:noWrap w:val="0"/>
                  <w:vAlign w:val="center"/>
                </w:tcPr>
                <w:p w14:paraId="0A740910">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725" w:type="pct"/>
                  <w:vMerge w:val="continue"/>
                  <w:shd w:val="clear" w:color="auto" w:fill="FFFFFF"/>
                  <w:noWrap w:val="0"/>
                  <w:vAlign w:val="center"/>
                </w:tcPr>
                <w:p w14:paraId="570F3C34">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7D8EE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795D86C8">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3</w:t>
                  </w:r>
                </w:p>
              </w:tc>
              <w:tc>
                <w:tcPr>
                  <w:tcW w:w="915" w:type="pct"/>
                  <w:vMerge w:val="restart"/>
                  <w:shd w:val="clear" w:color="auto" w:fill="FFFFFF"/>
                  <w:noWrap w:val="0"/>
                  <w:vAlign w:val="center"/>
                </w:tcPr>
                <w:p w14:paraId="3675DF9A">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一氧化碳（CO）</w:t>
                  </w:r>
                </w:p>
              </w:tc>
              <w:tc>
                <w:tcPr>
                  <w:tcW w:w="813" w:type="pct"/>
                  <w:shd w:val="clear" w:color="auto" w:fill="FFFFFF"/>
                  <w:noWrap w:val="0"/>
                  <w:vAlign w:val="center"/>
                </w:tcPr>
                <w:p w14:paraId="3127D4B3">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0EC50D9F">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w:t>
                  </w:r>
                </w:p>
              </w:tc>
              <w:tc>
                <w:tcPr>
                  <w:tcW w:w="525" w:type="pct"/>
                  <w:shd w:val="clear" w:color="auto" w:fill="FFFFFF"/>
                  <w:noWrap w:val="0"/>
                  <w:vAlign w:val="center"/>
                </w:tcPr>
                <w:p w14:paraId="2DD434B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4</w:t>
                  </w:r>
                </w:p>
              </w:tc>
              <w:tc>
                <w:tcPr>
                  <w:tcW w:w="525" w:type="pct"/>
                  <w:shd w:val="clear" w:color="auto" w:fill="FFFFFF"/>
                  <w:noWrap w:val="0"/>
                  <w:vAlign w:val="center"/>
                </w:tcPr>
                <w:p w14:paraId="39BC898C">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w:t>
                  </w:r>
                </w:p>
              </w:tc>
              <w:tc>
                <w:tcPr>
                  <w:tcW w:w="527" w:type="pct"/>
                  <w:shd w:val="clear" w:color="auto" w:fill="FFFFFF"/>
                  <w:noWrap w:val="0"/>
                  <w:vAlign w:val="center"/>
                </w:tcPr>
                <w:p w14:paraId="05DC049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w:t>
                  </w:r>
                </w:p>
              </w:tc>
              <w:tc>
                <w:tcPr>
                  <w:tcW w:w="725" w:type="pct"/>
                  <w:vMerge w:val="restart"/>
                  <w:shd w:val="clear" w:color="auto" w:fill="FFFFFF"/>
                  <w:noWrap w:val="0"/>
                  <w:vAlign w:val="center"/>
                </w:tcPr>
                <w:p w14:paraId="49D97A90">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rPr>
                    <w:t>g/</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vertAlign w:val="superscript"/>
                    </w:rPr>
                    <w:t>3</w:t>
                  </w:r>
                </w:p>
              </w:tc>
            </w:tr>
            <w:tr w14:paraId="51F7E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7858AAF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639B92B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shd w:val="clear" w:color="auto" w:fill="FFFFFF"/>
                  <w:noWrap w:val="0"/>
                  <w:vAlign w:val="center"/>
                </w:tcPr>
                <w:p w14:paraId="48C0DED8">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1小时平均</w:t>
                  </w:r>
                </w:p>
              </w:tc>
              <w:tc>
                <w:tcPr>
                  <w:tcW w:w="525" w:type="pct"/>
                  <w:shd w:val="clear" w:color="auto" w:fill="FFFFFF"/>
                  <w:noWrap w:val="0"/>
                  <w:vAlign w:val="center"/>
                </w:tcPr>
                <w:p w14:paraId="69F0618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w:t>
                  </w:r>
                </w:p>
              </w:tc>
              <w:tc>
                <w:tcPr>
                  <w:tcW w:w="525" w:type="pct"/>
                  <w:shd w:val="clear" w:color="auto" w:fill="FFFFFF"/>
                  <w:noWrap w:val="0"/>
                  <w:vAlign w:val="center"/>
                </w:tcPr>
                <w:p w14:paraId="75796B03">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10</w:t>
                  </w:r>
                </w:p>
              </w:tc>
              <w:tc>
                <w:tcPr>
                  <w:tcW w:w="525" w:type="pct"/>
                  <w:shd w:val="clear" w:color="auto" w:fill="FFFFFF"/>
                  <w:noWrap w:val="0"/>
                  <w:vAlign w:val="center"/>
                </w:tcPr>
                <w:p w14:paraId="508807C8">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w:t>
                  </w:r>
                </w:p>
              </w:tc>
              <w:tc>
                <w:tcPr>
                  <w:tcW w:w="527" w:type="pct"/>
                  <w:shd w:val="clear" w:color="auto" w:fill="FFFFFF"/>
                  <w:noWrap w:val="0"/>
                  <w:vAlign w:val="center"/>
                </w:tcPr>
                <w:p w14:paraId="7C1A70A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w:t>
                  </w:r>
                </w:p>
              </w:tc>
              <w:tc>
                <w:tcPr>
                  <w:tcW w:w="725" w:type="pct"/>
                  <w:vMerge w:val="continue"/>
                  <w:shd w:val="clear" w:color="auto" w:fill="FFFFFF"/>
                  <w:noWrap w:val="0"/>
                  <w:vAlign w:val="center"/>
                </w:tcPr>
                <w:p w14:paraId="64E2990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58563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672E2FD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4</w:t>
                  </w:r>
                </w:p>
              </w:tc>
              <w:tc>
                <w:tcPr>
                  <w:tcW w:w="915" w:type="pct"/>
                  <w:vMerge w:val="restart"/>
                  <w:shd w:val="clear" w:color="auto" w:fill="FFFFFF"/>
                  <w:noWrap w:val="0"/>
                  <w:vAlign w:val="center"/>
                </w:tcPr>
                <w:p w14:paraId="5BBD1C03">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臭氧（O</w:t>
                  </w:r>
                  <w:r>
                    <w:rPr>
                      <w:rFonts w:hint="default" w:ascii="Times New Roman" w:hAnsi="Times New Roman" w:cs="Times New Roman"/>
                      <w:b w:val="0"/>
                      <w:color w:val="auto"/>
                      <w:sz w:val="21"/>
                      <w:szCs w:val="21"/>
                      <w:highlight w:val="none"/>
                      <w:vertAlign w:val="subscript"/>
                    </w:rPr>
                    <w:t>3</w:t>
                  </w:r>
                  <w:r>
                    <w:rPr>
                      <w:rFonts w:hint="default" w:ascii="Times New Roman" w:hAnsi="Times New Roman" w:cs="Times New Roman"/>
                      <w:b w:val="0"/>
                      <w:color w:val="auto"/>
                      <w:sz w:val="21"/>
                      <w:szCs w:val="21"/>
                      <w:highlight w:val="none"/>
                    </w:rPr>
                    <w:t>）</w:t>
                  </w:r>
                </w:p>
              </w:tc>
              <w:tc>
                <w:tcPr>
                  <w:tcW w:w="813" w:type="pct"/>
                  <w:shd w:val="clear" w:color="auto" w:fill="FFFFFF"/>
                  <w:noWrap w:val="0"/>
                  <w:vAlign w:val="center"/>
                </w:tcPr>
                <w:p w14:paraId="56ABFB34">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日最大8小时平均</w:t>
                  </w:r>
                </w:p>
              </w:tc>
              <w:tc>
                <w:tcPr>
                  <w:tcW w:w="525" w:type="pct"/>
                  <w:shd w:val="clear" w:color="auto" w:fill="FFFFFF"/>
                  <w:noWrap w:val="0"/>
                  <w:vAlign w:val="center"/>
                </w:tcPr>
                <w:p w14:paraId="7ED1E22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100</w:t>
                  </w:r>
                </w:p>
              </w:tc>
              <w:tc>
                <w:tcPr>
                  <w:tcW w:w="525" w:type="pct"/>
                  <w:shd w:val="clear" w:color="auto" w:fill="FFFFFF"/>
                  <w:noWrap w:val="0"/>
                  <w:vAlign w:val="center"/>
                </w:tcPr>
                <w:p w14:paraId="5CAE76E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160</w:t>
                  </w:r>
                </w:p>
              </w:tc>
              <w:tc>
                <w:tcPr>
                  <w:tcW w:w="525" w:type="pct"/>
                  <w:shd w:val="clear" w:color="auto" w:fill="FFFFFF"/>
                  <w:noWrap w:val="0"/>
                  <w:vAlign w:val="center"/>
                </w:tcPr>
                <w:p w14:paraId="7C63B0A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100</w:t>
                  </w:r>
                </w:p>
              </w:tc>
              <w:tc>
                <w:tcPr>
                  <w:tcW w:w="527" w:type="pct"/>
                  <w:shd w:val="clear" w:color="auto" w:fill="FFFFFF"/>
                  <w:noWrap w:val="0"/>
                  <w:vAlign w:val="center"/>
                </w:tcPr>
                <w:p w14:paraId="6F61D73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160</w:t>
                  </w:r>
                </w:p>
              </w:tc>
              <w:tc>
                <w:tcPr>
                  <w:tcW w:w="725" w:type="pct"/>
                  <w:vMerge w:val="restart"/>
                  <w:shd w:val="clear" w:color="auto" w:fill="FFFFFF"/>
                  <w:noWrap w:val="0"/>
                  <w:vAlign w:val="center"/>
                </w:tcPr>
                <w:p w14:paraId="77EE5BF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μg/</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vertAlign w:val="superscript"/>
                    </w:rPr>
                    <w:t>3</w:t>
                  </w:r>
                </w:p>
              </w:tc>
            </w:tr>
            <w:tr w14:paraId="496E1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5CA9991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41B78FD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shd w:val="clear" w:color="auto" w:fill="FFFFFF"/>
                  <w:noWrap w:val="0"/>
                  <w:vAlign w:val="center"/>
                </w:tcPr>
                <w:p w14:paraId="538A4C4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1小时平均</w:t>
                  </w:r>
                </w:p>
              </w:tc>
              <w:tc>
                <w:tcPr>
                  <w:tcW w:w="525" w:type="pct"/>
                  <w:shd w:val="clear" w:color="auto" w:fill="FFFFFF"/>
                  <w:noWrap w:val="0"/>
                  <w:vAlign w:val="center"/>
                </w:tcPr>
                <w:p w14:paraId="134054C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160</w:t>
                  </w:r>
                </w:p>
              </w:tc>
              <w:tc>
                <w:tcPr>
                  <w:tcW w:w="525" w:type="pct"/>
                  <w:shd w:val="clear" w:color="auto" w:fill="FFFFFF"/>
                  <w:noWrap w:val="0"/>
                  <w:vAlign w:val="center"/>
                </w:tcPr>
                <w:p w14:paraId="1A76200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200</w:t>
                  </w:r>
                </w:p>
              </w:tc>
              <w:tc>
                <w:tcPr>
                  <w:tcW w:w="525" w:type="pct"/>
                  <w:shd w:val="clear" w:color="auto" w:fill="FFFFFF"/>
                  <w:noWrap w:val="0"/>
                  <w:vAlign w:val="center"/>
                </w:tcPr>
                <w:p w14:paraId="47EB8BF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100</w:t>
                  </w:r>
                </w:p>
              </w:tc>
              <w:tc>
                <w:tcPr>
                  <w:tcW w:w="527" w:type="pct"/>
                  <w:shd w:val="clear" w:color="auto" w:fill="FFFFFF"/>
                  <w:noWrap w:val="0"/>
                  <w:vAlign w:val="center"/>
                </w:tcPr>
                <w:p w14:paraId="2B6EE74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160</w:t>
                  </w:r>
                </w:p>
              </w:tc>
              <w:tc>
                <w:tcPr>
                  <w:tcW w:w="725" w:type="pct"/>
                  <w:vMerge w:val="continue"/>
                  <w:shd w:val="clear" w:color="auto" w:fill="FFFFFF"/>
                  <w:noWrap w:val="0"/>
                  <w:vAlign w:val="center"/>
                </w:tcPr>
                <w:p w14:paraId="652BBDE6">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42395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695DAE1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5</w:t>
                  </w:r>
                </w:p>
              </w:tc>
              <w:tc>
                <w:tcPr>
                  <w:tcW w:w="915" w:type="pct"/>
                  <w:vMerge w:val="restart"/>
                  <w:shd w:val="clear" w:color="auto" w:fill="FFFFFF"/>
                  <w:noWrap w:val="0"/>
                  <w:vAlign w:val="center"/>
                </w:tcPr>
                <w:p w14:paraId="6E995E5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颗粒物（粒径小于等于10μ</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rPr>
                    <w:t>）</w:t>
                  </w:r>
                </w:p>
              </w:tc>
              <w:tc>
                <w:tcPr>
                  <w:tcW w:w="813" w:type="pct"/>
                  <w:shd w:val="clear" w:color="auto" w:fill="FFFFFF"/>
                  <w:noWrap w:val="0"/>
                  <w:vAlign w:val="center"/>
                </w:tcPr>
                <w:p w14:paraId="7D9E507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6AFA09F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40</w:t>
                  </w:r>
                </w:p>
              </w:tc>
              <w:tc>
                <w:tcPr>
                  <w:tcW w:w="525" w:type="pct"/>
                  <w:shd w:val="clear" w:color="auto" w:fill="FFFFFF"/>
                  <w:noWrap w:val="0"/>
                  <w:vAlign w:val="center"/>
                </w:tcPr>
                <w:p w14:paraId="61C207F6">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6</w:t>
                  </w:r>
                  <w:r>
                    <w:rPr>
                      <w:rFonts w:hint="default" w:ascii="Times New Roman" w:hAnsi="Times New Roman" w:cs="Times New Roman"/>
                      <w:b w:val="0"/>
                      <w:color w:val="auto"/>
                      <w:sz w:val="21"/>
                      <w:szCs w:val="21"/>
                      <w:highlight w:val="none"/>
                    </w:rPr>
                    <w:t>0</w:t>
                  </w:r>
                </w:p>
              </w:tc>
              <w:tc>
                <w:tcPr>
                  <w:tcW w:w="525" w:type="pct"/>
                  <w:shd w:val="clear" w:color="auto" w:fill="FFFFFF"/>
                  <w:noWrap w:val="0"/>
                  <w:vAlign w:val="center"/>
                </w:tcPr>
                <w:p w14:paraId="7128DAB0">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w:t>
                  </w:r>
                </w:p>
              </w:tc>
              <w:tc>
                <w:tcPr>
                  <w:tcW w:w="527" w:type="pct"/>
                  <w:shd w:val="clear" w:color="auto" w:fill="FFFFFF"/>
                  <w:noWrap w:val="0"/>
                  <w:vAlign w:val="center"/>
                </w:tcPr>
                <w:p w14:paraId="3779E7D8">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725" w:type="pct"/>
                  <w:vMerge w:val="continue"/>
                  <w:shd w:val="clear" w:color="auto" w:fill="FFFFFF"/>
                  <w:noWrap w:val="0"/>
                  <w:vAlign w:val="center"/>
                </w:tcPr>
                <w:p w14:paraId="3E1C345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7D914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2C79DAA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74CB793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shd w:val="clear" w:color="auto" w:fill="FFFFFF"/>
                  <w:noWrap w:val="0"/>
                  <w:vAlign w:val="center"/>
                </w:tcPr>
                <w:p w14:paraId="3B60B0B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4281159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5" w:type="pct"/>
                  <w:shd w:val="clear" w:color="auto" w:fill="FFFFFF"/>
                  <w:noWrap w:val="0"/>
                  <w:vAlign w:val="center"/>
                </w:tcPr>
                <w:p w14:paraId="64511E1C">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w:t>
                  </w:r>
                  <w:r>
                    <w:rPr>
                      <w:rFonts w:hint="default" w:ascii="Times New Roman" w:hAnsi="Times New Roman" w:cs="Times New Roman"/>
                      <w:b w:val="0"/>
                      <w:color w:val="auto"/>
                      <w:sz w:val="21"/>
                      <w:szCs w:val="21"/>
                      <w:highlight w:val="none"/>
                      <w:lang w:val="en-US" w:eastAsia="zh-CN"/>
                    </w:rPr>
                    <w:t>2</w:t>
                  </w:r>
                  <w:r>
                    <w:rPr>
                      <w:rFonts w:hint="default" w:ascii="Times New Roman" w:hAnsi="Times New Roman" w:cs="Times New Roman"/>
                      <w:b w:val="0"/>
                      <w:color w:val="auto"/>
                      <w:sz w:val="21"/>
                      <w:szCs w:val="21"/>
                      <w:highlight w:val="none"/>
                    </w:rPr>
                    <w:t>0</w:t>
                  </w:r>
                </w:p>
              </w:tc>
              <w:tc>
                <w:tcPr>
                  <w:tcW w:w="525" w:type="pct"/>
                  <w:shd w:val="clear" w:color="auto" w:fill="FFFFFF"/>
                  <w:noWrap w:val="0"/>
                  <w:vAlign w:val="center"/>
                </w:tcPr>
                <w:p w14:paraId="286A0DB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7" w:type="pct"/>
                  <w:shd w:val="clear" w:color="auto" w:fill="FFFFFF"/>
                  <w:noWrap w:val="0"/>
                  <w:vAlign w:val="center"/>
                </w:tcPr>
                <w:p w14:paraId="5841547F">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100</w:t>
                  </w:r>
                </w:p>
              </w:tc>
              <w:tc>
                <w:tcPr>
                  <w:tcW w:w="725" w:type="pct"/>
                  <w:vMerge w:val="continue"/>
                  <w:shd w:val="clear" w:color="auto" w:fill="FFFFFF"/>
                  <w:noWrap w:val="0"/>
                  <w:vAlign w:val="center"/>
                </w:tcPr>
                <w:p w14:paraId="6BA3A9D4">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2599F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46C0AFA4">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6</w:t>
                  </w:r>
                </w:p>
              </w:tc>
              <w:tc>
                <w:tcPr>
                  <w:tcW w:w="915" w:type="pct"/>
                  <w:vMerge w:val="restart"/>
                  <w:shd w:val="clear" w:color="auto" w:fill="FFFFFF"/>
                  <w:noWrap w:val="0"/>
                  <w:vAlign w:val="center"/>
                </w:tcPr>
                <w:p w14:paraId="5669F60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颗粒物（粒径小于等于2.5μ</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rPr>
                    <w:t>）</w:t>
                  </w:r>
                </w:p>
              </w:tc>
              <w:tc>
                <w:tcPr>
                  <w:tcW w:w="813" w:type="pct"/>
                  <w:shd w:val="clear" w:color="auto" w:fill="FFFFFF"/>
                  <w:noWrap w:val="0"/>
                  <w:vAlign w:val="center"/>
                </w:tcPr>
                <w:p w14:paraId="1C1BC7D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63E3C62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15</w:t>
                  </w:r>
                </w:p>
              </w:tc>
              <w:tc>
                <w:tcPr>
                  <w:tcW w:w="525" w:type="pct"/>
                  <w:shd w:val="clear" w:color="auto" w:fill="FFFFFF"/>
                  <w:noWrap w:val="0"/>
                  <w:vAlign w:val="center"/>
                </w:tcPr>
                <w:p w14:paraId="3C3A9177">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eastAsia="zh-CN"/>
                    </w:rPr>
                  </w:pPr>
                  <w:r>
                    <w:rPr>
                      <w:rFonts w:hint="default" w:ascii="Times New Roman" w:hAnsi="Times New Roman" w:cs="Times New Roman"/>
                      <w:b w:val="0"/>
                      <w:color w:val="auto"/>
                      <w:sz w:val="21"/>
                      <w:szCs w:val="21"/>
                      <w:highlight w:val="none"/>
                    </w:rPr>
                    <w:t>3</w:t>
                  </w:r>
                  <w:r>
                    <w:rPr>
                      <w:rFonts w:hint="default" w:ascii="Times New Roman" w:hAnsi="Times New Roman" w:cs="Times New Roman"/>
                      <w:b w:val="0"/>
                      <w:color w:val="auto"/>
                      <w:sz w:val="21"/>
                      <w:szCs w:val="21"/>
                      <w:highlight w:val="none"/>
                      <w:lang w:val="en-US" w:eastAsia="zh-CN"/>
                    </w:rPr>
                    <w:t>0</w:t>
                  </w:r>
                </w:p>
              </w:tc>
              <w:tc>
                <w:tcPr>
                  <w:tcW w:w="525" w:type="pct"/>
                  <w:shd w:val="clear" w:color="auto" w:fill="FFFFFF"/>
                  <w:noWrap w:val="0"/>
                  <w:vAlign w:val="center"/>
                </w:tcPr>
                <w:p w14:paraId="6717F2F2">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w:t>
                  </w:r>
                </w:p>
              </w:tc>
              <w:tc>
                <w:tcPr>
                  <w:tcW w:w="527" w:type="pct"/>
                  <w:shd w:val="clear" w:color="auto" w:fill="FFFFFF"/>
                  <w:noWrap w:val="0"/>
                  <w:vAlign w:val="center"/>
                </w:tcPr>
                <w:p w14:paraId="1EF59C5C">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25</w:t>
                  </w:r>
                </w:p>
              </w:tc>
              <w:tc>
                <w:tcPr>
                  <w:tcW w:w="725" w:type="pct"/>
                  <w:vMerge w:val="continue"/>
                  <w:shd w:val="clear" w:color="auto" w:fill="FFFFFF"/>
                  <w:noWrap w:val="0"/>
                  <w:vAlign w:val="center"/>
                </w:tcPr>
                <w:p w14:paraId="2DE4097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60AE0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3EBBF693">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68FAD5D3">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shd w:val="clear" w:color="auto" w:fill="FFFFFF"/>
                  <w:noWrap w:val="0"/>
                  <w:vAlign w:val="center"/>
                </w:tcPr>
                <w:p w14:paraId="67B7183D">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35FAE9F0">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35</w:t>
                  </w:r>
                </w:p>
              </w:tc>
              <w:tc>
                <w:tcPr>
                  <w:tcW w:w="525" w:type="pct"/>
                  <w:shd w:val="clear" w:color="auto" w:fill="FFFFFF"/>
                  <w:noWrap w:val="0"/>
                  <w:vAlign w:val="center"/>
                </w:tcPr>
                <w:p w14:paraId="2FF85F9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60</w:t>
                  </w:r>
                </w:p>
              </w:tc>
              <w:tc>
                <w:tcPr>
                  <w:tcW w:w="525" w:type="pct"/>
                  <w:shd w:val="clear" w:color="auto" w:fill="FFFFFF"/>
                  <w:noWrap w:val="0"/>
                  <w:vAlign w:val="center"/>
                </w:tcPr>
                <w:p w14:paraId="748BB9F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25</w:t>
                  </w:r>
                </w:p>
              </w:tc>
              <w:tc>
                <w:tcPr>
                  <w:tcW w:w="527" w:type="pct"/>
                  <w:shd w:val="clear" w:color="auto" w:fill="FFFFFF"/>
                  <w:noWrap w:val="0"/>
                  <w:vAlign w:val="center"/>
                </w:tcPr>
                <w:p w14:paraId="0D3FFDF6">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725" w:type="pct"/>
                  <w:vMerge w:val="continue"/>
                  <w:shd w:val="clear" w:color="auto" w:fill="FFFFFF"/>
                  <w:noWrap w:val="0"/>
                  <w:vAlign w:val="center"/>
                </w:tcPr>
                <w:p w14:paraId="4D8827C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41DB4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1EE2524F">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7</w:t>
                  </w:r>
                </w:p>
              </w:tc>
              <w:tc>
                <w:tcPr>
                  <w:tcW w:w="915" w:type="pct"/>
                  <w:vMerge w:val="restart"/>
                  <w:shd w:val="clear" w:color="auto" w:fill="FFFFFF"/>
                  <w:noWrap w:val="0"/>
                  <w:vAlign w:val="center"/>
                </w:tcPr>
                <w:p w14:paraId="7754E91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总悬浮颗粒物（TSP）</w:t>
                  </w:r>
                </w:p>
              </w:tc>
              <w:tc>
                <w:tcPr>
                  <w:tcW w:w="813" w:type="pct"/>
                  <w:shd w:val="clear" w:color="auto" w:fill="FFFFFF"/>
                  <w:noWrap w:val="0"/>
                  <w:vAlign w:val="center"/>
                </w:tcPr>
                <w:p w14:paraId="680BB7B9">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5A427AE1">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80</w:t>
                  </w:r>
                </w:p>
              </w:tc>
              <w:tc>
                <w:tcPr>
                  <w:tcW w:w="525" w:type="pct"/>
                  <w:shd w:val="clear" w:color="auto" w:fill="FFFFFF"/>
                  <w:noWrap w:val="0"/>
                  <w:vAlign w:val="center"/>
                </w:tcPr>
                <w:p w14:paraId="7F4FB5E8">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525" w:type="pct"/>
                  <w:shd w:val="clear" w:color="auto" w:fill="FFFFFF"/>
                  <w:noWrap w:val="0"/>
                  <w:vAlign w:val="center"/>
                </w:tcPr>
                <w:p w14:paraId="027D1F6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80</w:t>
                  </w:r>
                </w:p>
              </w:tc>
              <w:tc>
                <w:tcPr>
                  <w:tcW w:w="527" w:type="pct"/>
                  <w:shd w:val="clear" w:color="auto" w:fill="FFFFFF"/>
                  <w:noWrap w:val="0"/>
                  <w:vAlign w:val="center"/>
                </w:tcPr>
                <w:p w14:paraId="5A563DD0">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725" w:type="pct"/>
                  <w:vMerge w:val="continue"/>
                  <w:shd w:val="clear" w:color="auto" w:fill="FFFFFF"/>
                  <w:noWrap w:val="0"/>
                  <w:vAlign w:val="center"/>
                </w:tcPr>
                <w:p w14:paraId="2FB9E8C8">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77DC4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6812F65F">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15" w:type="pct"/>
                  <w:vMerge w:val="continue"/>
                  <w:shd w:val="clear" w:color="auto" w:fill="FFFFFF"/>
                  <w:noWrap w:val="0"/>
                  <w:vAlign w:val="center"/>
                </w:tcPr>
                <w:p w14:paraId="09771D1C">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813" w:type="pct"/>
                  <w:shd w:val="clear" w:color="auto" w:fill="FFFFFF"/>
                  <w:noWrap w:val="0"/>
                  <w:vAlign w:val="center"/>
                </w:tcPr>
                <w:p w14:paraId="4463ABDC">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68779B2B">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120</w:t>
                  </w:r>
                </w:p>
              </w:tc>
              <w:tc>
                <w:tcPr>
                  <w:tcW w:w="525" w:type="pct"/>
                  <w:shd w:val="clear" w:color="auto" w:fill="FFFFFF"/>
                  <w:noWrap w:val="0"/>
                  <w:vAlign w:val="center"/>
                </w:tcPr>
                <w:p w14:paraId="74A7FD3E">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300</w:t>
                  </w:r>
                </w:p>
              </w:tc>
              <w:tc>
                <w:tcPr>
                  <w:tcW w:w="525" w:type="pct"/>
                  <w:shd w:val="clear" w:color="auto" w:fill="FFFFFF"/>
                  <w:noWrap w:val="0"/>
                  <w:vAlign w:val="center"/>
                </w:tcPr>
                <w:p w14:paraId="17F812B3">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120</w:t>
                  </w:r>
                </w:p>
              </w:tc>
              <w:tc>
                <w:tcPr>
                  <w:tcW w:w="527" w:type="pct"/>
                  <w:shd w:val="clear" w:color="auto" w:fill="FFFFFF"/>
                  <w:noWrap w:val="0"/>
                  <w:vAlign w:val="center"/>
                </w:tcPr>
                <w:p w14:paraId="7EB2A3F5">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300</w:t>
                  </w:r>
                </w:p>
              </w:tc>
              <w:tc>
                <w:tcPr>
                  <w:tcW w:w="725" w:type="pct"/>
                  <w:vMerge w:val="continue"/>
                  <w:shd w:val="clear" w:color="auto" w:fill="FFFFFF"/>
                  <w:noWrap w:val="0"/>
                  <w:vAlign w:val="center"/>
                </w:tcPr>
                <w:p w14:paraId="7CDFC3EF">
                  <w:pPr>
                    <w:pStyle w:val="10"/>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bl>
          <w:p w14:paraId="76B67D2B">
            <w:pPr>
              <w:adjustRightInd w:val="0"/>
              <w:snapToGrid w:val="0"/>
              <w:spacing w:line="500" w:lineRule="exact"/>
              <w:ind w:firstLine="482"/>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2、地表水环境</w:t>
            </w:r>
          </w:p>
          <w:p w14:paraId="0B94EF1E">
            <w:pPr>
              <w:pStyle w:val="138"/>
              <w:bidi w:val="0"/>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表</w:t>
            </w:r>
            <w:r>
              <w:rPr>
                <w:rFonts w:hint="default" w:ascii="Times New Roman" w:hAnsi="Times New Roman" w:cs="Times New Roman"/>
                <w:color w:val="auto"/>
                <w:sz w:val="21"/>
                <w:szCs w:val="21"/>
                <w:highlight w:val="none"/>
                <w:lang w:val="en-US" w:eastAsia="zh-CN"/>
              </w:rPr>
              <w:t>3—9</w:t>
            </w:r>
            <w:r>
              <w:rPr>
                <w:rFonts w:hint="default" w:ascii="Times New Roman" w:hAnsi="Times New Roman" w:eastAsia="宋体" w:cs="Times New Roman"/>
                <w:color w:val="auto"/>
                <w:sz w:val="21"/>
                <w:szCs w:val="21"/>
                <w:highlight w:val="none"/>
              </w:rPr>
              <w:t xml:space="preserve"> </w:t>
            </w:r>
            <w:r>
              <w:rPr>
                <w:rFonts w:hint="default" w:ascii="Times New Roman" w:hAnsi="Times New Roman" w:eastAsia="宋体" w:cs="Times New Roman"/>
                <w:color w:val="auto"/>
                <w:sz w:val="21"/>
                <w:szCs w:val="21"/>
                <w:highlight w:val="none"/>
                <w:lang w:val="en-US"/>
              </w:rPr>
              <w:t xml:space="preserve"> 地表水环境质量标准</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35"/>
              <w:gridCol w:w="1426"/>
              <w:gridCol w:w="1925"/>
              <w:gridCol w:w="2371"/>
            </w:tblGrid>
            <w:tr w14:paraId="3FD5E9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76" w:type="dxa"/>
                  <w:tcBorders>
                    <w:tl2br w:val="nil"/>
                    <w:tr2bl w:val="nil"/>
                  </w:tcBorders>
                  <w:noWrap w:val="0"/>
                  <w:vAlign w:val="center"/>
                </w:tcPr>
                <w:p w14:paraId="49E61800">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1702" w:type="dxa"/>
                  <w:tcBorders>
                    <w:tl2br w:val="nil"/>
                    <w:tr2bl w:val="nil"/>
                  </w:tcBorders>
                  <w:noWrap w:val="0"/>
                  <w:vAlign w:val="center"/>
                </w:tcPr>
                <w:p w14:paraId="39A4D3B6">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2411" w:type="dxa"/>
                  <w:tcBorders>
                    <w:tl2br w:val="nil"/>
                    <w:tr2bl w:val="nil"/>
                  </w:tcBorders>
                  <w:noWrap w:val="0"/>
                  <w:vAlign w:val="center"/>
                </w:tcPr>
                <w:p w14:paraId="40F799D4">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Ⅲ类类标准值</w:t>
                  </w:r>
                </w:p>
              </w:tc>
              <w:tc>
                <w:tcPr>
                  <w:tcW w:w="2514" w:type="dxa"/>
                  <w:tcBorders>
                    <w:tl2br w:val="nil"/>
                    <w:tr2bl w:val="nil"/>
                  </w:tcBorders>
                  <w:noWrap w:val="0"/>
                  <w:vAlign w:val="center"/>
                </w:tcPr>
                <w:p w14:paraId="2F41C6CC">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标准来源</w:t>
                  </w:r>
                </w:p>
              </w:tc>
            </w:tr>
            <w:tr w14:paraId="34353C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76" w:type="dxa"/>
                  <w:tcBorders>
                    <w:tl2br w:val="nil"/>
                    <w:tr2bl w:val="nil"/>
                  </w:tcBorders>
                  <w:noWrap w:val="0"/>
                  <w:vAlign w:val="center"/>
                </w:tcPr>
                <w:p w14:paraId="5D9690F4">
                  <w:pPr>
                    <w:pStyle w:val="139"/>
                    <w:bidi w:val="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COD</w:t>
                  </w:r>
                </w:p>
              </w:tc>
              <w:tc>
                <w:tcPr>
                  <w:tcW w:w="1702" w:type="dxa"/>
                  <w:tcBorders>
                    <w:tl2br w:val="nil"/>
                    <w:tr2bl w:val="nil"/>
                  </w:tcBorders>
                  <w:noWrap w:val="0"/>
                  <w:vAlign w:val="center"/>
                </w:tcPr>
                <w:p w14:paraId="1AB7E280">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2411" w:type="dxa"/>
                  <w:tcBorders>
                    <w:tl2br w:val="nil"/>
                    <w:tr2bl w:val="nil"/>
                  </w:tcBorders>
                  <w:noWrap w:val="0"/>
                  <w:vAlign w:val="center"/>
                </w:tcPr>
                <w:p w14:paraId="04FEF628">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20</w:t>
                  </w:r>
                </w:p>
              </w:tc>
              <w:tc>
                <w:tcPr>
                  <w:tcW w:w="2514" w:type="dxa"/>
                  <w:vMerge w:val="restart"/>
                  <w:tcBorders>
                    <w:tl2br w:val="nil"/>
                    <w:tr2bl w:val="nil"/>
                  </w:tcBorders>
                  <w:noWrap w:val="0"/>
                  <w:vAlign w:val="center"/>
                </w:tcPr>
                <w:p w14:paraId="5E1C2D23">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《地表水质量标准》（GB3838</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2008）中Ⅲ类标准</w:t>
                  </w:r>
                </w:p>
              </w:tc>
            </w:tr>
            <w:tr w14:paraId="4CE035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76" w:type="dxa"/>
                  <w:tcBorders>
                    <w:tl2br w:val="nil"/>
                    <w:tr2bl w:val="nil"/>
                  </w:tcBorders>
                  <w:noWrap w:val="0"/>
                  <w:vAlign w:val="center"/>
                </w:tcPr>
                <w:p w14:paraId="09DE2362">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1702" w:type="dxa"/>
                  <w:tcBorders>
                    <w:tl2br w:val="nil"/>
                    <w:tr2bl w:val="nil"/>
                  </w:tcBorders>
                  <w:noWrap w:val="0"/>
                  <w:vAlign w:val="center"/>
                </w:tcPr>
                <w:p w14:paraId="669599AA">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2411" w:type="dxa"/>
                  <w:tcBorders>
                    <w:tl2br w:val="nil"/>
                    <w:tr2bl w:val="nil"/>
                  </w:tcBorders>
                  <w:noWrap w:val="0"/>
                  <w:vAlign w:val="center"/>
                </w:tcPr>
                <w:p w14:paraId="481D6D64">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p>
              </w:tc>
              <w:tc>
                <w:tcPr>
                  <w:tcW w:w="2514" w:type="dxa"/>
                  <w:vMerge w:val="continue"/>
                  <w:tcBorders>
                    <w:tl2br w:val="nil"/>
                    <w:tr2bl w:val="nil"/>
                  </w:tcBorders>
                  <w:noWrap w:val="0"/>
                  <w:vAlign w:val="center"/>
                </w:tcPr>
                <w:p w14:paraId="0F96FE4A">
                  <w:pPr>
                    <w:pStyle w:val="139"/>
                    <w:bidi w:val="0"/>
                    <w:rPr>
                      <w:rFonts w:hint="default" w:ascii="Times New Roman" w:hAnsi="Times New Roman" w:eastAsia="宋体" w:cs="Times New Roman"/>
                      <w:color w:val="auto"/>
                      <w:highlight w:val="none"/>
                    </w:rPr>
                  </w:pPr>
                </w:p>
              </w:tc>
            </w:tr>
            <w:tr w14:paraId="1B403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76" w:type="dxa"/>
                  <w:tcBorders>
                    <w:tl2br w:val="nil"/>
                    <w:tr2bl w:val="nil"/>
                  </w:tcBorders>
                  <w:noWrap w:val="0"/>
                  <w:vAlign w:val="center"/>
                </w:tcPr>
                <w:p w14:paraId="1A0CBAA3">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高锰酸盐指数</w:t>
                  </w:r>
                </w:p>
              </w:tc>
              <w:tc>
                <w:tcPr>
                  <w:tcW w:w="1702" w:type="dxa"/>
                  <w:tcBorders>
                    <w:tl2br w:val="nil"/>
                    <w:tr2bl w:val="nil"/>
                  </w:tcBorders>
                  <w:noWrap w:val="0"/>
                  <w:vAlign w:val="center"/>
                </w:tcPr>
                <w:p w14:paraId="0709B78A">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2411" w:type="dxa"/>
                  <w:tcBorders>
                    <w:tl2br w:val="nil"/>
                    <w:tr2bl w:val="nil"/>
                  </w:tcBorders>
                  <w:noWrap w:val="0"/>
                  <w:vAlign w:val="center"/>
                </w:tcPr>
                <w:p w14:paraId="224EE64B">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6</w:t>
                  </w:r>
                </w:p>
              </w:tc>
              <w:tc>
                <w:tcPr>
                  <w:tcW w:w="2514" w:type="dxa"/>
                  <w:vMerge w:val="continue"/>
                  <w:tcBorders>
                    <w:tl2br w:val="nil"/>
                    <w:tr2bl w:val="nil"/>
                  </w:tcBorders>
                  <w:noWrap w:val="0"/>
                  <w:vAlign w:val="center"/>
                </w:tcPr>
                <w:p w14:paraId="49979C8A">
                  <w:pPr>
                    <w:pStyle w:val="139"/>
                    <w:bidi w:val="0"/>
                    <w:rPr>
                      <w:rFonts w:hint="default" w:ascii="Times New Roman" w:hAnsi="Times New Roman" w:eastAsia="宋体" w:cs="Times New Roman"/>
                      <w:color w:val="auto"/>
                      <w:highlight w:val="none"/>
                    </w:rPr>
                  </w:pPr>
                </w:p>
              </w:tc>
            </w:tr>
            <w:tr w14:paraId="2E4CBE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76" w:type="dxa"/>
                  <w:tcBorders>
                    <w:tl2br w:val="nil"/>
                    <w:tr2bl w:val="nil"/>
                  </w:tcBorders>
                  <w:noWrap w:val="0"/>
                  <w:vAlign w:val="center"/>
                </w:tcPr>
                <w:p w14:paraId="676ECA37">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1702" w:type="dxa"/>
                  <w:tcBorders>
                    <w:tl2br w:val="nil"/>
                    <w:tr2bl w:val="nil"/>
                  </w:tcBorders>
                  <w:noWrap w:val="0"/>
                  <w:vAlign w:val="center"/>
                </w:tcPr>
                <w:p w14:paraId="3E90ACC1">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2411" w:type="dxa"/>
                  <w:tcBorders>
                    <w:tl2br w:val="nil"/>
                    <w:tr2bl w:val="nil"/>
                  </w:tcBorders>
                  <w:noWrap w:val="0"/>
                  <w:vAlign w:val="center"/>
                </w:tcPr>
                <w:p w14:paraId="5522914C">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2514" w:type="dxa"/>
                  <w:vMerge w:val="continue"/>
                  <w:tcBorders>
                    <w:tl2br w:val="nil"/>
                    <w:tr2bl w:val="nil"/>
                  </w:tcBorders>
                  <w:noWrap w:val="0"/>
                  <w:vAlign w:val="center"/>
                </w:tcPr>
                <w:p w14:paraId="31F0C679">
                  <w:pPr>
                    <w:pStyle w:val="139"/>
                    <w:bidi w:val="0"/>
                    <w:rPr>
                      <w:rFonts w:hint="default" w:ascii="Times New Roman" w:hAnsi="Times New Roman" w:eastAsia="宋体" w:cs="Times New Roman"/>
                      <w:color w:val="auto"/>
                      <w:highlight w:val="none"/>
                    </w:rPr>
                  </w:pPr>
                </w:p>
              </w:tc>
            </w:tr>
            <w:tr w14:paraId="64AA0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76" w:type="dxa"/>
                  <w:tcBorders>
                    <w:tl2br w:val="nil"/>
                    <w:tr2bl w:val="nil"/>
                  </w:tcBorders>
                  <w:noWrap w:val="0"/>
                  <w:vAlign w:val="center"/>
                </w:tcPr>
                <w:p w14:paraId="334C421D">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TP</w:t>
                  </w:r>
                </w:p>
              </w:tc>
              <w:tc>
                <w:tcPr>
                  <w:tcW w:w="1702" w:type="dxa"/>
                  <w:tcBorders>
                    <w:tl2br w:val="nil"/>
                    <w:tr2bl w:val="nil"/>
                  </w:tcBorders>
                  <w:noWrap w:val="0"/>
                  <w:vAlign w:val="center"/>
                </w:tcPr>
                <w:p w14:paraId="40C333ED">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2411" w:type="dxa"/>
                  <w:tcBorders>
                    <w:tl2br w:val="nil"/>
                    <w:tr2bl w:val="nil"/>
                  </w:tcBorders>
                  <w:noWrap w:val="0"/>
                  <w:vAlign w:val="center"/>
                </w:tcPr>
                <w:p w14:paraId="24CF6CB9">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≤0.</w:t>
                  </w:r>
                  <w:r>
                    <w:rPr>
                      <w:rFonts w:hint="default" w:ascii="Times New Roman" w:hAnsi="Times New Roman" w:eastAsia="宋体" w:cs="Times New Roman"/>
                      <w:color w:val="auto"/>
                      <w:highlight w:val="none"/>
                      <w:lang w:val="en-US" w:eastAsia="zh-CN"/>
                    </w:rPr>
                    <w:t>2</w:t>
                  </w:r>
                </w:p>
              </w:tc>
              <w:tc>
                <w:tcPr>
                  <w:tcW w:w="2514" w:type="dxa"/>
                  <w:vMerge w:val="continue"/>
                  <w:tcBorders>
                    <w:tl2br w:val="nil"/>
                    <w:tr2bl w:val="nil"/>
                  </w:tcBorders>
                  <w:noWrap w:val="0"/>
                  <w:vAlign w:val="center"/>
                </w:tcPr>
                <w:p w14:paraId="34833B12">
                  <w:pPr>
                    <w:pStyle w:val="139"/>
                    <w:bidi w:val="0"/>
                    <w:rPr>
                      <w:rFonts w:hint="default" w:ascii="Times New Roman" w:hAnsi="Times New Roman" w:eastAsia="宋体" w:cs="Times New Roman"/>
                      <w:color w:val="auto"/>
                      <w:highlight w:val="none"/>
                    </w:rPr>
                  </w:pPr>
                </w:p>
              </w:tc>
            </w:tr>
          </w:tbl>
          <w:p w14:paraId="3DBD91AE">
            <w:pPr>
              <w:pStyle w:val="84"/>
              <w:ind w:firstLine="482"/>
              <w:jc w:val="left"/>
              <w:rPr>
                <w:rFonts w:hint="default" w:ascii="Times New Roman" w:hAnsi="Times New Roman" w:cs="Times New Roman"/>
                <w:b/>
                <w:bCs w:val="0"/>
                <w:color w:val="auto"/>
                <w:kern w:val="2"/>
                <w:sz w:val="24"/>
                <w:szCs w:val="24"/>
                <w:highlight w:val="none"/>
                <w:lang w:val="en-US" w:eastAsia="zh-CN" w:bidi="ar-SA"/>
              </w:rPr>
            </w:pPr>
            <w:r>
              <w:rPr>
                <w:rFonts w:hint="default" w:ascii="Times New Roman" w:hAnsi="Times New Roman" w:cs="Times New Roman"/>
                <w:b/>
                <w:bCs w:val="0"/>
                <w:color w:val="auto"/>
                <w:kern w:val="2"/>
                <w:sz w:val="24"/>
                <w:szCs w:val="24"/>
                <w:highlight w:val="none"/>
                <w:lang w:val="en-US" w:eastAsia="zh-CN" w:bidi="ar-SA"/>
              </w:rPr>
              <w:t>3、声环境执行标准</w:t>
            </w:r>
          </w:p>
          <w:p w14:paraId="2BD2B27F">
            <w:pPr>
              <w:pStyle w:val="84"/>
              <w:ind w:firstLine="482"/>
              <w:jc w:val="left"/>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根据《声环境质量标准》（GB3096</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2008），工程所在区域位于农村区域，为需要保持安静的区域，农村区域声环境功能区为1类。</w:t>
            </w:r>
          </w:p>
          <w:p w14:paraId="3D654C51">
            <w:pPr>
              <w:pStyle w:val="84"/>
              <w:ind w:firstLine="482"/>
              <w:jc w:val="center"/>
              <w:rPr>
                <w:rFonts w:hint="default" w:ascii="Times New Roman" w:hAnsi="Times New Roman" w:cs="Times New Roman"/>
                <w:b/>
                <w:bCs/>
                <w:color w:val="auto"/>
                <w:highlight w:val="none"/>
              </w:rPr>
            </w:pPr>
            <w:r>
              <w:rPr>
                <w:rFonts w:hint="default" w:ascii="Times New Roman" w:hAnsi="Times New Roman" w:cs="Times New Roman"/>
                <w:b/>
                <w:bCs/>
                <w:color w:val="auto"/>
                <w:sz w:val="21"/>
                <w:szCs w:val="21"/>
                <w:highlight w:val="none"/>
              </w:rPr>
              <w:t>表3</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lang w:val="en-US" w:eastAsia="zh-CN"/>
              </w:rPr>
              <w:t xml:space="preserve">8  </w:t>
            </w:r>
            <w:r>
              <w:rPr>
                <w:rFonts w:hint="default" w:ascii="Times New Roman" w:hAnsi="Times New Roman" w:cs="Times New Roman"/>
                <w:b/>
                <w:bCs/>
                <w:color w:val="auto"/>
                <w:sz w:val="21"/>
                <w:szCs w:val="21"/>
                <w:highlight w:val="none"/>
              </w:rPr>
              <w:t>《声环境质量标准》（GB3096</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2008</w:t>
            </w:r>
            <w:r>
              <w:rPr>
                <w:rFonts w:hint="default" w:ascii="Times New Roman" w:hAnsi="Times New Roman" w:cs="Times New Roman"/>
                <w:b/>
                <w:bCs/>
                <w:color w:val="auto"/>
                <w:highlight w:val="none"/>
              </w:rPr>
              <w:t>）</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1794"/>
              <w:gridCol w:w="1915"/>
              <w:gridCol w:w="2151"/>
            </w:tblGrid>
            <w:tr w14:paraId="11F5A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1168" w:type="pct"/>
                  <w:noWrap w:val="0"/>
                  <w:vAlign w:val="center"/>
                </w:tcPr>
                <w:p w14:paraId="527415F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声功能区划类别</w:t>
                  </w:r>
                </w:p>
              </w:tc>
              <w:tc>
                <w:tcPr>
                  <w:tcW w:w="1173" w:type="pct"/>
                  <w:noWrap w:val="0"/>
                  <w:vAlign w:val="center"/>
                </w:tcPr>
                <w:p w14:paraId="2E8E58A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分类</w:t>
                  </w:r>
                </w:p>
              </w:tc>
              <w:tc>
                <w:tcPr>
                  <w:tcW w:w="1252" w:type="pct"/>
                  <w:noWrap w:val="0"/>
                  <w:vAlign w:val="center"/>
                </w:tcPr>
                <w:p w14:paraId="70A2826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w:t>
                  </w:r>
                </w:p>
              </w:tc>
              <w:tc>
                <w:tcPr>
                  <w:tcW w:w="1406" w:type="pct"/>
                  <w:noWrap w:val="0"/>
                  <w:vAlign w:val="center"/>
                </w:tcPr>
                <w:p w14:paraId="7B7ADE7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w:t>
                  </w:r>
                </w:p>
              </w:tc>
            </w:tr>
            <w:tr w14:paraId="696B3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168" w:type="pct"/>
                  <w:noWrap w:val="0"/>
                  <w:vAlign w:val="center"/>
                </w:tcPr>
                <w:p w14:paraId="415A0F2C">
                  <w:pPr>
                    <w:adjustRightInd w:val="0"/>
                    <w:snapToGrid w:val="0"/>
                    <w:ind w:firstLine="48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1类</w:t>
                  </w:r>
                </w:p>
              </w:tc>
              <w:tc>
                <w:tcPr>
                  <w:tcW w:w="1173" w:type="pct"/>
                  <w:noWrap w:val="0"/>
                  <w:vAlign w:val="center"/>
                </w:tcPr>
                <w:p w14:paraId="469580E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1类区</w:t>
                  </w:r>
                </w:p>
              </w:tc>
              <w:tc>
                <w:tcPr>
                  <w:tcW w:w="1252" w:type="pct"/>
                  <w:noWrap w:val="0"/>
                  <w:vAlign w:val="center"/>
                </w:tcPr>
                <w:p w14:paraId="38AFF9E9">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55dB</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A</w:t>
                  </w:r>
                  <w:r>
                    <w:rPr>
                      <w:rFonts w:hint="default" w:ascii="Times New Roman" w:hAnsi="Times New Roman" w:cs="Times New Roman"/>
                      <w:color w:val="auto"/>
                      <w:kern w:val="0"/>
                      <w:szCs w:val="21"/>
                      <w:highlight w:val="none"/>
                      <w:lang w:eastAsia="zh-CN"/>
                    </w:rPr>
                    <w:t>）</w:t>
                  </w:r>
                </w:p>
              </w:tc>
              <w:tc>
                <w:tcPr>
                  <w:tcW w:w="1406" w:type="pct"/>
                  <w:noWrap w:val="0"/>
                  <w:vAlign w:val="center"/>
                </w:tcPr>
                <w:p w14:paraId="458FD8B9">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45dB</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A</w:t>
                  </w:r>
                  <w:r>
                    <w:rPr>
                      <w:rFonts w:hint="default" w:ascii="Times New Roman" w:hAnsi="Times New Roman" w:cs="Times New Roman"/>
                      <w:color w:val="auto"/>
                      <w:kern w:val="0"/>
                      <w:szCs w:val="21"/>
                      <w:highlight w:val="none"/>
                      <w:lang w:eastAsia="zh-CN"/>
                    </w:rPr>
                    <w:t>）</w:t>
                  </w:r>
                </w:p>
              </w:tc>
            </w:tr>
          </w:tbl>
          <w:p w14:paraId="71028FCF">
            <w:pPr>
              <w:adjustRightInd w:val="0"/>
              <w:snapToGrid w:val="0"/>
              <w:spacing w:line="500" w:lineRule="exact"/>
              <w:ind w:firstLine="482"/>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val="en-US" w:eastAsia="zh-CN"/>
              </w:rPr>
              <w:t>二、</w:t>
            </w:r>
            <w:r>
              <w:rPr>
                <w:rFonts w:hint="default" w:ascii="Times New Roman" w:hAnsi="Times New Roman" w:cs="Times New Roman"/>
                <w:b/>
                <w:bCs/>
                <w:color w:val="auto"/>
                <w:kern w:val="0"/>
                <w:sz w:val="24"/>
                <w:highlight w:val="none"/>
              </w:rPr>
              <w:t>污染物排放标准</w:t>
            </w:r>
          </w:p>
          <w:p w14:paraId="1DB30C53">
            <w:pPr>
              <w:adjustRightInd w:val="0"/>
              <w:snapToGrid w:val="0"/>
              <w:spacing w:line="500" w:lineRule="exact"/>
              <w:ind w:firstLine="482" w:firstLineChars="200"/>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1、大气污染物排放标准</w:t>
            </w:r>
          </w:p>
          <w:p w14:paraId="2363B433">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施工大气污染物排放执行《大气污染物综合排放标准》（GB16297</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1996）无组织排放监控限值。</w:t>
            </w:r>
          </w:p>
          <w:p w14:paraId="1D65DF1D">
            <w:pPr>
              <w:adjustRightInd w:val="0"/>
              <w:snapToGrid w:val="0"/>
              <w:spacing w:line="500" w:lineRule="exact"/>
              <w:ind w:firstLine="422" w:firstLineChars="200"/>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lang w:val="en-US" w:eastAsia="zh-CN"/>
              </w:rPr>
              <w:t xml:space="preserve">9  </w:t>
            </w:r>
            <w:r>
              <w:rPr>
                <w:rFonts w:hint="default" w:ascii="Times New Roman" w:hAnsi="Times New Roman" w:cs="Times New Roman"/>
                <w:b/>
                <w:color w:val="auto"/>
                <w:kern w:val="0"/>
                <w:sz w:val="21"/>
                <w:szCs w:val="21"/>
                <w:highlight w:val="none"/>
              </w:rPr>
              <w:t>《大气污染物综合排放标准》（GB16297</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rPr>
              <w:t>1996）</w:t>
            </w:r>
          </w:p>
          <w:tbl>
            <w:tblPr>
              <w:tblStyle w:val="25"/>
              <w:tblpPr w:leftFromText="180" w:rightFromText="180" w:vertAnchor="text" w:horzAnchor="page" w:tblpXSpec="center" w:tblpY="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8"/>
              <w:gridCol w:w="3259"/>
              <w:gridCol w:w="2610"/>
            </w:tblGrid>
            <w:tr w14:paraId="5501F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1168" w:type="pct"/>
                  <w:tcBorders>
                    <w:top w:val="single" w:color="auto" w:sz="4" w:space="0"/>
                    <w:left w:val="single" w:color="auto" w:sz="0" w:space="0"/>
                  </w:tcBorders>
                  <w:noWrap w:val="0"/>
                  <w:vAlign w:val="top"/>
                </w:tcPr>
                <w:p w14:paraId="418ADF30">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2128" w:type="pct"/>
                  <w:tcBorders>
                    <w:top w:val="single" w:color="auto" w:sz="4" w:space="0"/>
                  </w:tcBorders>
                  <w:noWrap w:val="0"/>
                  <w:vAlign w:val="top"/>
                </w:tcPr>
                <w:p w14:paraId="045FD0E3">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无组织排放监控点</w:t>
                  </w:r>
                </w:p>
              </w:tc>
              <w:tc>
                <w:tcPr>
                  <w:tcW w:w="1704" w:type="pct"/>
                  <w:tcBorders>
                    <w:top w:val="single" w:color="auto" w:sz="4" w:space="0"/>
                    <w:right w:val="single" w:color="auto" w:sz="4" w:space="0"/>
                  </w:tcBorders>
                  <w:noWrap w:val="0"/>
                  <w:vAlign w:val="top"/>
                </w:tcPr>
                <w:p w14:paraId="14D4B36F">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w:t>
                  </w:r>
                </w:p>
              </w:tc>
            </w:tr>
            <w:tr w14:paraId="0576C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168" w:type="pct"/>
                  <w:tcBorders>
                    <w:left w:val="single" w:color="auto" w:sz="4" w:space="0"/>
                    <w:bottom w:val="single" w:color="auto" w:sz="4" w:space="0"/>
                  </w:tcBorders>
                  <w:noWrap w:val="0"/>
                  <w:vAlign w:val="top"/>
                </w:tcPr>
                <w:p w14:paraId="39B491A6">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颗粒物</w:t>
                  </w:r>
                </w:p>
              </w:tc>
              <w:tc>
                <w:tcPr>
                  <w:tcW w:w="2128" w:type="pct"/>
                  <w:tcBorders>
                    <w:bottom w:val="single" w:color="auto" w:sz="4" w:space="0"/>
                  </w:tcBorders>
                  <w:noWrap w:val="0"/>
                  <w:vAlign w:val="top"/>
                </w:tcPr>
                <w:p w14:paraId="731BB3A6">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周界外浓度最高点</w:t>
                  </w:r>
                </w:p>
              </w:tc>
              <w:tc>
                <w:tcPr>
                  <w:tcW w:w="1704" w:type="pct"/>
                  <w:tcBorders>
                    <w:bottom w:val="single" w:color="auto" w:sz="4" w:space="0"/>
                    <w:right w:val="single" w:color="auto" w:sz="4" w:space="0"/>
                  </w:tcBorders>
                  <w:noWrap w:val="0"/>
                  <w:vAlign w:val="top"/>
                </w:tcPr>
                <w:p w14:paraId="33ADCCBA">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g/</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rPr>
                    <w:t>3</w:t>
                  </w:r>
                </w:p>
              </w:tc>
            </w:tr>
          </w:tbl>
          <w:p w14:paraId="3D65ACF0">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柴油发电机废气执行《非道路柴油移动机械排气烟度限值及测量方法》（GB36886</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2018）。</w:t>
            </w:r>
          </w:p>
          <w:p w14:paraId="0CF080E9">
            <w:pPr>
              <w:pStyle w:val="84"/>
              <w:ind w:firstLine="482"/>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表3</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1</w:t>
            </w:r>
            <w:r>
              <w:rPr>
                <w:rFonts w:hint="default" w:ascii="Times New Roman" w:hAnsi="Times New Roman" w:cs="Times New Roman"/>
                <w:b/>
                <w:bCs/>
                <w:color w:val="auto"/>
                <w:sz w:val="21"/>
                <w:szCs w:val="21"/>
                <w:highlight w:val="none"/>
                <w:lang w:val="en-US" w:eastAsia="zh-CN"/>
              </w:rPr>
              <w:t xml:space="preserve">0  </w:t>
            </w:r>
            <w:r>
              <w:rPr>
                <w:rFonts w:hint="default" w:ascii="Times New Roman" w:hAnsi="Times New Roman" w:cs="Times New Roman"/>
                <w:b/>
                <w:bCs/>
                <w:color w:val="auto"/>
                <w:sz w:val="21"/>
                <w:szCs w:val="21"/>
                <w:highlight w:val="none"/>
              </w:rPr>
              <w:t>《非道路移动柴油机械排气烟度限值及测量方法》</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0"/>
              <w:gridCol w:w="1913"/>
              <w:gridCol w:w="1912"/>
              <w:gridCol w:w="1912"/>
            </w:tblGrid>
            <w:tr w14:paraId="5AFC8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noWrap w:val="0"/>
                  <w:vAlign w:val="center"/>
                </w:tcPr>
                <w:p w14:paraId="2804B822">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1251" w:type="pct"/>
                  <w:noWrap w:val="0"/>
                  <w:vAlign w:val="center"/>
                </w:tcPr>
                <w:p w14:paraId="31D27DCD">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额定净功率（</w:t>
                  </w: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rPr>
                    <w:t>）/kW</w:t>
                  </w:r>
                </w:p>
              </w:tc>
              <w:tc>
                <w:tcPr>
                  <w:tcW w:w="1250" w:type="pct"/>
                  <w:noWrap w:val="0"/>
                  <w:vAlign w:val="center"/>
                </w:tcPr>
                <w:p w14:paraId="25ED258D">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光吸收系数/</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lang w:eastAsia="zh-CN"/>
                    </w:rPr>
                    <w:t>—</w:t>
                  </w:r>
                  <w:r>
                    <w:rPr>
                      <w:rFonts w:hint="default" w:ascii="Times New Roman" w:hAnsi="Times New Roman" w:cs="Times New Roman"/>
                      <w:color w:val="auto"/>
                      <w:highlight w:val="none"/>
                      <w:vertAlign w:val="superscript"/>
                    </w:rPr>
                    <w:t>1</w:t>
                  </w:r>
                </w:p>
              </w:tc>
              <w:tc>
                <w:tcPr>
                  <w:tcW w:w="1250" w:type="pct"/>
                  <w:noWrap w:val="0"/>
                  <w:vAlign w:val="center"/>
                </w:tcPr>
                <w:p w14:paraId="3ED0931B">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林格曼黑度级数</w:t>
                  </w:r>
                </w:p>
              </w:tc>
            </w:tr>
            <w:tr w14:paraId="05609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restart"/>
                  <w:noWrap w:val="0"/>
                  <w:vAlign w:val="center"/>
                </w:tcPr>
                <w:p w14:paraId="7C0664D9">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w:t>
                  </w:r>
                </w:p>
              </w:tc>
              <w:tc>
                <w:tcPr>
                  <w:tcW w:w="1251" w:type="pct"/>
                  <w:noWrap w:val="0"/>
                  <w:vAlign w:val="center"/>
                </w:tcPr>
                <w:p w14:paraId="13FF833D">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19</w:t>
                  </w:r>
                </w:p>
              </w:tc>
              <w:tc>
                <w:tcPr>
                  <w:tcW w:w="1250" w:type="pct"/>
                  <w:noWrap w:val="0"/>
                  <w:vAlign w:val="center"/>
                </w:tcPr>
                <w:p w14:paraId="64B94A46">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1250" w:type="pct"/>
                  <w:vMerge w:val="restart"/>
                  <w:noWrap w:val="0"/>
                  <w:vAlign w:val="center"/>
                </w:tcPr>
                <w:p w14:paraId="799211B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14:paraId="11209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48E50499">
                  <w:pPr>
                    <w:pStyle w:val="87"/>
                    <w:rPr>
                      <w:rFonts w:hint="default" w:ascii="Times New Roman" w:hAnsi="Times New Roman" w:cs="Times New Roman"/>
                      <w:color w:val="auto"/>
                      <w:highlight w:val="none"/>
                    </w:rPr>
                  </w:pPr>
                </w:p>
              </w:tc>
              <w:tc>
                <w:tcPr>
                  <w:tcW w:w="1251" w:type="pct"/>
                  <w:noWrap w:val="0"/>
                  <w:vAlign w:val="center"/>
                </w:tcPr>
                <w:p w14:paraId="4B55DEB9">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17</w:t>
                  </w:r>
                </w:p>
              </w:tc>
              <w:tc>
                <w:tcPr>
                  <w:tcW w:w="1250" w:type="pct"/>
                  <w:noWrap w:val="0"/>
                  <w:vAlign w:val="center"/>
                </w:tcPr>
                <w:p w14:paraId="5A8A518D">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1250" w:type="pct"/>
                  <w:vMerge w:val="continue"/>
                  <w:noWrap w:val="0"/>
                  <w:vAlign w:val="center"/>
                </w:tcPr>
                <w:p w14:paraId="4456E891">
                  <w:pPr>
                    <w:pStyle w:val="87"/>
                    <w:rPr>
                      <w:rFonts w:hint="default" w:ascii="Times New Roman" w:hAnsi="Times New Roman" w:cs="Times New Roman"/>
                      <w:color w:val="auto"/>
                      <w:highlight w:val="none"/>
                    </w:rPr>
                  </w:pPr>
                </w:p>
              </w:tc>
            </w:tr>
            <w:tr w14:paraId="4892A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3C23F707">
                  <w:pPr>
                    <w:pStyle w:val="87"/>
                    <w:rPr>
                      <w:rFonts w:hint="default" w:ascii="Times New Roman" w:hAnsi="Times New Roman" w:cs="Times New Roman"/>
                      <w:color w:val="auto"/>
                      <w:highlight w:val="none"/>
                    </w:rPr>
                  </w:pPr>
                </w:p>
              </w:tc>
              <w:tc>
                <w:tcPr>
                  <w:tcW w:w="1251" w:type="pct"/>
                  <w:noWrap w:val="0"/>
                  <w:vAlign w:val="center"/>
                </w:tcPr>
                <w:p w14:paraId="09BDF956">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37≤</w:t>
                  </w: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560</w:t>
                  </w:r>
                </w:p>
              </w:tc>
              <w:tc>
                <w:tcPr>
                  <w:tcW w:w="1250" w:type="pct"/>
                  <w:noWrap w:val="0"/>
                  <w:vAlign w:val="center"/>
                </w:tcPr>
                <w:p w14:paraId="5DF9FBF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1.61</w:t>
                  </w:r>
                </w:p>
              </w:tc>
              <w:tc>
                <w:tcPr>
                  <w:tcW w:w="1250" w:type="pct"/>
                  <w:vMerge w:val="continue"/>
                  <w:noWrap w:val="0"/>
                  <w:vAlign w:val="center"/>
                </w:tcPr>
                <w:p w14:paraId="7871E0DC">
                  <w:pPr>
                    <w:pStyle w:val="87"/>
                    <w:rPr>
                      <w:rFonts w:hint="default" w:ascii="Times New Roman" w:hAnsi="Times New Roman" w:cs="Times New Roman"/>
                      <w:color w:val="auto"/>
                      <w:highlight w:val="none"/>
                    </w:rPr>
                  </w:pPr>
                </w:p>
              </w:tc>
            </w:tr>
            <w:tr w14:paraId="1F825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restart"/>
                  <w:noWrap w:val="0"/>
                  <w:vAlign w:val="center"/>
                </w:tcPr>
                <w:p w14:paraId="0398409F">
                  <w:pPr>
                    <w:pStyle w:val="87"/>
                    <w:rPr>
                      <w:rFonts w:hint="default" w:ascii="Times New Roman" w:hAnsi="Times New Roman" w:cs="Times New Roman"/>
                      <w:color w:val="auto"/>
                      <w:highlight w:val="none"/>
                    </w:rPr>
                  </w:pPr>
                  <w:r>
                    <w:rPr>
                      <w:rFonts w:hint="default" w:ascii="Times New Roman" w:hAnsi="Times New Roman" w:eastAsia="微软雅黑" w:cs="Times New Roman"/>
                      <w:color w:val="auto"/>
                      <w:highlight w:val="none"/>
                    </w:rPr>
                    <w:t>Ⅱ</w:t>
                  </w:r>
                  <w:r>
                    <w:rPr>
                      <w:rFonts w:hint="default" w:ascii="Times New Roman" w:hAnsi="Times New Roman" w:cs="Times New Roman"/>
                      <w:color w:val="auto"/>
                      <w:highlight w:val="none"/>
                    </w:rPr>
                    <w:t>类</w:t>
                  </w:r>
                </w:p>
              </w:tc>
              <w:tc>
                <w:tcPr>
                  <w:tcW w:w="1251" w:type="pct"/>
                  <w:noWrap w:val="0"/>
                  <w:vAlign w:val="center"/>
                </w:tcPr>
                <w:p w14:paraId="344FE0B2">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19</w:t>
                  </w:r>
                </w:p>
              </w:tc>
              <w:tc>
                <w:tcPr>
                  <w:tcW w:w="1250" w:type="pct"/>
                  <w:noWrap w:val="0"/>
                  <w:vAlign w:val="center"/>
                </w:tcPr>
                <w:p w14:paraId="3FDE21EE">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1250" w:type="pct"/>
                  <w:noWrap w:val="0"/>
                  <w:vAlign w:val="center"/>
                </w:tcPr>
                <w:p w14:paraId="2394B1A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14:paraId="217A0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48C18F4F">
                  <w:pPr>
                    <w:pStyle w:val="87"/>
                    <w:rPr>
                      <w:rFonts w:hint="default" w:ascii="Times New Roman" w:hAnsi="Times New Roman" w:cs="Times New Roman"/>
                      <w:color w:val="auto"/>
                      <w:highlight w:val="none"/>
                    </w:rPr>
                  </w:pPr>
                </w:p>
              </w:tc>
              <w:tc>
                <w:tcPr>
                  <w:tcW w:w="1251" w:type="pct"/>
                  <w:noWrap w:val="0"/>
                  <w:vAlign w:val="center"/>
                </w:tcPr>
                <w:p w14:paraId="6FCB991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37</w:t>
                  </w:r>
                </w:p>
              </w:tc>
              <w:tc>
                <w:tcPr>
                  <w:tcW w:w="1250" w:type="pct"/>
                  <w:noWrap w:val="0"/>
                  <w:vAlign w:val="center"/>
                </w:tcPr>
                <w:p w14:paraId="47F9045D">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1250" w:type="pct"/>
                  <w:vMerge w:val="restart"/>
                  <w:noWrap w:val="0"/>
                  <w:vAlign w:val="center"/>
                </w:tcPr>
                <w:p w14:paraId="5113067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14:paraId="51B51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0D86E3EA">
                  <w:pPr>
                    <w:pStyle w:val="87"/>
                    <w:rPr>
                      <w:rFonts w:hint="default" w:ascii="Times New Roman" w:hAnsi="Times New Roman" w:cs="Times New Roman"/>
                      <w:color w:val="auto"/>
                      <w:highlight w:val="none"/>
                    </w:rPr>
                  </w:pPr>
                </w:p>
              </w:tc>
              <w:tc>
                <w:tcPr>
                  <w:tcW w:w="1251" w:type="pct"/>
                  <w:noWrap w:val="0"/>
                  <w:vAlign w:val="center"/>
                </w:tcPr>
                <w:p w14:paraId="4649E095">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rPr>
                    <w:t>≥37</w:t>
                  </w:r>
                </w:p>
              </w:tc>
              <w:tc>
                <w:tcPr>
                  <w:tcW w:w="1250" w:type="pct"/>
                  <w:noWrap w:val="0"/>
                  <w:vAlign w:val="center"/>
                </w:tcPr>
                <w:p w14:paraId="38A6A8CF">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0.80</w:t>
                  </w:r>
                </w:p>
              </w:tc>
              <w:tc>
                <w:tcPr>
                  <w:tcW w:w="1250" w:type="pct"/>
                  <w:vMerge w:val="continue"/>
                  <w:noWrap w:val="0"/>
                  <w:vAlign w:val="center"/>
                </w:tcPr>
                <w:p w14:paraId="5DB8382B">
                  <w:pPr>
                    <w:pStyle w:val="87"/>
                    <w:rPr>
                      <w:rFonts w:hint="default" w:ascii="Times New Roman" w:hAnsi="Times New Roman" w:cs="Times New Roman"/>
                      <w:color w:val="auto"/>
                      <w:highlight w:val="none"/>
                    </w:rPr>
                  </w:pPr>
                </w:p>
              </w:tc>
            </w:tr>
            <w:tr w14:paraId="6CE23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restart"/>
                  <w:noWrap w:val="0"/>
                  <w:vAlign w:val="center"/>
                </w:tcPr>
                <w:p w14:paraId="1BBCCC65">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w:t>
                  </w:r>
                </w:p>
              </w:tc>
              <w:tc>
                <w:tcPr>
                  <w:tcW w:w="1251" w:type="pct"/>
                  <w:noWrap w:val="0"/>
                  <w:vAlign w:val="center"/>
                </w:tcPr>
                <w:p w14:paraId="75E64893">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rPr>
                    <w:t>≥37</w:t>
                  </w:r>
                </w:p>
              </w:tc>
              <w:tc>
                <w:tcPr>
                  <w:tcW w:w="1250" w:type="pct"/>
                  <w:noWrap w:val="0"/>
                  <w:vAlign w:val="center"/>
                </w:tcPr>
                <w:p w14:paraId="18DDE201">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0.50</w:t>
                  </w:r>
                </w:p>
              </w:tc>
              <w:tc>
                <w:tcPr>
                  <w:tcW w:w="1250" w:type="pct"/>
                  <w:vMerge w:val="restart"/>
                  <w:noWrap w:val="0"/>
                  <w:vAlign w:val="center"/>
                </w:tcPr>
                <w:p w14:paraId="3536C898">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14:paraId="26786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7CA0A0CE">
                  <w:pPr>
                    <w:pStyle w:val="87"/>
                    <w:rPr>
                      <w:rFonts w:hint="default" w:ascii="Times New Roman" w:hAnsi="Times New Roman" w:cs="Times New Roman"/>
                      <w:color w:val="auto"/>
                      <w:highlight w:val="none"/>
                    </w:rPr>
                  </w:pPr>
                </w:p>
              </w:tc>
              <w:tc>
                <w:tcPr>
                  <w:tcW w:w="1251" w:type="pct"/>
                  <w:noWrap w:val="0"/>
                  <w:vAlign w:val="center"/>
                </w:tcPr>
                <w:p w14:paraId="0B42926B">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37</w:t>
                  </w:r>
                </w:p>
              </w:tc>
              <w:tc>
                <w:tcPr>
                  <w:tcW w:w="1250" w:type="pct"/>
                  <w:noWrap w:val="0"/>
                  <w:vAlign w:val="center"/>
                </w:tcPr>
                <w:p w14:paraId="4520B26E">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0.80</w:t>
                  </w:r>
                </w:p>
              </w:tc>
              <w:tc>
                <w:tcPr>
                  <w:tcW w:w="1250" w:type="pct"/>
                  <w:vMerge w:val="continue"/>
                  <w:noWrap w:val="0"/>
                  <w:vAlign w:val="center"/>
                </w:tcPr>
                <w:p w14:paraId="424D079B">
                  <w:pPr>
                    <w:pStyle w:val="87"/>
                    <w:rPr>
                      <w:rFonts w:hint="default" w:ascii="Times New Roman" w:hAnsi="Times New Roman" w:cs="Times New Roman"/>
                      <w:color w:val="auto"/>
                      <w:highlight w:val="none"/>
                    </w:rPr>
                  </w:pPr>
                </w:p>
              </w:tc>
            </w:tr>
          </w:tbl>
          <w:p w14:paraId="6C1A7C5E">
            <w:pPr>
              <w:adjustRightInd w:val="0"/>
              <w:snapToGrid w:val="0"/>
              <w:spacing w:line="500" w:lineRule="exact"/>
              <w:ind w:firstLine="482" w:firstLineChars="200"/>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2、噪声排放标准</w:t>
            </w:r>
          </w:p>
          <w:p w14:paraId="0C80CC37">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施工期噪声执行</w:t>
            </w:r>
            <w:r>
              <w:rPr>
                <w:rFonts w:hint="default" w:ascii="Times New Roman" w:hAnsi="Times New Roman" w:cs="Times New Roman"/>
                <w:color w:val="auto"/>
                <w:kern w:val="0"/>
                <w:sz w:val="24"/>
                <w:highlight w:val="none"/>
                <w:lang w:eastAsia="zh-CN"/>
              </w:rPr>
              <w:t>《建筑施工噪声排放标准》（GB12523—2025）</w:t>
            </w:r>
            <w:r>
              <w:rPr>
                <w:rFonts w:hint="default" w:ascii="Times New Roman" w:hAnsi="Times New Roman" w:cs="Times New Roman"/>
                <w:color w:val="auto"/>
                <w:kern w:val="0"/>
                <w:sz w:val="24"/>
                <w:highlight w:val="none"/>
              </w:rPr>
              <w:t>。</w:t>
            </w:r>
          </w:p>
          <w:p w14:paraId="357CC9D1">
            <w:pPr>
              <w:adjustRightInd w:val="0"/>
              <w:snapToGrid w:val="0"/>
              <w:spacing w:line="500" w:lineRule="exact"/>
              <w:ind w:firstLine="422" w:firstLineChars="200"/>
              <w:jc w:val="center"/>
              <w:rPr>
                <w:rFonts w:hint="default" w:ascii="Times New Roman" w:hAnsi="Times New Roman" w:eastAsia="宋体" w:cs="Times New Roman"/>
                <w:b/>
                <w:color w:val="auto"/>
                <w:kern w:val="0"/>
                <w:sz w:val="21"/>
                <w:szCs w:val="21"/>
                <w:highlight w:val="none"/>
                <w:lang w:eastAsia="zh-CN"/>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rPr>
              <w:t>1</w:t>
            </w:r>
            <w:r>
              <w:rPr>
                <w:rFonts w:hint="default" w:ascii="Times New Roman" w:hAnsi="Times New Roman" w:cs="Times New Roman"/>
                <w:b/>
                <w:color w:val="auto"/>
                <w:kern w:val="0"/>
                <w:sz w:val="21"/>
                <w:szCs w:val="21"/>
                <w:highlight w:val="none"/>
                <w:lang w:val="en-US" w:eastAsia="zh-CN"/>
              </w:rPr>
              <w:t xml:space="preserve">1  </w:t>
            </w:r>
            <w:r>
              <w:rPr>
                <w:rFonts w:hint="default" w:ascii="Times New Roman" w:hAnsi="Times New Roman" w:cs="Times New Roman"/>
                <w:b/>
                <w:color w:val="auto"/>
                <w:kern w:val="0"/>
                <w:sz w:val="21"/>
                <w:szCs w:val="21"/>
                <w:highlight w:val="none"/>
                <w:lang w:eastAsia="zh-CN"/>
              </w:rPr>
              <w:t>《建筑施工噪声排放标准》（GB12523—2025）</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66"/>
              <w:gridCol w:w="3781"/>
            </w:tblGrid>
            <w:tr w14:paraId="76E8E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528" w:type="pct"/>
                  <w:noWrap w:val="0"/>
                  <w:vAlign w:val="top"/>
                </w:tcPr>
                <w:p w14:paraId="01472704">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2472" w:type="pct"/>
                  <w:noWrap w:val="0"/>
                  <w:vAlign w:val="top"/>
                </w:tcPr>
                <w:p w14:paraId="231340E9">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0491D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528" w:type="pct"/>
                  <w:noWrap w:val="0"/>
                  <w:vAlign w:val="top"/>
                </w:tcPr>
                <w:p w14:paraId="7F97064D">
                  <w:pPr>
                    <w:pStyle w:val="57"/>
                    <w:adjustRightInd w:val="0"/>
                    <w:snapToGrid w:val="0"/>
                    <w:spacing w:line="400" w:lineRule="exact"/>
                    <w:jc w:val="center"/>
                    <w:rPr>
                      <w:rFonts w:hint="default" w:ascii="Times New Roman" w:hAnsi="Times New Roman" w:cs="Times New Roman"/>
                      <w:b/>
                      <w:color w:val="auto"/>
                      <w:highlight w:val="none"/>
                    </w:rPr>
                  </w:pPr>
                  <w:r>
                    <w:rPr>
                      <w:rFonts w:hint="default" w:ascii="Times New Roman" w:hAnsi="Times New Roman" w:cs="Times New Roman"/>
                      <w:color w:val="auto"/>
                      <w:highlight w:val="none"/>
                    </w:rPr>
                    <w:t>70</w:t>
                  </w:r>
                  <w:r>
                    <w:rPr>
                      <w:rFonts w:hint="default" w:ascii="Times New Roman" w:hAnsi="Times New Roman" w:cs="Times New Roman"/>
                      <w:bCs/>
                      <w:color w:val="auto"/>
                      <w:highlight w:val="none"/>
                    </w:rPr>
                    <w:t>dB（A）</w:t>
                  </w:r>
                </w:p>
              </w:tc>
              <w:tc>
                <w:tcPr>
                  <w:tcW w:w="2472" w:type="pct"/>
                  <w:noWrap w:val="0"/>
                  <w:vAlign w:val="top"/>
                </w:tcPr>
                <w:p w14:paraId="10D0E06E">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r>
                    <w:rPr>
                      <w:rFonts w:hint="default" w:ascii="Times New Roman" w:hAnsi="Times New Roman" w:cs="Times New Roman"/>
                      <w:bCs/>
                      <w:color w:val="auto"/>
                      <w:highlight w:val="none"/>
                    </w:rPr>
                    <w:t>dB（A）</w:t>
                  </w:r>
                </w:p>
              </w:tc>
            </w:tr>
          </w:tbl>
          <w:p w14:paraId="073ADFE0">
            <w:pPr>
              <w:adjustRightInd w:val="0"/>
              <w:snapToGrid w:val="0"/>
              <w:spacing w:line="500" w:lineRule="exact"/>
              <w:ind w:firstLine="482" w:firstLineChars="200"/>
              <w:rPr>
                <w:rFonts w:hint="default" w:ascii="Times New Roman" w:hAnsi="Times New Roman" w:eastAsia="宋体" w:cs="Times New Roman"/>
                <w:b/>
                <w:bCs/>
                <w:color w:val="auto"/>
                <w:kern w:val="0"/>
                <w:sz w:val="24"/>
                <w:highlight w:val="none"/>
                <w:lang w:val="en-US" w:eastAsia="zh-CN"/>
              </w:rPr>
            </w:pPr>
            <w:bookmarkStart w:id="46" w:name="_Toc3119"/>
            <w:r>
              <w:rPr>
                <w:rFonts w:hint="default" w:ascii="Times New Roman" w:hAnsi="Times New Roman" w:cs="Times New Roman"/>
                <w:b/>
                <w:bCs/>
                <w:color w:val="auto"/>
                <w:kern w:val="0"/>
                <w:sz w:val="24"/>
                <w:highlight w:val="none"/>
                <w:lang w:val="en-US" w:eastAsia="zh-CN"/>
              </w:rPr>
              <w:t>3、固体废物执行标准</w:t>
            </w:r>
          </w:p>
          <w:p w14:paraId="47404A8E">
            <w:pPr>
              <w:pStyle w:val="84"/>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一般工业固体废弃物执行《一般工业固体废物贮存和填埋污染控制标准》（GB18599</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2020</w:t>
            </w:r>
            <w:bookmarkEnd w:id="46"/>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固体废物分类与代码目录</w:t>
            </w:r>
            <w:r>
              <w:rPr>
                <w:rFonts w:hint="default" w:ascii="Times New Roman" w:hAnsi="Times New Roman" w:cs="Times New Roman"/>
                <w:color w:val="auto"/>
                <w:highlight w:val="none"/>
                <w:lang w:eastAsia="zh-CN"/>
              </w:rPr>
              <w:t>》。</w:t>
            </w:r>
          </w:p>
        </w:tc>
      </w:tr>
      <w:tr w14:paraId="00C6E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381" w:type="pct"/>
            <w:noWrap w:val="0"/>
            <w:vAlign w:val="center"/>
          </w:tcPr>
          <w:p w14:paraId="701AE322">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其他</w:t>
            </w:r>
          </w:p>
        </w:tc>
        <w:tc>
          <w:tcPr>
            <w:tcW w:w="4619" w:type="pct"/>
            <w:noWrap w:val="0"/>
            <w:vAlign w:val="top"/>
          </w:tcPr>
          <w:p w14:paraId="075306EE">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p w14:paraId="1AD5BB5F">
            <w:pPr>
              <w:pStyle w:val="34"/>
              <w:rPr>
                <w:rFonts w:hint="default" w:ascii="Times New Roman" w:hAnsi="Times New Roman" w:cs="Times New Roman"/>
                <w:color w:val="auto"/>
                <w:kern w:val="0"/>
                <w:sz w:val="24"/>
                <w:highlight w:val="none"/>
              </w:rPr>
            </w:pPr>
          </w:p>
          <w:p w14:paraId="0C72ADC9">
            <w:pPr>
              <w:pStyle w:val="34"/>
              <w:rPr>
                <w:rFonts w:hint="default" w:ascii="Times New Roman" w:hAnsi="Times New Roman" w:cs="Times New Roman"/>
                <w:color w:val="auto"/>
                <w:kern w:val="0"/>
                <w:sz w:val="24"/>
                <w:highlight w:val="none"/>
              </w:rPr>
            </w:pPr>
          </w:p>
          <w:p w14:paraId="71EB5B2A">
            <w:pPr>
              <w:pStyle w:val="34"/>
              <w:rPr>
                <w:rFonts w:hint="default" w:ascii="Times New Roman" w:hAnsi="Times New Roman" w:cs="Times New Roman"/>
                <w:color w:val="auto"/>
                <w:kern w:val="0"/>
                <w:sz w:val="24"/>
                <w:highlight w:val="none"/>
              </w:rPr>
            </w:pPr>
          </w:p>
          <w:p w14:paraId="31146A07">
            <w:pPr>
              <w:pStyle w:val="34"/>
              <w:rPr>
                <w:rFonts w:hint="default" w:ascii="Times New Roman" w:hAnsi="Times New Roman" w:cs="Times New Roman"/>
                <w:color w:val="auto"/>
                <w:kern w:val="0"/>
                <w:sz w:val="24"/>
                <w:highlight w:val="none"/>
              </w:rPr>
            </w:pPr>
          </w:p>
          <w:p w14:paraId="45063DB5">
            <w:pPr>
              <w:pStyle w:val="34"/>
              <w:rPr>
                <w:rFonts w:hint="default" w:ascii="Times New Roman" w:hAnsi="Times New Roman" w:cs="Times New Roman"/>
                <w:color w:val="auto"/>
                <w:kern w:val="0"/>
                <w:sz w:val="24"/>
                <w:highlight w:val="none"/>
              </w:rPr>
            </w:pPr>
          </w:p>
          <w:p w14:paraId="4C6A1338">
            <w:pPr>
              <w:pStyle w:val="34"/>
              <w:rPr>
                <w:rFonts w:hint="default" w:ascii="Times New Roman" w:hAnsi="Times New Roman" w:cs="Times New Roman"/>
                <w:color w:val="auto"/>
                <w:kern w:val="0"/>
                <w:sz w:val="24"/>
                <w:highlight w:val="none"/>
              </w:rPr>
            </w:pPr>
          </w:p>
          <w:p w14:paraId="4FD16464">
            <w:pPr>
              <w:pStyle w:val="34"/>
              <w:rPr>
                <w:rFonts w:hint="default" w:ascii="Times New Roman" w:hAnsi="Times New Roman" w:cs="Times New Roman"/>
                <w:color w:val="auto"/>
                <w:kern w:val="0"/>
                <w:sz w:val="24"/>
                <w:highlight w:val="none"/>
              </w:rPr>
            </w:pPr>
          </w:p>
          <w:p w14:paraId="2998F0B1">
            <w:pPr>
              <w:pStyle w:val="34"/>
              <w:rPr>
                <w:rFonts w:hint="default" w:ascii="Times New Roman" w:hAnsi="Times New Roman" w:cs="Times New Roman"/>
                <w:color w:val="auto"/>
                <w:kern w:val="0"/>
                <w:sz w:val="24"/>
                <w:highlight w:val="none"/>
              </w:rPr>
            </w:pPr>
          </w:p>
          <w:p w14:paraId="5C9C24A8">
            <w:pPr>
              <w:pStyle w:val="34"/>
              <w:rPr>
                <w:rFonts w:hint="default" w:ascii="Times New Roman" w:hAnsi="Times New Roman" w:cs="Times New Roman"/>
                <w:color w:val="auto"/>
                <w:kern w:val="0"/>
                <w:sz w:val="24"/>
                <w:highlight w:val="none"/>
              </w:rPr>
            </w:pPr>
          </w:p>
          <w:p w14:paraId="1100FB9F">
            <w:pPr>
              <w:pStyle w:val="34"/>
              <w:rPr>
                <w:rFonts w:hint="default" w:ascii="Times New Roman" w:hAnsi="Times New Roman" w:cs="Times New Roman"/>
                <w:color w:val="auto"/>
                <w:kern w:val="0"/>
                <w:sz w:val="24"/>
                <w:highlight w:val="none"/>
              </w:rPr>
            </w:pPr>
          </w:p>
          <w:p w14:paraId="3231506F">
            <w:pPr>
              <w:pStyle w:val="34"/>
              <w:rPr>
                <w:rFonts w:hint="default" w:ascii="Times New Roman" w:hAnsi="Times New Roman" w:cs="Times New Roman"/>
                <w:color w:val="auto"/>
                <w:kern w:val="0"/>
                <w:sz w:val="24"/>
                <w:highlight w:val="none"/>
              </w:rPr>
            </w:pPr>
          </w:p>
          <w:p w14:paraId="445A2F2E">
            <w:pPr>
              <w:pStyle w:val="34"/>
              <w:rPr>
                <w:rFonts w:hint="default" w:ascii="Times New Roman" w:hAnsi="Times New Roman" w:cs="Times New Roman"/>
                <w:color w:val="auto"/>
                <w:kern w:val="0"/>
                <w:sz w:val="24"/>
                <w:highlight w:val="none"/>
              </w:rPr>
            </w:pPr>
          </w:p>
          <w:p w14:paraId="2ABB7D18">
            <w:pPr>
              <w:pStyle w:val="34"/>
              <w:rPr>
                <w:rFonts w:hint="default" w:ascii="Times New Roman" w:hAnsi="Times New Roman" w:cs="Times New Roman"/>
                <w:color w:val="auto"/>
                <w:kern w:val="0"/>
                <w:sz w:val="24"/>
                <w:highlight w:val="none"/>
              </w:rPr>
            </w:pPr>
          </w:p>
          <w:p w14:paraId="771A20B8">
            <w:pPr>
              <w:pStyle w:val="34"/>
              <w:rPr>
                <w:rFonts w:hint="default" w:ascii="Times New Roman" w:hAnsi="Times New Roman" w:cs="Times New Roman"/>
                <w:color w:val="auto"/>
                <w:kern w:val="0"/>
                <w:sz w:val="24"/>
                <w:highlight w:val="none"/>
              </w:rPr>
            </w:pPr>
          </w:p>
          <w:p w14:paraId="023CDCC2">
            <w:pPr>
              <w:pStyle w:val="34"/>
              <w:rPr>
                <w:rFonts w:hint="default" w:ascii="Times New Roman" w:hAnsi="Times New Roman" w:cs="Times New Roman"/>
                <w:color w:val="auto"/>
                <w:kern w:val="0"/>
                <w:sz w:val="24"/>
                <w:highlight w:val="none"/>
              </w:rPr>
            </w:pPr>
          </w:p>
          <w:p w14:paraId="407139CB">
            <w:pPr>
              <w:pStyle w:val="34"/>
              <w:rPr>
                <w:rFonts w:hint="default" w:ascii="Times New Roman" w:hAnsi="Times New Roman" w:cs="Times New Roman"/>
                <w:color w:val="auto"/>
                <w:kern w:val="0"/>
                <w:sz w:val="24"/>
                <w:highlight w:val="none"/>
              </w:rPr>
            </w:pPr>
          </w:p>
          <w:p w14:paraId="783715B0">
            <w:pPr>
              <w:pStyle w:val="34"/>
              <w:rPr>
                <w:rFonts w:hint="default" w:ascii="Times New Roman" w:hAnsi="Times New Roman" w:cs="Times New Roman"/>
                <w:color w:val="auto"/>
                <w:kern w:val="0"/>
                <w:sz w:val="24"/>
                <w:highlight w:val="none"/>
              </w:rPr>
            </w:pPr>
          </w:p>
          <w:p w14:paraId="28E187D0">
            <w:pPr>
              <w:pStyle w:val="34"/>
              <w:rPr>
                <w:rFonts w:hint="default" w:ascii="Times New Roman" w:hAnsi="Times New Roman" w:cs="Times New Roman"/>
                <w:color w:val="auto"/>
                <w:kern w:val="0"/>
                <w:sz w:val="24"/>
                <w:highlight w:val="none"/>
              </w:rPr>
            </w:pPr>
          </w:p>
          <w:p w14:paraId="4C848651">
            <w:pPr>
              <w:pStyle w:val="34"/>
              <w:rPr>
                <w:rFonts w:hint="default" w:ascii="Times New Roman" w:hAnsi="Times New Roman" w:cs="Times New Roman"/>
                <w:color w:val="auto"/>
                <w:kern w:val="0"/>
                <w:sz w:val="24"/>
                <w:highlight w:val="none"/>
              </w:rPr>
            </w:pPr>
          </w:p>
          <w:p w14:paraId="5D019A54">
            <w:pPr>
              <w:pStyle w:val="34"/>
              <w:rPr>
                <w:rFonts w:hint="default" w:ascii="Times New Roman" w:hAnsi="Times New Roman" w:cs="Times New Roman"/>
                <w:color w:val="auto"/>
                <w:kern w:val="0"/>
                <w:sz w:val="24"/>
                <w:highlight w:val="none"/>
              </w:rPr>
            </w:pPr>
          </w:p>
          <w:p w14:paraId="3D45C6CE">
            <w:pPr>
              <w:pStyle w:val="34"/>
              <w:rPr>
                <w:rFonts w:hint="default" w:ascii="Times New Roman" w:hAnsi="Times New Roman" w:cs="Times New Roman"/>
                <w:color w:val="auto"/>
                <w:kern w:val="0"/>
                <w:sz w:val="24"/>
                <w:highlight w:val="none"/>
              </w:rPr>
            </w:pPr>
          </w:p>
          <w:p w14:paraId="73F44FB4">
            <w:pPr>
              <w:pStyle w:val="34"/>
              <w:rPr>
                <w:rFonts w:hint="default" w:ascii="Times New Roman" w:hAnsi="Times New Roman" w:cs="Times New Roman"/>
                <w:color w:val="auto"/>
                <w:kern w:val="0"/>
                <w:sz w:val="24"/>
                <w:highlight w:val="none"/>
              </w:rPr>
            </w:pPr>
          </w:p>
          <w:p w14:paraId="1B7F56AF">
            <w:pPr>
              <w:pStyle w:val="34"/>
              <w:rPr>
                <w:rFonts w:hint="default" w:ascii="Times New Roman" w:hAnsi="Times New Roman" w:cs="Times New Roman"/>
                <w:color w:val="auto"/>
                <w:kern w:val="0"/>
                <w:sz w:val="24"/>
                <w:highlight w:val="none"/>
              </w:rPr>
            </w:pPr>
          </w:p>
          <w:p w14:paraId="7A83134D">
            <w:pPr>
              <w:pStyle w:val="34"/>
              <w:rPr>
                <w:rFonts w:hint="default" w:ascii="Times New Roman" w:hAnsi="Times New Roman" w:cs="Times New Roman"/>
                <w:color w:val="auto"/>
                <w:kern w:val="0"/>
                <w:sz w:val="24"/>
                <w:highlight w:val="none"/>
              </w:rPr>
            </w:pPr>
          </w:p>
          <w:p w14:paraId="0B9BD857">
            <w:pPr>
              <w:pStyle w:val="34"/>
              <w:rPr>
                <w:rFonts w:hint="default" w:ascii="Times New Roman" w:hAnsi="Times New Roman" w:cs="Times New Roman"/>
                <w:color w:val="auto"/>
                <w:kern w:val="0"/>
                <w:sz w:val="24"/>
                <w:highlight w:val="none"/>
              </w:rPr>
            </w:pPr>
          </w:p>
          <w:p w14:paraId="0670B1F8">
            <w:pPr>
              <w:pStyle w:val="34"/>
              <w:rPr>
                <w:rFonts w:hint="default" w:ascii="Times New Roman" w:hAnsi="Times New Roman" w:cs="Times New Roman"/>
                <w:color w:val="auto"/>
                <w:kern w:val="0"/>
                <w:sz w:val="24"/>
                <w:highlight w:val="none"/>
              </w:rPr>
            </w:pPr>
          </w:p>
          <w:p w14:paraId="42145CE0">
            <w:pPr>
              <w:pStyle w:val="34"/>
              <w:rPr>
                <w:rFonts w:hint="default" w:ascii="Times New Roman" w:hAnsi="Times New Roman" w:cs="Times New Roman"/>
                <w:color w:val="auto"/>
                <w:kern w:val="0"/>
                <w:sz w:val="24"/>
                <w:highlight w:val="none"/>
              </w:rPr>
            </w:pPr>
          </w:p>
          <w:p w14:paraId="12F7893D">
            <w:pPr>
              <w:pStyle w:val="34"/>
              <w:rPr>
                <w:rFonts w:hint="default" w:ascii="Times New Roman" w:hAnsi="Times New Roman" w:cs="Times New Roman"/>
                <w:color w:val="auto"/>
                <w:kern w:val="0"/>
                <w:sz w:val="24"/>
                <w:highlight w:val="none"/>
              </w:rPr>
            </w:pPr>
          </w:p>
          <w:p w14:paraId="26775E5D">
            <w:pPr>
              <w:pStyle w:val="34"/>
              <w:rPr>
                <w:rFonts w:hint="default" w:ascii="Times New Roman" w:hAnsi="Times New Roman" w:cs="Times New Roman"/>
                <w:color w:val="auto"/>
                <w:kern w:val="0"/>
                <w:sz w:val="24"/>
                <w:highlight w:val="none"/>
              </w:rPr>
            </w:pPr>
          </w:p>
          <w:p w14:paraId="67AEAECA">
            <w:pPr>
              <w:pStyle w:val="34"/>
              <w:rPr>
                <w:rFonts w:hint="default" w:ascii="Times New Roman" w:hAnsi="Times New Roman" w:cs="Times New Roman"/>
                <w:color w:val="auto"/>
                <w:kern w:val="0"/>
                <w:sz w:val="24"/>
                <w:highlight w:val="none"/>
              </w:rPr>
            </w:pPr>
          </w:p>
          <w:p w14:paraId="13453487">
            <w:pPr>
              <w:pStyle w:val="34"/>
              <w:rPr>
                <w:rFonts w:hint="default" w:ascii="Times New Roman" w:hAnsi="Times New Roman" w:cs="Times New Roman"/>
                <w:color w:val="auto"/>
                <w:kern w:val="0"/>
                <w:sz w:val="24"/>
                <w:highlight w:val="none"/>
              </w:rPr>
            </w:pPr>
          </w:p>
          <w:p w14:paraId="23E163D2">
            <w:pPr>
              <w:pStyle w:val="34"/>
              <w:rPr>
                <w:rFonts w:hint="default" w:ascii="Times New Roman" w:hAnsi="Times New Roman" w:cs="Times New Roman"/>
                <w:color w:val="auto"/>
                <w:kern w:val="0"/>
                <w:sz w:val="24"/>
                <w:highlight w:val="none"/>
              </w:rPr>
            </w:pPr>
          </w:p>
          <w:p w14:paraId="1C578BC7">
            <w:pPr>
              <w:pStyle w:val="34"/>
              <w:rPr>
                <w:rFonts w:hint="default" w:ascii="Times New Roman" w:hAnsi="Times New Roman" w:cs="Times New Roman"/>
                <w:color w:val="auto"/>
                <w:kern w:val="0"/>
                <w:sz w:val="24"/>
                <w:highlight w:val="none"/>
              </w:rPr>
            </w:pPr>
          </w:p>
          <w:p w14:paraId="3A1E5796">
            <w:pPr>
              <w:pStyle w:val="34"/>
              <w:rPr>
                <w:rFonts w:hint="default" w:ascii="Times New Roman" w:hAnsi="Times New Roman" w:cs="Times New Roman"/>
                <w:color w:val="auto"/>
                <w:kern w:val="0"/>
                <w:sz w:val="24"/>
                <w:highlight w:val="none"/>
              </w:rPr>
            </w:pPr>
          </w:p>
          <w:p w14:paraId="3ED957B2">
            <w:pPr>
              <w:pStyle w:val="34"/>
              <w:rPr>
                <w:rFonts w:hint="default" w:ascii="Times New Roman" w:hAnsi="Times New Roman" w:cs="Times New Roman"/>
                <w:color w:val="auto"/>
                <w:kern w:val="0"/>
                <w:sz w:val="24"/>
                <w:highlight w:val="none"/>
              </w:rPr>
            </w:pPr>
          </w:p>
          <w:p w14:paraId="7246AF02">
            <w:pPr>
              <w:pStyle w:val="34"/>
              <w:rPr>
                <w:rFonts w:hint="default" w:ascii="Times New Roman" w:hAnsi="Times New Roman" w:cs="Times New Roman"/>
                <w:color w:val="auto"/>
                <w:kern w:val="0"/>
                <w:sz w:val="24"/>
                <w:highlight w:val="none"/>
              </w:rPr>
            </w:pPr>
          </w:p>
        </w:tc>
      </w:tr>
    </w:tbl>
    <w:p w14:paraId="43BA1E78">
      <w:pPr>
        <w:pStyle w:val="2"/>
        <w:bidi w:val="0"/>
        <w:jc w:val="center"/>
        <w:rPr>
          <w:rFonts w:hint="default" w:ascii="Times New Roman" w:hAnsi="Times New Roman" w:cs="Times New Roman"/>
          <w:b/>
          <w:snapToGrid w:val="0"/>
          <w:color w:val="auto"/>
          <w:szCs w:val="30"/>
          <w:highlight w:val="none"/>
        </w:rPr>
      </w:pPr>
      <w:r>
        <w:rPr>
          <w:rFonts w:hint="default" w:ascii="Times New Roman" w:hAnsi="Times New Roman" w:cs="Times New Roman"/>
          <w:snapToGrid w:val="0"/>
          <w:color w:val="auto"/>
          <w:kern w:val="2"/>
          <w:szCs w:val="36"/>
          <w:highlight w:val="none"/>
        </w:rPr>
        <w:br w:type="page"/>
      </w:r>
      <w:bookmarkStart w:id="47" w:name="_Toc8938"/>
      <w:bookmarkStart w:id="48" w:name="_Toc32128"/>
      <w:r>
        <w:rPr>
          <w:rFonts w:hint="default" w:ascii="Times New Roman" w:hAnsi="Times New Roman" w:eastAsia="宋体" w:cs="Times New Roman"/>
          <w:highlight w:val="none"/>
        </w:rPr>
        <w:t>四、生态环境影响分析</w:t>
      </w:r>
      <w:bookmarkEnd w:id="47"/>
      <w:bookmarkEnd w:id="48"/>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7638"/>
      </w:tblGrid>
      <w:tr w14:paraId="1DF8E1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701" w:hRule="atLeast"/>
          <w:jc w:val="center"/>
        </w:trPr>
        <w:tc>
          <w:tcPr>
            <w:tcW w:w="476" w:type="pct"/>
            <w:tcBorders>
              <w:top w:val="single" w:color="auto" w:sz="8" w:space="0"/>
              <w:left w:val="single" w:color="auto" w:sz="8" w:space="0"/>
              <w:bottom w:val="single" w:color="auto" w:sz="4" w:space="0"/>
              <w:right w:val="single" w:color="auto" w:sz="4" w:space="0"/>
            </w:tcBorders>
            <w:noWrap w:val="0"/>
            <w:tcMar>
              <w:top w:w="0" w:type="dxa"/>
              <w:left w:w="28" w:type="dxa"/>
              <w:bottom w:w="0" w:type="dxa"/>
              <w:right w:w="28" w:type="dxa"/>
            </w:tcMar>
            <w:vAlign w:val="center"/>
          </w:tcPr>
          <w:p w14:paraId="75C6E6B3">
            <w:pPr>
              <w:widowControl/>
              <w:adjustRightInd w:val="0"/>
              <w:snapToGrid w:val="0"/>
              <w:jc w:val="center"/>
              <w:rPr>
                <w:rFonts w:hint="default" w:ascii="Times New Roman" w:hAnsi="Times New Roman" w:cs="Times New Roman"/>
                <w:bCs/>
                <w:color w:val="auto"/>
                <w:sz w:val="24"/>
                <w:highlight w:val="none"/>
              </w:rPr>
            </w:pPr>
            <w:bookmarkStart w:id="49" w:name="_Hlk49796138"/>
            <w:r>
              <w:rPr>
                <w:rFonts w:hint="default" w:ascii="Times New Roman" w:hAnsi="Times New Roman" w:cs="Times New Roman"/>
                <w:bCs/>
                <w:color w:val="auto"/>
                <w:spacing w:val="10"/>
                <w:sz w:val="24"/>
                <w:highlight w:val="none"/>
              </w:rPr>
              <w:t>施工期生态环境影响分析</w:t>
            </w:r>
            <w:bookmarkEnd w:id="49"/>
          </w:p>
        </w:tc>
        <w:tc>
          <w:tcPr>
            <w:tcW w:w="4524" w:type="pct"/>
            <w:tcBorders>
              <w:top w:val="single" w:color="auto" w:sz="8" w:space="0"/>
              <w:left w:val="single" w:color="auto" w:sz="4" w:space="0"/>
              <w:bottom w:val="single" w:color="auto" w:sz="4" w:space="0"/>
              <w:right w:val="single" w:color="auto" w:sz="8" w:space="0"/>
            </w:tcBorders>
            <w:noWrap w:val="0"/>
            <w:vAlign w:val="top"/>
          </w:tcPr>
          <w:p w14:paraId="43AF2D10">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一、生态影响分析</w:t>
            </w:r>
          </w:p>
          <w:p w14:paraId="520F225D">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1、</w:t>
            </w:r>
            <w:r>
              <w:rPr>
                <w:rFonts w:hint="default" w:ascii="Times New Roman" w:hAnsi="Times New Roman" w:cs="Times New Roman"/>
                <w:b/>
                <w:bCs w:val="0"/>
                <w:color w:val="auto"/>
                <w:sz w:val="24"/>
                <w:highlight w:val="none"/>
              </w:rPr>
              <w:t>工程占地的影响</w:t>
            </w:r>
          </w:p>
          <w:p w14:paraId="2431C5CD">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新增永久征收土地面积为875.63亩，其中耕地290.85亩（其中旱地147.09亩，水田143.75亩）、林地172.36亩（其中乔木林地70.45亩，灌木林地71.66亩，其他林地30.25亩）、草地44.74亩（其中沼泽草地16.91亩，其他草地27.83亩）、住宅用地0.47亩（其中农村宅基地0.47亩）、交通运输用地15.68亩（农村道路15.68亩）、水域及水利设施用地319.15亩（其中河流水面54.76亩，坑塘水面205.60亩，养殖坑塘0.97亩，内陆滩涂6.01亩，沟渠51.80亩）、其他土地32.39亩（设施农用地32.39亩）。本工程不涉及占用永久基本农田。</w:t>
            </w:r>
          </w:p>
          <w:p w14:paraId="4A7C2DFC">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临时占地面积983.55亩，其中临时占用耕地263.55亩，水利及水域设施用地720亩。不占用基本农田。临时占地包括生产生活区、取土场、弃土场、临时道路等，占地性质为耕地、林地、草地等。</w:t>
            </w:r>
          </w:p>
          <w:p w14:paraId="1A26B432">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Cs/>
                <w:color w:val="auto"/>
                <w:sz w:val="24"/>
                <w:highlight w:val="none"/>
                <w:lang w:val="en-US" w:eastAsia="zh-CN"/>
              </w:rPr>
              <w:t>本工程根据施工进度合理安排施工时间，根据《水利水电施工组织设计规范》（SL303</w:t>
            </w:r>
            <w:r>
              <w:rPr>
                <w:rFonts w:hint="default" w:ascii="Times New Roman" w:hAnsi="Times New Roman"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2017）和《水利水电枢纽工程项目建设工期定额》中的有关规定，并参照黑龙江省同规模施工情况，结合本工程实际，确定本工程施工工期为23个月。因本工程分段多且分散，不</w:t>
            </w:r>
            <w:r>
              <w:rPr>
                <w:rFonts w:hint="default" w:ascii="Times New Roman" w:hAnsi="Times New Roman" w:cs="Times New Roman"/>
                <w:bCs/>
                <w:color w:val="auto"/>
                <w:sz w:val="24"/>
                <w:highlight w:val="none"/>
                <w:lang w:val="en-US" w:eastAsia="zh-CN"/>
              </w:rPr>
              <w:t>宜</w:t>
            </w:r>
            <w:r>
              <w:rPr>
                <w:rFonts w:hint="default" w:ascii="Times New Roman" w:hAnsi="Times New Roman" w:eastAsia="宋体" w:cs="Times New Roman"/>
                <w:bCs/>
                <w:color w:val="auto"/>
                <w:sz w:val="24"/>
                <w:highlight w:val="none"/>
                <w:lang w:val="en-US" w:eastAsia="zh-CN"/>
              </w:rPr>
              <w:t>大规模集中施工，因此确定各堤段独立施工。</w:t>
            </w:r>
          </w:p>
          <w:p w14:paraId="003DF426">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从工程</w:t>
            </w:r>
            <w:r>
              <w:rPr>
                <w:rFonts w:hint="default" w:ascii="Times New Roman" w:hAnsi="Times New Roman" w:cs="Times New Roman"/>
                <w:color w:val="auto"/>
                <w:sz w:val="24"/>
                <w:highlight w:val="none"/>
              </w:rPr>
              <w:t>施工特点来看，</w:t>
            </w:r>
            <w:r>
              <w:rPr>
                <w:rFonts w:hint="default" w:ascii="Times New Roman" w:hAnsi="Times New Roman" w:cs="Times New Roman"/>
                <w:color w:val="auto"/>
                <w:sz w:val="24"/>
                <w:highlight w:val="none"/>
                <w:lang w:eastAsia="zh-CN"/>
              </w:rPr>
              <w:t>工程临时占地</w:t>
            </w:r>
            <w:r>
              <w:rPr>
                <w:rFonts w:hint="default" w:ascii="Times New Roman" w:hAnsi="Times New Roman" w:cs="Times New Roman"/>
                <w:color w:val="auto"/>
                <w:sz w:val="24"/>
                <w:highlight w:val="none"/>
                <w:lang w:val="zh-CN"/>
              </w:rPr>
              <w:t>一般仅在施工阶段会造成沿线土地利用功能的暂时改变，施工占地区域需要把原来的地表植被全部清除，将导致生物量损失，大部分用地在施工结束后、短期内（1～2年）能恢复原有的土地利用功能，</w:t>
            </w:r>
            <w:r>
              <w:rPr>
                <w:rFonts w:hint="default" w:ascii="Times New Roman" w:hAnsi="Times New Roman" w:cs="Times New Roman"/>
                <w:color w:val="auto"/>
                <w:sz w:val="24"/>
                <w:highlight w:val="none"/>
                <w:lang w:val="en-US" w:eastAsia="zh-CN"/>
              </w:rPr>
              <w:t>且</w:t>
            </w:r>
            <w:r>
              <w:rPr>
                <w:rFonts w:hint="default" w:ascii="Times New Roman" w:hAnsi="Times New Roman" w:cs="Times New Roman"/>
                <w:color w:val="auto"/>
                <w:sz w:val="24"/>
                <w:highlight w:val="none"/>
                <w:lang w:val="zh-CN"/>
              </w:rPr>
              <w:t>由于项目所在区域植被主要为人工栽培植被，引起的生物量减少的主要植物种类为人工种植作物，且项目建设前后区域植被类型变化不大，项目建设减少的生物量损失可进行恢复，对区域自然植被的影响小，对区域生态影响不明显。</w:t>
            </w:r>
          </w:p>
          <w:p w14:paraId="4B27B2AE">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bCs/>
                <w:color w:val="auto"/>
                <w:sz w:val="24"/>
                <w:highlight w:val="none"/>
                <w:lang w:val="en-US" w:eastAsia="zh-CN"/>
              </w:rPr>
              <w:t>本工程</w:t>
            </w:r>
            <w:r>
              <w:rPr>
                <w:rFonts w:hint="default" w:ascii="Times New Roman" w:hAnsi="Times New Roman" w:cs="Times New Roman"/>
                <w:color w:val="auto"/>
                <w:sz w:val="24"/>
                <w:highlight w:val="none"/>
              </w:rPr>
              <w:t>施工时间较短，施工完毕后，</w:t>
            </w:r>
            <w:r>
              <w:rPr>
                <w:rFonts w:hint="default" w:ascii="Times New Roman" w:hAnsi="Times New Roman" w:cs="Times New Roman"/>
                <w:color w:val="auto"/>
                <w:sz w:val="24"/>
                <w:highlight w:val="none"/>
                <w:lang w:eastAsia="zh-CN"/>
              </w:rPr>
              <w:t>各地块</w:t>
            </w:r>
            <w:r>
              <w:rPr>
                <w:rFonts w:hint="default" w:ascii="Times New Roman" w:hAnsi="Times New Roman" w:cs="Times New Roman"/>
                <w:color w:val="auto"/>
                <w:sz w:val="24"/>
                <w:highlight w:val="none"/>
              </w:rPr>
              <w:t>土地利用大部分可恢复原利用状态。</w:t>
            </w:r>
          </w:p>
          <w:p w14:paraId="5B9CE5A2">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lang w:val="zh-CN"/>
              </w:rPr>
              <w:t>所以，在施工期间应同时根据地方</w:t>
            </w:r>
            <w:r>
              <w:rPr>
                <w:rFonts w:hint="default" w:ascii="Times New Roman" w:hAnsi="Times New Roman" w:cs="Times New Roman"/>
                <w:color w:val="auto"/>
                <w:sz w:val="24"/>
                <w:highlight w:val="none"/>
                <w:lang w:val="en-US" w:eastAsia="zh-CN"/>
              </w:rPr>
              <w:t>性</w:t>
            </w:r>
            <w:r>
              <w:rPr>
                <w:rFonts w:hint="default" w:ascii="Times New Roman" w:hAnsi="Times New Roman" w:cs="Times New Roman"/>
                <w:color w:val="auto"/>
                <w:sz w:val="24"/>
                <w:highlight w:val="none"/>
                <w:lang w:val="zh-CN"/>
              </w:rPr>
              <w:t>法规选择合理的地点进行异地补偿等生态措施，随着上述生态补偿或生态恢复措施的实施，这一影响将逐渐减小</w:t>
            </w:r>
            <w:r>
              <w:rPr>
                <w:rFonts w:hint="default" w:ascii="Times New Roman" w:hAnsi="Times New Roman" w:cs="Times New Roman"/>
                <w:color w:val="auto"/>
                <w:sz w:val="24"/>
                <w:highlight w:val="none"/>
              </w:rPr>
              <w:t>直至最终</w:t>
            </w:r>
            <w:r>
              <w:rPr>
                <w:rFonts w:hint="default" w:ascii="Times New Roman" w:hAnsi="Times New Roman" w:cs="Times New Roman"/>
                <w:color w:val="auto"/>
                <w:sz w:val="24"/>
                <w:highlight w:val="none"/>
                <w:lang w:val="zh-CN"/>
              </w:rPr>
              <w:t>消失。</w:t>
            </w:r>
          </w:p>
          <w:p w14:paraId="4FDDF192">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2、</w:t>
            </w:r>
            <w:r>
              <w:rPr>
                <w:rFonts w:hint="default" w:ascii="Times New Roman" w:hAnsi="Times New Roman" w:cs="Times New Roman"/>
                <w:b/>
                <w:bCs w:val="0"/>
                <w:color w:val="auto"/>
                <w:sz w:val="24"/>
                <w:highlight w:val="none"/>
              </w:rPr>
              <w:t>对陆生生态的影响</w:t>
            </w:r>
          </w:p>
          <w:p w14:paraId="70F79B4E">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工程占地将减少植被的生物量，对工程所在区域自然生态系统产生不利影响。参考《生态环境状况评价技术规范》（HJ192</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2015）、黑龙江省区域植被生物量实测数据及同类项目研究成果，确定各用地类型生物量基准值</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旱地平均生物量0.45吨/亩</w:t>
            </w:r>
            <w:r>
              <w:rPr>
                <w:rFonts w:hint="default" w:ascii="Times New Roman" w:hAnsi="Times New Roman" w:cs="Times New Roman"/>
                <w:bCs/>
                <w:color w:val="auto"/>
                <w:sz w:val="24"/>
                <w:highlight w:val="none"/>
                <w:lang w:val="en-US" w:eastAsia="zh-CN"/>
              </w:rPr>
              <w:t>，乔木林地平均生物量为8.5吨/亩，</w:t>
            </w:r>
            <w:r>
              <w:rPr>
                <w:rFonts w:hint="default" w:ascii="Times New Roman" w:hAnsi="Times New Roman" w:cs="Times New Roman"/>
                <w:bCs/>
                <w:color w:val="auto"/>
                <w:sz w:val="24"/>
                <w:highlight w:val="none"/>
              </w:rPr>
              <w:t>其他草地平均生物量0.32吨/亩</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则施工期生物量损失为1729吨</w:t>
            </w:r>
            <w:r>
              <w:rPr>
                <w:rFonts w:hint="default" w:ascii="Times New Roman" w:hAnsi="Times New Roman" w:cs="Times New Roman"/>
                <w:bCs/>
                <w:color w:val="auto"/>
                <w:sz w:val="24"/>
                <w:highlight w:val="none"/>
              </w:rPr>
              <w:t>。但本工程占用的各类土地占所在区域各类土地面积的比例较小，其影响只是在工程周边一定范围内，对于工程占地以外区域不产生影响。根据调查，项目周边的植被均为常见和广泛分布的种类，无国家保护种和地方特有种，经济价值和科学价值不大，且项目占用的</w:t>
            </w:r>
            <w:r>
              <w:rPr>
                <w:rFonts w:hint="default" w:ascii="Times New Roman" w:hAnsi="Times New Roman" w:cs="Times New Roman"/>
                <w:bCs/>
                <w:color w:val="auto"/>
                <w:sz w:val="24"/>
                <w:highlight w:val="none"/>
                <w:lang w:val="en-US" w:eastAsia="zh-CN"/>
              </w:rPr>
              <w:t>大部分</w:t>
            </w:r>
            <w:r>
              <w:rPr>
                <w:rFonts w:hint="default" w:ascii="Times New Roman" w:hAnsi="Times New Roman" w:cs="Times New Roman"/>
                <w:bCs/>
                <w:color w:val="auto"/>
                <w:sz w:val="24"/>
                <w:highlight w:val="none"/>
              </w:rPr>
              <w:t>为耕地，</w:t>
            </w:r>
            <w:r>
              <w:rPr>
                <w:rFonts w:hint="default" w:ascii="Times New Roman" w:hAnsi="Times New Roman" w:cs="Times New Roman"/>
                <w:bCs/>
                <w:color w:val="auto"/>
                <w:sz w:val="24"/>
                <w:highlight w:val="none"/>
                <w:lang w:val="en-US" w:eastAsia="zh-CN"/>
              </w:rPr>
              <w:t>仅小部分为其他草地和林地，</w:t>
            </w:r>
            <w:r>
              <w:rPr>
                <w:rFonts w:hint="default" w:ascii="Times New Roman" w:hAnsi="Times New Roman" w:cs="Times New Roman"/>
                <w:bCs/>
                <w:color w:val="auto"/>
                <w:sz w:val="24"/>
                <w:highlight w:val="none"/>
              </w:rPr>
              <w:t>因此，项目的实施不会导致项目区植物物种和种群方面的植物体系的灭绝和消亡，不会影响区域生态系统的完整性。工程临时占地待工程施工完毕后，将恢复原地类，破坏地表植被和影响土地类型是暂时的。施工结束后，通过土地复垦</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撒播种草、恢复林地</w:t>
            </w:r>
            <w:r>
              <w:rPr>
                <w:rFonts w:hint="default" w:ascii="Times New Roman" w:hAnsi="Times New Roman" w:cs="Times New Roman"/>
                <w:bCs/>
                <w:color w:val="auto"/>
                <w:sz w:val="24"/>
                <w:highlight w:val="none"/>
              </w:rPr>
              <w:t>等措施恢复耕地</w:t>
            </w:r>
            <w:r>
              <w:rPr>
                <w:rFonts w:hint="default" w:ascii="Times New Roman" w:hAnsi="Times New Roman" w:cs="Times New Roman"/>
                <w:bCs/>
                <w:color w:val="auto"/>
                <w:sz w:val="24"/>
                <w:highlight w:val="none"/>
                <w:lang w:val="en-US" w:eastAsia="zh-CN"/>
              </w:rPr>
              <w:t>和植被</w:t>
            </w:r>
            <w:r>
              <w:rPr>
                <w:rFonts w:hint="default" w:ascii="Times New Roman" w:hAnsi="Times New Roman" w:cs="Times New Roman"/>
                <w:bCs/>
                <w:color w:val="auto"/>
                <w:sz w:val="24"/>
                <w:highlight w:val="none"/>
              </w:rPr>
              <w:t>，可</w:t>
            </w:r>
            <w:r>
              <w:rPr>
                <w:rFonts w:hint="default" w:ascii="Times New Roman" w:hAnsi="Times New Roman" w:cs="Times New Roman"/>
                <w:bCs/>
                <w:color w:val="auto"/>
                <w:sz w:val="24"/>
                <w:highlight w:val="none"/>
                <w:lang w:eastAsia="zh-CN"/>
              </w:rPr>
              <w:t>将</w:t>
            </w:r>
            <w:r>
              <w:rPr>
                <w:rFonts w:hint="default" w:ascii="Times New Roman" w:hAnsi="Times New Roman" w:cs="Times New Roman"/>
                <w:bCs/>
                <w:color w:val="auto"/>
                <w:sz w:val="24"/>
                <w:highlight w:val="none"/>
              </w:rPr>
              <w:t>其影响降到最小。</w:t>
            </w:r>
          </w:p>
          <w:p w14:paraId="1273667B">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eastAsia="宋体" w:cs="Times New Roman"/>
                <w:bCs/>
                <w:color w:val="auto"/>
                <w:sz w:val="24"/>
                <w:highlight w:val="none"/>
              </w:rPr>
              <w:t>工程施工活动将破坏施工区及其周边现有野生动物的生存环境，使施工区附近的陆生野生动物栖息地以及活动范围缩小</w:t>
            </w:r>
            <w:r>
              <w:rPr>
                <w:rFonts w:hint="default" w:ascii="Times New Roman" w:hAnsi="Times New Roman" w:eastAsia="宋体" w:cs="Times New Roman"/>
                <w:bCs/>
                <w:color w:val="auto"/>
                <w:sz w:val="24"/>
                <w:highlight w:val="none"/>
                <w:lang w:eastAsia="zh-CN"/>
              </w:rPr>
              <w:t>，压缩了陆栖动物的栖息生境</w:t>
            </w:r>
            <w:r>
              <w:rPr>
                <w:rFonts w:hint="default" w:ascii="Times New Roman" w:hAnsi="Times New Roman" w:eastAsia="宋体" w:cs="Times New Roman"/>
                <w:bCs/>
                <w:color w:val="auto"/>
                <w:sz w:val="24"/>
                <w:highlight w:val="none"/>
              </w:rPr>
              <w:t>；工程沿岸人类活动频繁、隐蔽条件差，常见的动物多为小型啮齿类，由于施工机械、运输车辆噪声及施工现场生境的改变，动物会远离施工现场，对动物生存和数量产生不利影响</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主体工程</w:t>
            </w:r>
            <w:r>
              <w:rPr>
                <w:rFonts w:hint="default" w:ascii="Times New Roman" w:hAnsi="Times New Roman" w:eastAsia="宋体" w:cs="Times New Roman"/>
                <w:bCs/>
                <w:color w:val="auto"/>
                <w:sz w:val="24"/>
                <w:highlight w:val="none"/>
                <w:lang w:val="en-US" w:eastAsia="zh-CN"/>
              </w:rPr>
              <w:t>的施工</w:t>
            </w:r>
            <w:r>
              <w:rPr>
                <w:rFonts w:hint="default" w:ascii="Times New Roman" w:hAnsi="Times New Roman" w:eastAsia="宋体" w:cs="Times New Roman"/>
                <w:bCs/>
                <w:color w:val="auto"/>
                <w:sz w:val="24"/>
                <w:highlight w:val="none"/>
              </w:rPr>
              <w:t>也影响到沿河栖息的一些种类，特别是两栖类、爬行类和各种在水域觅食的鸟类。</w:t>
            </w:r>
            <w:r>
              <w:rPr>
                <w:rFonts w:hint="default" w:ascii="Times New Roman" w:hAnsi="Times New Roman" w:eastAsia="宋体" w:cs="Times New Roman"/>
                <w:bCs/>
                <w:color w:val="auto"/>
                <w:sz w:val="24"/>
                <w:highlight w:val="none"/>
                <w:lang w:val="en-US" w:eastAsia="zh-CN"/>
              </w:rPr>
              <w:t>施工</w:t>
            </w:r>
            <w:r>
              <w:rPr>
                <w:rFonts w:hint="default" w:ascii="Times New Roman" w:hAnsi="Times New Roman" w:eastAsia="宋体" w:cs="Times New Roman"/>
                <w:bCs/>
                <w:color w:val="auto"/>
                <w:sz w:val="24"/>
                <w:highlight w:val="none"/>
              </w:rPr>
              <w:t>产生噪声</w:t>
            </w:r>
            <w:r>
              <w:rPr>
                <w:rFonts w:hint="default" w:ascii="Times New Roman" w:hAnsi="Times New Roman" w:eastAsia="宋体" w:cs="Times New Roman"/>
                <w:bCs/>
                <w:color w:val="auto"/>
                <w:sz w:val="24"/>
                <w:highlight w:val="none"/>
                <w:lang w:val="en-US" w:eastAsia="zh-CN"/>
              </w:rPr>
              <w:t>的</w:t>
            </w:r>
            <w:r>
              <w:rPr>
                <w:rFonts w:hint="default" w:ascii="Times New Roman" w:hAnsi="Times New Roman" w:eastAsia="宋体" w:cs="Times New Roman"/>
                <w:bCs/>
                <w:color w:val="auto"/>
                <w:sz w:val="24"/>
                <w:highlight w:val="none"/>
              </w:rPr>
              <w:t>污染</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粉尘污染</w:t>
            </w:r>
            <w:r>
              <w:rPr>
                <w:rFonts w:hint="default" w:ascii="Times New Roman" w:hAnsi="Times New Roman" w:eastAsia="宋体" w:cs="Times New Roman"/>
                <w:bCs/>
                <w:color w:val="auto"/>
                <w:sz w:val="24"/>
                <w:highlight w:val="none"/>
                <w:lang w:val="en-US" w:eastAsia="zh-CN"/>
              </w:rPr>
              <w:t>等，均</w:t>
            </w:r>
            <w:r>
              <w:rPr>
                <w:rFonts w:hint="default" w:ascii="Times New Roman" w:hAnsi="Times New Roman" w:eastAsia="宋体" w:cs="Times New Roman"/>
                <w:bCs/>
                <w:color w:val="auto"/>
                <w:sz w:val="24"/>
                <w:highlight w:val="none"/>
              </w:rPr>
              <w:t>迫使动物迁出施工区，这种不良影响表现为短期的或者为压缩生境同样的效果。施工不会造成动物的死亡</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且</w:t>
            </w:r>
            <w:r>
              <w:rPr>
                <w:rFonts w:hint="default" w:ascii="Times New Roman" w:hAnsi="Times New Roman" w:eastAsia="宋体" w:cs="Times New Roman"/>
                <w:bCs/>
                <w:color w:val="auto"/>
                <w:sz w:val="24"/>
                <w:highlight w:val="none"/>
              </w:rPr>
              <w:t>施工后影响将消失。施工噪声的干扰空气中扬尘增加以及施工人员活动频繁等因素将使栖息在工程附近的陆生野生动物和鸟类产生趋避反</w:t>
            </w:r>
            <w:r>
              <w:rPr>
                <w:rFonts w:hint="default" w:ascii="Times New Roman" w:hAnsi="Times New Roman" w:cs="Times New Roman"/>
                <w:bCs/>
                <w:color w:val="auto"/>
                <w:sz w:val="24"/>
                <w:highlight w:val="none"/>
              </w:rPr>
              <w:t>应，施工活动对施工区附近的野生动物将产生不利影响。但是由于工程施工影响范围相对较小，且影响较大的工程所在沿线人为活动频繁（有集中居民点或者农田），沿岸鸟类以农田、森林生境种类为主，这些鸟类大部分是与人为</w:t>
            </w:r>
            <w:r>
              <w:rPr>
                <w:rFonts w:hint="default" w:ascii="Times New Roman" w:hAnsi="Times New Roman" w:cs="Times New Roman"/>
                <w:bCs/>
                <w:color w:val="auto"/>
                <w:sz w:val="24"/>
                <w:highlight w:val="none"/>
                <w:lang w:eastAsia="zh-CN"/>
              </w:rPr>
              <w:t>活动</w:t>
            </w:r>
            <w:r>
              <w:rPr>
                <w:rFonts w:hint="default" w:ascii="Times New Roman" w:hAnsi="Times New Roman" w:cs="Times New Roman"/>
                <w:bCs/>
                <w:color w:val="auto"/>
                <w:sz w:val="24"/>
                <w:highlight w:val="none"/>
              </w:rPr>
              <w:t>伴生种类，工程施工对这些鸟类影响不大。工程影响区（施工区）偶尔可以见到的两栖动物有林蛙等，两栖动物主要栖息在阴暗潮湿的地方，施工活动使其向非影响区迁移，对其生存产生影响较小。</w:t>
            </w:r>
          </w:p>
          <w:p w14:paraId="1FE73AC8">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总之，工程占地区域及可能影响区内的动物为常见野生动物，其生境在当地广泛分布，且每个工程规模不大、施工时间短，影响范围也有限。在工程施工时这些野生动物产生趋避反应，一时将离开施工区，随着施工活动的结束这些影响也将消失，上述野生动物将回归施工区，因此，工程施工对野生动物影响不大。</w:t>
            </w:r>
          </w:p>
          <w:p w14:paraId="141B77B7">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3、</w:t>
            </w:r>
            <w:r>
              <w:rPr>
                <w:rFonts w:hint="default" w:ascii="Times New Roman" w:hAnsi="Times New Roman" w:cs="Times New Roman"/>
                <w:b/>
                <w:bCs w:val="0"/>
                <w:color w:val="auto"/>
                <w:sz w:val="24"/>
                <w:highlight w:val="none"/>
              </w:rPr>
              <w:t>对水生生物的影响</w:t>
            </w:r>
          </w:p>
          <w:p w14:paraId="770FEADC">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对水生生态的影响表现在施工过程中土料、物料及一些废水废渣在地表径流的作用下有可能会进入</w:t>
            </w:r>
            <w:r>
              <w:rPr>
                <w:rFonts w:hint="default" w:ascii="Times New Roman" w:hAnsi="Times New Roman" w:cs="Times New Roman"/>
                <w:color w:val="auto"/>
                <w:highlight w:val="none"/>
                <w:lang w:eastAsia="zh-CN"/>
              </w:rPr>
              <w:t>欧根河</w:t>
            </w:r>
            <w:r>
              <w:rPr>
                <w:rFonts w:hint="default" w:ascii="Times New Roman" w:hAnsi="Times New Roman" w:cs="Times New Roman"/>
                <w:color w:val="auto"/>
                <w:highlight w:val="none"/>
              </w:rPr>
              <w:t>中，导致水体短期内悬浮物含量增加，从而对工程附近和下游水体中水生生物产生不利影响。</w:t>
            </w:r>
            <w:r>
              <w:rPr>
                <w:rFonts w:hint="default" w:ascii="Times New Roman" w:hAnsi="Times New Roman" w:cs="Times New Roman"/>
                <w:color w:val="auto"/>
                <w:highlight w:val="none"/>
                <w:lang w:val="en-US" w:eastAsia="zh-CN"/>
              </w:rPr>
              <w:t>其次，防洪墙施工时需修筑围堰，施工导流改变了水体的水文情势，并产生了一定的噪声会对施工段鱼类等水生生物产生干扰，</w:t>
            </w:r>
            <w:r>
              <w:rPr>
                <w:rFonts w:hint="default" w:ascii="Times New Roman" w:hAnsi="Times New Roman" w:cs="Times New Roman"/>
                <w:color w:val="auto"/>
                <w:highlight w:val="none"/>
              </w:rPr>
              <w:t>但这些不利影响范围都局限于下游一定长度的水体，影响时段仅为施工期。</w:t>
            </w:r>
          </w:p>
          <w:p w14:paraId="19C07013">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1）鱼类</w:t>
            </w:r>
          </w:p>
          <w:p w14:paraId="25A819F3">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a.水文情势变化对鱼类的影响</w:t>
            </w:r>
          </w:p>
          <w:p w14:paraId="6284ACD5">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本项目无涉水工程，</w:t>
            </w:r>
            <w:r>
              <w:rPr>
                <w:rFonts w:hint="default" w:ascii="Times New Roman" w:hAnsi="Times New Roman" w:cs="Times New Roman"/>
                <w:color w:val="auto"/>
                <w:highlight w:val="none"/>
              </w:rPr>
              <w:t>施工并没有完全切断河流，而是通过修筑围堰将施工区域与水流隔开，同时保留了一部分河道让水流通过，仍保持原有的河流水文水动力学特征，施工仅为近岸处的施工活动，工程建设前、后流量变化小，工程对流量、水位、水流方向影响不大。因而，适于水生生物及鱼类栖息、活动的空间</w:t>
            </w:r>
            <w:r>
              <w:rPr>
                <w:rFonts w:hint="default" w:ascii="Times New Roman" w:hAnsi="Times New Roman" w:cs="Times New Roman"/>
                <w:color w:val="auto"/>
                <w:highlight w:val="none"/>
                <w:lang w:val="en-US" w:eastAsia="zh-CN"/>
              </w:rPr>
              <w:t>并未产生较大变化，鱼类栖息生境并未丧失</w:t>
            </w:r>
            <w:r>
              <w:rPr>
                <w:rFonts w:hint="default" w:ascii="Times New Roman" w:hAnsi="Times New Roman" w:cs="Times New Roman"/>
                <w:color w:val="auto"/>
                <w:highlight w:val="none"/>
              </w:rPr>
              <w:t>。</w:t>
            </w:r>
          </w:p>
          <w:p w14:paraId="13C7AF12">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b.水质变化对鱼类的影响</w:t>
            </w:r>
          </w:p>
          <w:p w14:paraId="7D6C3067">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围堰修筑和拆除的过程中将水体产生扰动，</w:t>
            </w:r>
            <w:r>
              <w:rPr>
                <w:rFonts w:hint="default" w:ascii="Times New Roman" w:hAnsi="Times New Roman" w:cs="Times New Roman"/>
                <w:color w:val="auto"/>
                <w:highlight w:val="none"/>
              </w:rPr>
              <w:t>造成一定范围内SS浓度增高，透明度下降，但竣工后即恢复正常水平，水质将保持总体良好状态；浮游生物种群将会发生小幅的波动，水体生物生产力总体未发生明显的改变，因而鱼类资源也将保持现有规模不变。</w:t>
            </w:r>
          </w:p>
          <w:p w14:paraId="0F2DBA5C">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c.对鱼类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三场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的影响</w:t>
            </w:r>
          </w:p>
          <w:p w14:paraId="4D92C705">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施工围堰对河流没有阻断，但围堰会改变河流局部形态，</w:t>
            </w:r>
            <w:r>
              <w:rPr>
                <w:rFonts w:hint="default" w:ascii="Times New Roman" w:hAnsi="Times New Roman" w:cs="Times New Roman"/>
                <w:color w:val="auto"/>
                <w:highlight w:val="none"/>
                <w:lang w:val="en-US" w:eastAsia="zh-CN"/>
              </w:rPr>
              <w:t>主体</w:t>
            </w:r>
            <w:r>
              <w:rPr>
                <w:rFonts w:hint="default" w:ascii="Times New Roman" w:hAnsi="Times New Roman" w:cs="Times New Roman"/>
                <w:color w:val="auto"/>
                <w:highlight w:val="none"/>
                <w:lang w:eastAsia="zh-CN"/>
              </w:rPr>
              <w:t>工程已避开常见鱼类的产卵期高峰期（</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eastAsia="zh-CN"/>
              </w:rPr>
              <w:t>月）、冷水性鱼类产卵期（1月—3月）、索饵期（</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月下旬—</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lang w:eastAsia="zh-CN"/>
              </w:rPr>
              <w:t>月）</w:t>
            </w:r>
            <w:r>
              <w:rPr>
                <w:rFonts w:hint="default" w:ascii="Times New Roman" w:hAnsi="Times New Roman" w:cs="Times New Roman"/>
                <w:color w:val="auto"/>
                <w:highlight w:val="none"/>
              </w:rPr>
              <w:t>。根据水生态调查结果可知，工程所在</w:t>
            </w:r>
            <w:r>
              <w:rPr>
                <w:rFonts w:hint="default" w:ascii="Times New Roman" w:hAnsi="Times New Roman" w:cs="Times New Roman"/>
                <w:color w:val="auto"/>
                <w:highlight w:val="none"/>
                <w:lang w:val="en-US" w:eastAsia="zh-CN"/>
              </w:rPr>
              <w:t>河道</w:t>
            </w:r>
            <w:r>
              <w:rPr>
                <w:rFonts w:hint="default" w:ascii="Times New Roman" w:hAnsi="Times New Roman" w:cs="Times New Roman"/>
                <w:color w:val="auto"/>
                <w:highlight w:val="none"/>
              </w:rPr>
              <w:t>没有冷水鱼类产卵场、索饵场及越冬场分布，因此，本项目施工不会对</w:t>
            </w:r>
            <w:r>
              <w:rPr>
                <w:rFonts w:hint="default" w:ascii="Times New Roman" w:hAnsi="Times New Roman" w:cs="Times New Roman"/>
                <w:color w:val="auto"/>
                <w:highlight w:val="none"/>
                <w:lang w:val="en-US" w:eastAsia="zh-CN"/>
              </w:rPr>
              <w:t>冷水</w:t>
            </w:r>
            <w:r>
              <w:rPr>
                <w:rFonts w:hint="default" w:ascii="Times New Roman" w:hAnsi="Times New Roman" w:cs="Times New Roman"/>
                <w:color w:val="auto"/>
                <w:highlight w:val="none"/>
              </w:rPr>
              <w:t>鱼类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三场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和鱼类洄游造成影响。</w:t>
            </w:r>
          </w:p>
          <w:p w14:paraId="269A07BB">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程竣工及运行后，附近水域的生物生产力恢复现状水平，浮游生物、底栖动物生物量总体保持不变，河流内鱼类育幼、鱼类索饵、产卵、洄游生境将总体保持现状，不会对鱼类的产卵、索饵和越冬产生明显的不利影响。</w:t>
            </w:r>
          </w:p>
          <w:p w14:paraId="2F342187">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d</w:t>
            </w:r>
            <w:r>
              <w:rPr>
                <w:rFonts w:hint="default" w:ascii="Times New Roman" w:hAnsi="Times New Roman" w:cs="Times New Roman"/>
                <w:color w:val="auto"/>
                <w:highlight w:val="none"/>
              </w:rPr>
              <w:t>.噪声对鱼类的影响</w:t>
            </w:r>
          </w:p>
          <w:p w14:paraId="11E61D5F">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噪声也可能对鱼类分布产生一定影响，鱼类能够辨别多种强度和频率的声信号，包括人为噪音、风浪声、雨声等，以此来与种群其他个体进行信息交流、确定周围食物及敌人的存在及方位。强烈的噪音影响鱼类辨别声信号，与此相关的觅食、攻击、保卫领域、防卫、生殖等行为活动会受到一定程度的干扰，使其主动游离干扰区域。施工结束后噪声和悬浮物消失，对鱼类的不利影响自然消失。</w:t>
            </w:r>
          </w:p>
          <w:p w14:paraId="7017FE60">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d.鱼类种类组成的变化</w:t>
            </w:r>
          </w:p>
          <w:p w14:paraId="25FC149B">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程施工范围内的干扰活动所带来的不利影响属于临时扰动，施工结束后即可恢复或逐步恢复正常水平，因而附近水域的水深、水温、流速、溶解氧等环境因素总体上能够基本保持现状水平。另外，工程施工仅对工程临近的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的浅水区底质产生扰动，不会对河床底质产生大范围的扰动，不会对鱼类产生地理阻隔效应，即鱼类的种类组成亦不会明显变化。</w:t>
            </w:r>
          </w:p>
          <w:p w14:paraId="500BCD89">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2）浮游植物</w:t>
            </w:r>
          </w:p>
          <w:p w14:paraId="7834E4EB">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中岸坡清理、块石铺设、围堰填筑和拆除会扰动水体，悬浮物易累积，遮挡光照并降低水体透明度，抑制浮游植物光合作用，短期内密度可能下降。本项目不进行河道截流，仅在局部作业，悬浮物扩散范围局限于施工段岸边水域，对河道其他区域浮游植物群落影响极小。</w:t>
            </w:r>
          </w:p>
          <w:p w14:paraId="1FA6E434">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3）浮游动物</w:t>
            </w:r>
          </w:p>
          <w:p w14:paraId="5B4A3105">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浮游动物多以浮游植物或有机碎屑为食，水体悬浮物增加会堵塞其滤食结构，导致短期摄食困难，密度可能下降；冬季浮游动物代谢减慢、活动减弱，施工噪声、水体扰动会进一步惊扰原生动物，导致其短期迁移或死亡率小幅上升。但浮游动物繁殖速度快，施工结束后悬浮物沉降、水质恢复，1～3个月内可通过自身繁殖补充种群数量，群落结构回归原有状态。</w:t>
            </w:r>
          </w:p>
          <w:p w14:paraId="025F5A78">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4）底栖动物</w:t>
            </w:r>
          </w:p>
          <w:p w14:paraId="4DF90BD8">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格宾石笼铺设需清理表层松散土体，围堰施工会破坏部分河道底质，会直接破坏底栖动物（环节动物、节肢动物）的栖息环境，施工段底栖动物密度短期内下降。施工结束后，石笼缝隙会逐渐积累土壤、有机碎屑，形成适合底栖动物栖息的"人工微生境"，围堰拆除后河道自然形态恢复，6～16个月内可吸引周边底栖动物迁移定居，种群数量逐步恢复。</w:t>
            </w:r>
          </w:p>
          <w:p w14:paraId="44F69A6C">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5）水生植物</w:t>
            </w:r>
          </w:p>
          <w:p w14:paraId="1A1C092A">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岸坡清理、机械作业会直接碾压或铲除植株，施工段属于受水流冲刷严重地段，水土流失导致岸坡出现坍塌，坡面陡峭，冲刷段几乎无植物生长，因此对水生植物影响较小。</w:t>
            </w:r>
          </w:p>
          <w:p w14:paraId="3B373157">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4、</w:t>
            </w:r>
            <w:r>
              <w:rPr>
                <w:rFonts w:hint="default" w:ascii="Times New Roman" w:hAnsi="Times New Roman" w:cs="Times New Roman"/>
                <w:b/>
                <w:bCs/>
                <w:color w:val="auto"/>
                <w:sz w:val="24"/>
                <w:highlight w:val="none"/>
              </w:rPr>
              <w:t>水土流失</w:t>
            </w:r>
          </w:p>
          <w:p w14:paraId="69F84347">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本工程产生的水土流失主要发生在施工期。工程产生水土流失主要发生在主体工程区、施工生产生活区。在工程建设中，会扰动地表和损坏土地、植被，建设施工期各施工迹地产生的水土流失类型以水蚀为主。</w:t>
            </w:r>
          </w:p>
          <w:p w14:paraId="1AED4235">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呈线型分布，工程建设将占用、损坏地表植被，损失一定的植被生物量，影响施工区周围环境的植被覆盖率和数量分布。同时，土壤结构也受到一定的破坏，降低原地表水土保持功能，加剧项目区水土流失的发生，具体表现在以下几方面</w:t>
            </w:r>
            <w:r>
              <w:rPr>
                <w:rFonts w:hint="default" w:ascii="Times New Roman" w:hAnsi="Times New Roman" w:cs="Times New Roman"/>
                <w:color w:val="auto"/>
                <w:sz w:val="24"/>
                <w:highlight w:val="none"/>
                <w:lang w:eastAsia="zh-CN"/>
              </w:rPr>
              <w:t>:</w:t>
            </w:r>
          </w:p>
          <w:p w14:paraId="2F84D556">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施工占用扰动一定数量土地，使项目区植被覆盖度降低，破坏自然植被保土、保水的生态功能，同时也降低土壤抗蚀能力。</w:t>
            </w:r>
          </w:p>
          <w:p w14:paraId="72361F1D">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施工期间土渣沿线堆置，如果不进行防护，遇到强降雨渣面易坍塌，渣体稳定性受到威胁，会产生流失。</w:t>
            </w:r>
          </w:p>
          <w:p w14:paraId="60C67FD8">
            <w:pPr>
              <w:pStyle w:val="24"/>
              <w:keepNext w:val="0"/>
              <w:keepLines w:val="0"/>
              <w:pageBreakBefore w:val="0"/>
              <w:widowControl w:val="0"/>
              <w:kinsoku/>
              <w:wordWrap/>
              <w:overflowPunct/>
              <w:topLinePunct w:val="0"/>
              <w:autoSpaceDE/>
              <w:autoSpaceDN/>
              <w:bidi w:val="0"/>
              <w:adjustRightInd w:val="0"/>
              <w:snapToGrid w:val="0"/>
              <w:spacing w:after="0" w:line="500" w:lineRule="exact"/>
              <w:ind w:firstLine="482" w:firstLineChars="20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生态系统完整性和稳定性评价</w:t>
            </w:r>
          </w:p>
          <w:p w14:paraId="1798D4D3">
            <w:pPr>
              <w:pStyle w:val="24"/>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1）对农业生态系统的影响</w:t>
            </w:r>
          </w:p>
          <w:p w14:paraId="52A897F1">
            <w:pPr>
              <w:pStyle w:val="24"/>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工程建设时对该区域农业生态的影响主要表现在临时占用耕地对当地农业生态系统的直接影响。工程临时占用旱地，使得局部地区农作物减产，农业生产受到影响，但面积很小，对整个农业生态系统不构成影响。</w:t>
            </w:r>
          </w:p>
          <w:p w14:paraId="6E5CE29B">
            <w:pPr>
              <w:pStyle w:val="24"/>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2）生态系统稳定性的影响</w:t>
            </w:r>
          </w:p>
          <w:p w14:paraId="57A3CDC1">
            <w:pPr>
              <w:pStyle w:val="24"/>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工程建设时，各种土地利用类型的面积、比例发生了一些变化，各个植被群落类型的面积也发生了相应的变化，对该区域植被类型将产生一定的影响，</w:t>
            </w:r>
            <w:r>
              <w:rPr>
                <w:rFonts w:hint="default" w:ascii="Times New Roman" w:hAnsi="Times New Roman" w:cs="Times New Roman"/>
                <w:color w:val="auto"/>
                <w:kern w:val="2"/>
                <w:sz w:val="24"/>
                <w:szCs w:val="24"/>
                <w:highlight w:val="none"/>
                <w:lang w:val="en-US" w:eastAsia="zh-CN" w:bidi="ar-SA"/>
              </w:rPr>
              <w:t>将</w:t>
            </w:r>
            <w:r>
              <w:rPr>
                <w:rFonts w:hint="default" w:ascii="Times New Roman" w:hAnsi="Times New Roman" w:eastAsia="宋体" w:cs="Times New Roman"/>
                <w:color w:val="auto"/>
                <w:kern w:val="2"/>
                <w:sz w:val="24"/>
                <w:szCs w:val="24"/>
                <w:highlight w:val="none"/>
                <w:lang w:val="en-US" w:eastAsia="zh-CN" w:bidi="ar-SA"/>
              </w:rPr>
              <w:t>区域陆生生态系统恢复稳定性产生一定影响，但面积不大，施工结束后进行恢复，区域植物区系组成没有发生根本变化。</w:t>
            </w:r>
          </w:p>
          <w:p w14:paraId="64F2C7B8">
            <w:pPr>
              <w:pStyle w:val="24"/>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工程的影响范围内植被类型主要是耕地、林地和草地，损失占评价区面积微小，且施工结束后恢复，整体对自然植被类型的影响不大，因此工程建成后对评价区陆生生态系统异质化程度和阻抗能力都影响不大。</w:t>
            </w:r>
          </w:p>
          <w:p w14:paraId="688580E2">
            <w:pPr>
              <w:pStyle w:val="24"/>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（6）区域景观影响</w:t>
            </w:r>
          </w:p>
          <w:p w14:paraId="57541600">
            <w:pPr>
              <w:pStyle w:val="24"/>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施工期间植被的破坏、水土流失、施工临时设施的建设，在一定程度上破坏了周边的景观，使施工区与周边景观产生了一定不协调性。但这种情况是暂时的，随着施工结束和周边绿化，景观将逐渐恢复。</w:t>
            </w:r>
          </w:p>
          <w:p w14:paraId="7381D9F7">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7</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对黑土地的影响</w:t>
            </w:r>
          </w:p>
          <w:p w14:paraId="6133CB78">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 w:val="0"/>
                <w:bCs w:val="0"/>
                <w:color w:val="auto"/>
                <w:sz w:val="24"/>
                <w:szCs w:val="24"/>
                <w:highlight w:val="none"/>
              </w:rPr>
              <w:t>为保护地表土质肥沃的表土资源，对占地区表土赋存较好区域进行表土剥离，主体设计在</w:t>
            </w:r>
            <w:r>
              <w:rPr>
                <w:rFonts w:hint="default" w:ascii="Times New Roman" w:hAnsi="Times New Roman" w:eastAsia="宋体" w:cs="Times New Roman"/>
                <w:b w:val="0"/>
                <w:bCs w:val="0"/>
                <w:color w:val="auto"/>
                <w:sz w:val="24"/>
                <w:szCs w:val="24"/>
                <w:highlight w:val="none"/>
                <w:lang w:val="en-US" w:eastAsia="zh-CN"/>
              </w:rPr>
              <w:t>工程</w:t>
            </w:r>
            <w:r>
              <w:rPr>
                <w:rFonts w:hint="default" w:ascii="Times New Roman" w:hAnsi="Times New Roman" w:eastAsia="宋体" w:cs="Times New Roman"/>
                <w:b w:val="0"/>
                <w:bCs w:val="0"/>
                <w:color w:val="auto"/>
                <w:sz w:val="24"/>
                <w:szCs w:val="24"/>
                <w:highlight w:val="none"/>
              </w:rPr>
              <w:t>开挖前进行了表土剥离，将表土</w:t>
            </w:r>
            <w:r>
              <w:rPr>
                <w:rFonts w:hint="default" w:ascii="Times New Roman" w:hAnsi="Times New Roman" w:eastAsia="宋体" w:cs="Times New Roman"/>
                <w:b w:val="0"/>
                <w:bCs w:val="0"/>
                <w:color w:val="auto"/>
                <w:sz w:val="24"/>
                <w:szCs w:val="24"/>
                <w:highlight w:val="none"/>
                <w:lang w:eastAsia="zh-CN"/>
              </w:rPr>
              <w:t>堆置在</w:t>
            </w:r>
            <w:r>
              <w:rPr>
                <w:rFonts w:hint="default" w:ascii="Times New Roman" w:hAnsi="Times New Roman" w:eastAsia="宋体" w:cs="Times New Roman"/>
                <w:b w:val="0"/>
                <w:bCs w:val="0"/>
                <w:color w:val="auto"/>
                <w:sz w:val="24"/>
                <w:szCs w:val="24"/>
                <w:highlight w:val="none"/>
                <w:lang w:val="en-US" w:eastAsia="zh-CN"/>
              </w:rPr>
              <w:t>临时堆土场</w:t>
            </w:r>
            <w:r>
              <w:rPr>
                <w:rFonts w:hint="default" w:ascii="Times New Roman" w:hAnsi="Times New Roman" w:eastAsia="宋体" w:cs="Times New Roman"/>
                <w:b w:val="0"/>
                <w:bCs w:val="0"/>
                <w:color w:val="auto"/>
                <w:sz w:val="24"/>
                <w:szCs w:val="24"/>
                <w:highlight w:val="none"/>
                <w:lang w:eastAsia="zh-CN"/>
              </w:rPr>
              <w:t>，做好拦挡措施，工程结束后，用于恢复临时占地区及植被恢复区，严禁</w:t>
            </w:r>
            <w:r>
              <w:rPr>
                <w:rFonts w:hint="default" w:ascii="Times New Roman" w:hAnsi="Times New Roman" w:eastAsia="宋体" w:cs="Times New Roman"/>
                <w:bCs/>
                <w:color w:val="auto"/>
                <w:sz w:val="24"/>
                <w:highlight w:val="none"/>
                <w:lang w:eastAsia="zh-CN"/>
              </w:rPr>
              <w:t>表土随意丢弃，保护黑土</w:t>
            </w:r>
            <w:r>
              <w:rPr>
                <w:rFonts w:hint="default" w:ascii="Times New Roman" w:hAnsi="Times New Roman" w:eastAsia="宋体" w:cs="Times New Roman"/>
                <w:bCs/>
                <w:color w:val="auto"/>
                <w:sz w:val="24"/>
                <w:highlight w:val="none"/>
              </w:rPr>
              <w:t>。</w:t>
            </w:r>
          </w:p>
          <w:p w14:paraId="24258368">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二、水环境影响分析</w:t>
            </w:r>
          </w:p>
          <w:p w14:paraId="471ABF83">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根据工程方案及施工工艺分析，本项目</w:t>
            </w:r>
            <w:r>
              <w:rPr>
                <w:rFonts w:hint="default" w:ascii="Times New Roman" w:hAnsi="Times New Roman" w:cs="Times New Roman"/>
                <w:bCs/>
                <w:color w:val="auto"/>
                <w:sz w:val="24"/>
                <w:highlight w:val="none"/>
                <w:lang w:val="en-US" w:eastAsia="zh-CN"/>
              </w:rPr>
              <w:t>不进行机械冲洗，不产生含油废水，废水主要为</w:t>
            </w:r>
            <w:r>
              <w:rPr>
                <w:rFonts w:hint="default" w:ascii="Times New Roman" w:hAnsi="Times New Roman" w:cs="Times New Roman"/>
                <w:bCs/>
                <w:color w:val="auto"/>
                <w:sz w:val="24"/>
                <w:highlight w:val="none"/>
              </w:rPr>
              <w:t>施工人员临时生活区</w:t>
            </w:r>
            <w:r>
              <w:rPr>
                <w:rFonts w:hint="default" w:ascii="Times New Roman" w:hAnsi="Times New Roman" w:cs="Times New Roman"/>
                <w:color w:val="auto"/>
                <w:sz w:val="24"/>
                <w:highlight w:val="none"/>
              </w:rPr>
              <w:t>产生</w:t>
            </w:r>
            <w:r>
              <w:rPr>
                <w:rFonts w:hint="default" w:ascii="Times New Roman" w:hAnsi="Times New Roman" w:cs="Times New Roman"/>
                <w:bCs/>
                <w:color w:val="auto"/>
                <w:sz w:val="24"/>
                <w:highlight w:val="none"/>
              </w:rPr>
              <w:t>的生活污水</w:t>
            </w:r>
            <w:r>
              <w:rPr>
                <w:rFonts w:hint="default" w:ascii="Times New Roman" w:hAnsi="Times New Roman" w:cs="Times New Roman"/>
                <w:bCs/>
                <w:color w:val="auto"/>
                <w:sz w:val="24"/>
                <w:highlight w:val="none"/>
                <w:lang w:eastAsia="zh-CN"/>
              </w:rPr>
              <w:t>、混凝土拌和和养护废水、基坑废水</w:t>
            </w:r>
            <w:r>
              <w:rPr>
                <w:rFonts w:hint="default" w:ascii="Times New Roman" w:hAnsi="Times New Roman" w:cs="Times New Roman"/>
                <w:bCs/>
                <w:color w:val="auto"/>
                <w:sz w:val="24"/>
                <w:highlight w:val="none"/>
              </w:rPr>
              <w:t>。</w:t>
            </w:r>
          </w:p>
          <w:p w14:paraId="09B7F160">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1、生活污水</w:t>
            </w:r>
          </w:p>
          <w:p w14:paraId="00A9F494">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施工人员按高峰阶段计算，需劳动力人数</w:t>
            </w:r>
            <w:r>
              <w:rPr>
                <w:rFonts w:hint="default" w:ascii="Times New Roman" w:hAnsi="Times New Roman" w:cs="Times New Roman"/>
                <w:color w:val="auto"/>
                <w:sz w:val="24"/>
                <w:highlight w:val="none"/>
                <w:lang w:val="en-US" w:eastAsia="zh-CN"/>
              </w:rPr>
              <w:t>736</w:t>
            </w:r>
            <w:r>
              <w:rPr>
                <w:rFonts w:hint="default" w:ascii="Times New Roman" w:hAnsi="Times New Roman" w:cs="Times New Roman"/>
                <w:color w:val="auto"/>
                <w:sz w:val="24"/>
                <w:highlight w:val="none"/>
              </w:rPr>
              <w:t>人，集中在</w:t>
            </w:r>
            <w:r>
              <w:rPr>
                <w:rFonts w:hint="default" w:ascii="Times New Roman" w:hAnsi="Times New Roman" w:cs="Times New Roman"/>
                <w:color w:val="auto"/>
                <w:sz w:val="24"/>
                <w:highlight w:val="none"/>
                <w:lang w:val="en-US" w:eastAsia="zh-CN"/>
              </w:rPr>
              <w:t>5处生活</w:t>
            </w:r>
            <w:r>
              <w:rPr>
                <w:rFonts w:hint="default" w:ascii="Times New Roman" w:hAnsi="Times New Roman" w:cs="Times New Roman"/>
                <w:color w:val="auto"/>
                <w:sz w:val="24"/>
                <w:highlight w:val="none"/>
              </w:rPr>
              <w:t>区，不设置食堂，采用配餐形式。按照黑龙江省地方标准《用水定额》（DB23/T727</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202</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）规定，以及结合东北地区用水情况，用水量按80L/（人·d）计，生活污水产生量按日用水量的80%计，则生活用水量为</w:t>
            </w:r>
            <w:r>
              <w:rPr>
                <w:rFonts w:hint="default" w:ascii="Times New Roman" w:hAnsi="Times New Roman" w:cs="Times New Roman"/>
                <w:color w:val="auto"/>
                <w:sz w:val="24"/>
                <w:highlight w:val="none"/>
                <w:lang w:val="en-US" w:eastAsia="zh-CN"/>
              </w:rPr>
              <w:t>58.88</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/d，生活污水产生量为</w:t>
            </w:r>
            <w:r>
              <w:rPr>
                <w:rFonts w:hint="default" w:ascii="Times New Roman" w:hAnsi="Times New Roman" w:cs="Times New Roman"/>
                <w:color w:val="auto"/>
                <w:sz w:val="24"/>
                <w:highlight w:val="none"/>
                <w:lang w:val="en-US" w:eastAsia="zh-CN"/>
              </w:rPr>
              <w:t>47.10</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单处生活区</w:t>
            </w:r>
            <w:r>
              <w:rPr>
                <w:rFonts w:hint="default" w:ascii="Times New Roman" w:hAnsi="Times New Roman" w:cs="Times New Roman"/>
                <w:color w:val="auto"/>
                <w:sz w:val="24"/>
                <w:highlight w:val="none"/>
              </w:rPr>
              <w:t>生活用水量为</w:t>
            </w:r>
            <w:r>
              <w:rPr>
                <w:rFonts w:hint="default" w:ascii="Times New Roman" w:hAnsi="Times New Roman" w:cs="Times New Roman"/>
                <w:color w:val="auto"/>
                <w:sz w:val="24"/>
                <w:highlight w:val="none"/>
                <w:lang w:val="en-US" w:eastAsia="zh-CN"/>
              </w:rPr>
              <w:t>11.78</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/d，生活污水产生量为</w:t>
            </w:r>
            <w:r>
              <w:rPr>
                <w:rFonts w:hint="default" w:ascii="Times New Roman" w:hAnsi="Times New Roman" w:cs="Times New Roman"/>
                <w:color w:val="auto"/>
                <w:sz w:val="24"/>
                <w:highlight w:val="none"/>
                <w:lang w:val="en-US" w:eastAsia="zh-CN"/>
              </w:rPr>
              <w:t>9.42</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eastAsia="zh-CN"/>
              </w:rPr>
              <w:t>，</w:t>
            </w:r>
            <w:r>
              <w:rPr>
                <w:rFonts w:hint="default" w:ascii="Times New Roman" w:hAnsi="Times New Roman" w:cs="Times New Roman"/>
                <w:bCs/>
                <w:color w:val="auto"/>
                <w:sz w:val="24"/>
                <w:highlight w:val="none"/>
              </w:rPr>
              <w:t>污水中主要污染物有COD、</w:t>
            </w:r>
            <w:r>
              <w:rPr>
                <w:rFonts w:hint="default" w:ascii="Times New Roman" w:hAnsi="Times New Roman" w:cs="Times New Roman"/>
                <w:bCs/>
                <w:color w:val="auto"/>
                <w:sz w:val="24"/>
                <w:highlight w:val="none"/>
                <w:lang w:val="en-US" w:eastAsia="zh-CN"/>
              </w:rPr>
              <w:t>BOD</w:t>
            </w:r>
            <w:r>
              <w:rPr>
                <w:rFonts w:hint="default" w:ascii="Times New Roman" w:hAnsi="Times New Roman" w:cs="Times New Roman"/>
                <w:bCs/>
                <w:color w:val="auto"/>
                <w:sz w:val="24"/>
                <w:highlight w:val="none"/>
                <w:vertAlign w:val="subscript"/>
                <w:lang w:val="en-US" w:eastAsia="zh-CN"/>
              </w:rPr>
              <w:t>5</w:t>
            </w:r>
            <w:r>
              <w:rPr>
                <w:rFonts w:hint="default"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rPr>
              <w:t>SS、NH</w:t>
            </w:r>
            <w:r>
              <w:rPr>
                <w:rFonts w:hint="default" w:ascii="Times New Roman" w:hAnsi="Times New Roman" w:cs="Times New Roman"/>
                <w:bCs/>
                <w:color w:val="auto"/>
                <w:sz w:val="24"/>
                <w:highlight w:val="none"/>
                <w:vertAlign w:val="subscript"/>
              </w:rPr>
              <w:t>3</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N等，其浓度一般为300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g/L、200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g/L、2</w:t>
            </w:r>
            <w:r>
              <w:rPr>
                <w:rFonts w:hint="default" w:ascii="Times New Roman" w:hAnsi="Times New Roman" w:cs="Times New Roman"/>
                <w:bCs/>
                <w:color w:val="auto"/>
                <w:sz w:val="24"/>
                <w:highlight w:val="none"/>
                <w:lang w:val="en-US" w:eastAsia="zh-CN"/>
              </w:rPr>
              <w:t>50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g/L、25</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g/L。生活污水排入防渗旱厕，定期清掏，外运</w:t>
            </w:r>
            <w:r>
              <w:rPr>
                <w:rFonts w:hint="default" w:ascii="Times New Roman" w:hAnsi="Times New Roman" w:cs="Times New Roman"/>
                <w:bCs/>
                <w:color w:val="auto"/>
                <w:sz w:val="24"/>
                <w:highlight w:val="none"/>
                <w:lang w:val="en-US" w:eastAsia="zh-CN"/>
              </w:rPr>
              <w:t>堆肥</w:t>
            </w:r>
            <w:r>
              <w:rPr>
                <w:rFonts w:hint="default" w:ascii="Times New Roman" w:hAnsi="Times New Roman" w:cs="Times New Roman"/>
                <w:bCs/>
                <w:color w:val="auto"/>
                <w:sz w:val="24"/>
                <w:highlight w:val="none"/>
              </w:rPr>
              <w:t>，防止粪便污染周围环境。</w:t>
            </w:r>
          </w:p>
          <w:p w14:paraId="1476C902">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lang w:val="en-US" w:eastAsia="zh-CN"/>
              </w:rPr>
              <w:t>2、</w:t>
            </w:r>
            <w:r>
              <w:rPr>
                <w:rFonts w:hint="default" w:ascii="Times New Roman" w:hAnsi="Times New Roman" w:cs="Times New Roman"/>
                <w:b/>
                <w:bCs/>
                <w:color w:val="auto"/>
                <w:sz w:val="24"/>
                <w:szCs w:val="32"/>
                <w:highlight w:val="none"/>
              </w:rPr>
              <w:t>碱性废水</w:t>
            </w:r>
          </w:p>
          <w:p w14:paraId="74EFFA9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工程施工过程中，混凝土</w:t>
            </w:r>
            <w:r>
              <w:rPr>
                <w:rFonts w:hint="default" w:ascii="Times New Roman" w:hAnsi="Times New Roman" w:cs="Times New Roman"/>
                <w:color w:val="auto"/>
                <w:sz w:val="24"/>
                <w:szCs w:val="32"/>
                <w:highlight w:val="none"/>
                <w:lang w:eastAsia="zh-CN"/>
              </w:rPr>
              <w:t>拌和</w:t>
            </w:r>
            <w:r>
              <w:rPr>
                <w:rFonts w:hint="default" w:ascii="Times New Roman" w:hAnsi="Times New Roman" w:cs="Times New Roman"/>
                <w:color w:val="auto"/>
                <w:sz w:val="24"/>
                <w:szCs w:val="32"/>
                <w:highlight w:val="none"/>
              </w:rPr>
              <w:t>系统废水主要来源于混凝土转筒和料罐的冲洗，废水含有较高的悬浮物和pH值。根据混凝土浇筑部位，本工程设置1台0.</w:t>
            </w:r>
            <w:r>
              <w:rPr>
                <w:rFonts w:hint="default" w:ascii="Times New Roman" w:hAnsi="Times New Roman" w:cs="Times New Roman"/>
                <w:color w:val="auto"/>
                <w:sz w:val="24"/>
                <w:szCs w:val="32"/>
                <w:highlight w:val="none"/>
                <w:lang w:val="en-US" w:eastAsia="zh-CN"/>
              </w:rPr>
              <w:t>8</w:t>
            </w:r>
            <w:r>
              <w:rPr>
                <w:rFonts w:hint="default" w:ascii="Times New Roman" w:hAnsi="Times New Roman" w:cs="Times New Roman"/>
                <w:color w:val="auto"/>
                <w:sz w:val="24"/>
                <w:szCs w:val="32"/>
                <w:highlight w:val="none"/>
                <w:lang w:eastAsia="zh-CN"/>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lang w:eastAsia="zh-CN"/>
              </w:rPr>
              <w:t>拌和</w:t>
            </w:r>
            <w:r>
              <w:rPr>
                <w:rFonts w:hint="default" w:ascii="Times New Roman" w:hAnsi="Times New Roman" w:cs="Times New Roman"/>
                <w:color w:val="auto"/>
                <w:sz w:val="24"/>
                <w:szCs w:val="32"/>
                <w:highlight w:val="none"/>
              </w:rPr>
              <w:t>机，</w:t>
            </w:r>
            <w:r>
              <w:rPr>
                <w:rFonts w:hint="default" w:ascii="Times New Roman" w:hAnsi="Times New Roman" w:cs="Times New Roman"/>
                <w:color w:val="auto"/>
                <w:sz w:val="24"/>
                <w:szCs w:val="32"/>
                <w:highlight w:val="none"/>
                <w:lang w:val="en-US" w:eastAsia="zh-CN"/>
              </w:rPr>
              <w:t>根据《水电水利工程施工环境保护技术规程》（DL_T 5260—2010）附录C，料罐冲洗用水为10～20L/s，本次取15L/s，每天冲洗1次，每次冲洗5min，则用水量为4.5m</w:t>
            </w:r>
            <w:r>
              <w:rPr>
                <w:rFonts w:hint="default" w:ascii="Times New Roman" w:hAnsi="Times New Roman" w:cs="Times New Roman"/>
                <w:color w:val="auto"/>
                <w:sz w:val="24"/>
                <w:szCs w:val="32"/>
                <w:highlight w:val="none"/>
                <w:vertAlign w:val="superscript"/>
                <w:lang w:val="en-US" w:eastAsia="zh-CN"/>
              </w:rPr>
              <w:t>3</w:t>
            </w:r>
            <w:r>
              <w:rPr>
                <w:rFonts w:hint="default" w:ascii="Times New Roman" w:hAnsi="Times New Roman" w:cs="Times New Roman"/>
                <w:color w:val="auto"/>
                <w:sz w:val="24"/>
                <w:szCs w:val="32"/>
                <w:highlight w:val="none"/>
                <w:lang w:val="en-US" w:eastAsia="zh-CN"/>
              </w:rPr>
              <w:t>/d，</w:t>
            </w:r>
            <w:r>
              <w:rPr>
                <w:rFonts w:hint="default" w:ascii="Times New Roman" w:hAnsi="Times New Roman" w:cs="Times New Roman"/>
                <w:color w:val="auto"/>
                <w:sz w:val="24"/>
                <w:szCs w:val="32"/>
                <w:highlight w:val="none"/>
              </w:rPr>
              <w:t>冲洗产生废水约</w:t>
            </w:r>
            <w:r>
              <w:rPr>
                <w:rFonts w:hint="default" w:ascii="Times New Roman" w:hAnsi="Times New Roman" w:cs="Times New Roman"/>
                <w:color w:val="auto"/>
                <w:sz w:val="24"/>
                <w:szCs w:val="32"/>
                <w:highlight w:val="none"/>
                <w:lang w:val="en-US" w:eastAsia="zh-CN"/>
              </w:rPr>
              <w:t>3.6</w:t>
            </w:r>
            <w:r>
              <w:rPr>
                <w:rFonts w:hint="default" w:ascii="Times New Roman" w:hAnsi="Times New Roman" w:cs="Times New Roman"/>
                <w:color w:val="auto"/>
                <w:sz w:val="24"/>
                <w:szCs w:val="32"/>
                <w:highlight w:val="none"/>
                <w:lang w:eastAsia="zh-CN"/>
              </w:rPr>
              <w:t>m</w:t>
            </w:r>
            <w:r>
              <w:rPr>
                <w:rFonts w:hint="default" w:ascii="Times New Roman" w:hAnsi="Times New Roman" w:cs="Times New Roman"/>
                <w:color w:val="auto"/>
                <w:sz w:val="24"/>
                <w:szCs w:val="32"/>
                <w:highlight w:val="none"/>
                <w:vertAlign w:val="superscript"/>
                <w:lang w:eastAsia="zh-CN"/>
              </w:rPr>
              <w:t>3</w:t>
            </w:r>
            <w:r>
              <w:rPr>
                <w:rFonts w:hint="default" w:ascii="Times New Roman" w:hAnsi="Times New Roman" w:cs="Times New Roman"/>
                <w:color w:val="auto"/>
                <w:sz w:val="24"/>
                <w:szCs w:val="32"/>
                <w:highlight w:val="none"/>
              </w:rPr>
              <w:t>/d；</w:t>
            </w:r>
            <w:r>
              <w:rPr>
                <w:rFonts w:hint="default" w:ascii="Times New Roman" w:hAnsi="Times New Roman" w:cs="Times New Roman"/>
                <w:color w:val="auto"/>
                <w:sz w:val="24"/>
                <w:szCs w:val="32"/>
                <w:highlight w:val="none"/>
                <w:lang w:val="en-US" w:eastAsia="zh-CN"/>
              </w:rPr>
              <w:t>根据附录B，混凝土拌和冲洗废水悬浮物SS浓度为500～5000mg/L，pH值为9～12。</w:t>
            </w:r>
            <w:r>
              <w:rPr>
                <w:rFonts w:hint="default" w:ascii="Times New Roman" w:hAnsi="Times New Roman" w:cs="Times New Roman"/>
                <w:color w:val="auto"/>
                <w:sz w:val="24"/>
                <w:szCs w:val="32"/>
                <w:highlight w:val="none"/>
              </w:rPr>
              <w:t>本次工程拟在</w:t>
            </w:r>
            <w:r>
              <w:rPr>
                <w:rFonts w:hint="default" w:ascii="Times New Roman" w:hAnsi="Times New Roman" w:cs="Times New Roman"/>
                <w:color w:val="auto"/>
                <w:sz w:val="24"/>
                <w:szCs w:val="32"/>
                <w:highlight w:val="none"/>
                <w:lang w:eastAsia="zh-CN"/>
              </w:rPr>
              <w:t>生产</w:t>
            </w:r>
            <w:r>
              <w:rPr>
                <w:rFonts w:hint="default" w:ascii="Times New Roman" w:hAnsi="Times New Roman" w:cs="Times New Roman"/>
                <w:color w:val="auto"/>
                <w:sz w:val="24"/>
                <w:szCs w:val="32"/>
                <w:highlight w:val="none"/>
              </w:rPr>
              <w:t>设置一处沉淀池</w:t>
            </w:r>
            <w:r>
              <w:rPr>
                <w:rFonts w:hint="default" w:ascii="Times New Roman" w:hAnsi="Times New Roman" w:cs="Times New Roman"/>
                <w:color w:val="auto"/>
                <w:sz w:val="24"/>
                <w:szCs w:val="32"/>
                <w:highlight w:val="none"/>
                <w:lang w:eastAsia="zh-CN"/>
              </w:rPr>
              <w:t>、中和池、清水池组合工艺</w:t>
            </w:r>
            <w:r>
              <w:rPr>
                <w:rFonts w:hint="default" w:ascii="Times New Roman" w:hAnsi="Times New Roman" w:cs="Times New Roman"/>
                <w:color w:val="auto"/>
                <w:sz w:val="24"/>
                <w:szCs w:val="32"/>
                <w:highlight w:val="none"/>
              </w:rPr>
              <w:t>收集</w:t>
            </w:r>
            <w:r>
              <w:rPr>
                <w:rFonts w:hint="default" w:ascii="Times New Roman" w:hAnsi="Times New Roman" w:cs="Times New Roman"/>
                <w:color w:val="auto"/>
                <w:sz w:val="24"/>
                <w:szCs w:val="32"/>
                <w:highlight w:val="none"/>
                <w:lang w:eastAsia="zh-CN"/>
              </w:rPr>
              <w:t>处理</w:t>
            </w:r>
            <w:r>
              <w:rPr>
                <w:rFonts w:hint="default" w:ascii="Times New Roman" w:hAnsi="Times New Roman" w:cs="Times New Roman"/>
                <w:color w:val="auto"/>
                <w:sz w:val="24"/>
                <w:szCs w:val="32"/>
                <w:highlight w:val="none"/>
              </w:rPr>
              <w:t>冲洗废水。混凝土</w:t>
            </w:r>
            <w:r>
              <w:rPr>
                <w:rFonts w:hint="default" w:ascii="Times New Roman" w:hAnsi="Times New Roman" w:cs="Times New Roman"/>
                <w:color w:val="auto"/>
                <w:sz w:val="24"/>
                <w:szCs w:val="32"/>
                <w:highlight w:val="none"/>
                <w:lang w:eastAsia="zh-CN"/>
              </w:rPr>
              <w:t>拌和</w:t>
            </w:r>
            <w:r>
              <w:rPr>
                <w:rFonts w:hint="default" w:ascii="Times New Roman" w:hAnsi="Times New Roman" w:cs="Times New Roman"/>
                <w:color w:val="auto"/>
                <w:sz w:val="24"/>
                <w:szCs w:val="32"/>
                <w:highlight w:val="none"/>
              </w:rPr>
              <w:t>废水经过中和及沉淀后回用于周边洒水降尘，不向外环境排放。</w:t>
            </w:r>
          </w:p>
          <w:p w14:paraId="1C48F0C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混凝土工程在养护过程中会产生少量的养护废水，基本不会形成径流。混凝土的养护应采取在混凝土表面处于潮湿状态时，迅速采用麻布、草帘等材料将暴露面混凝土覆盖或包裹，再用</w:t>
            </w:r>
            <w:r>
              <w:rPr>
                <w:rFonts w:hint="default" w:ascii="Times New Roman" w:hAnsi="Times New Roman" w:cs="Times New Roman"/>
                <w:color w:val="auto"/>
                <w:sz w:val="24"/>
                <w:szCs w:val="32"/>
                <w:highlight w:val="none"/>
              </w:rPr>
              <w:fldChar w:fldCharType="begin"/>
            </w:r>
            <w:r>
              <w:rPr>
                <w:rFonts w:hint="default" w:ascii="Times New Roman" w:hAnsi="Times New Roman" w:cs="Times New Roman"/>
                <w:color w:val="auto"/>
                <w:sz w:val="24"/>
                <w:szCs w:val="32"/>
                <w:highlight w:val="none"/>
              </w:rPr>
              <w:instrText xml:space="preserve"> HYPERLINK "https://baike.sogou.com/lemma/ShowInnerLink.htm?lemmaId=183554&amp;ss_c=ssc.citiao.link" \t "_blank" </w:instrText>
            </w:r>
            <w:r>
              <w:rPr>
                <w:rFonts w:hint="default" w:ascii="Times New Roman" w:hAnsi="Times New Roman" w:cs="Times New Roman"/>
                <w:color w:val="auto"/>
                <w:sz w:val="24"/>
                <w:szCs w:val="32"/>
                <w:highlight w:val="none"/>
              </w:rPr>
              <w:fldChar w:fldCharType="separate"/>
            </w:r>
            <w:r>
              <w:rPr>
                <w:rFonts w:hint="default" w:ascii="Times New Roman" w:hAnsi="Times New Roman" w:cs="Times New Roman"/>
                <w:color w:val="auto"/>
                <w:sz w:val="24"/>
                <w:szCs w:val="32"/>
                <w:highlight w:val="none"/>
              </w:rPr>
              <w:t>塑料布</w:t>
            </w:r>
            <w:r>
              <w:rPr>
                <w:rFonts w:hint="default" w:ascii="Times New Roman" w:hAnsi="Times New Roman" w:cs="Times New Roman"/>
                <w:color w:val="auto"/>
                <w:sz w:val="24"/>
                <w:szCs w:val="32"/>
                <w:highlight w:val="none"/>
              </w:rPr>
              <w:fldChar w:fldCharType="end"/>
            </w:r>
            <w:r>
              <w:rPr>
                <w:rFonts w:hint="default" w:ascii="Times New Roman" w:hAnsi="Times New Roman" w:cs="Times New Roman"/>
                <w:color w:val="auto"/>
                <w:sz w:val="24"/>
                <w:szCs w:val="32"/>
                <w:highlight w:val="none"/>
              </w:rPr>
              <w:t>或帆布等将麻布、草帘等保湿材料包覆。包覆期间，包覆物应完好无损，彼此搭接完整，内表面应具有凝结水珠。若在养护过程中出现覆盖物干燥情况，可采用喷水的方式将覆盖物喷湿进行养护，养护过程的水分完全靠蒸发，不形成径流进入土壤和附近水体，养护废水对周边环境影响甚微。</w:t>
            </w:r>
          </w:p>
          <w:p w14:paraId="512A08F6">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lang w:val="en-US" w:eastAsia="zh-CN"/>
              </w:rPr>
              <w:t>3、</w:t>
            </w:r>
            <w:r>
              <w:rPr>
                <w:rFonts w:hint="default" w:ascii="Times New Roman" w:hAnsi="Times New Roman" w:cs="Times New Roman"/>
                <w:b/>
                <w:bCs/>
                <w:color w:val="auto"/>
                <w:sz w:val="24"/>
                <w:szCs w:val="32"/>
                <w:highlight w:val="none"/>
              </w:rPr>
              <w:t>基坑排水</w:t>
            </w:r>
          </w:p>
          <w:p w14:paraId="2882643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工程施工过程中由于基础开挖将产生基坑，因降雨、施工弃水等因素，在基坑内有基坑废水产生，需要经常性排水。</w:t>
            </w:r>
            <w:r>
              <w:rPr>
                <w:rFonts w:hint="default" w:ascii="Times New Roman" w:hAnsi="Times New Roman" w:cs="Times New Roman"/>
                <w:color w:val="auto"/>
                <w:sz w:val="24"/>
                <w:szCs w:val="32"/>
                <w:highlight w:val="none"/>
                <w:lang w:val="en-US" w:eastAsia="zh-CN"/>
              </w:rPr>
              <w:t>根据《水电水利工程施工环境保护技术规程》（DL/T 5260—2010）附录B，</w:t>
            </w:r>
            <w:r>
              <w:rPr>
                <w:rFonts w:hint="default" w:ascii="Times New Roman" w:hAnsi="Times New Roman" w:cs="Times New Roman"/>
                <w:color w:val="auto"/>
                <w:sz w:val="24"/>
                <w:szCs w:val="32"/>
                <w:highlight w:val="none"/>
              </w:rPr>
              <w:t>基坑排水主要污染物为SS，</w:t>
            </w:r>
            <w:r>
              <w:rPr>
                <w:rFonts w:hint="default" w:ascii="Times New Roman" w:hAnsi="Times New Roman" w:cs="Times New Roman"/>
                <w:color w:val="auto"/>
                <w:sz w:val="24"/>
                <w:szCs w:val="32"/>
                <w:highlight w:val="none"/>
                <w:lang w:val="en-US" w:eastAsia="zh-CN"/>
              </w:rPr>
              <w:t>SS浓度为1500mg/L～2500mg/L，</w:t>
            </w:r>
            <w:r>
              <w:rPr>
                <w:rFonts w:hint="default" w:ascii="Times New Roman" w:hAnsi="Times New Roman" w:cs="Times New Roman"/>
                <w:color w:val="auto"/>
                <w:sz w:val="24"/>
                <w:szCs w:val="32"/>
                <w:highlight w:val="none"/>
              </w:rPr>
              <w:t>其他污染物很少，如果不经处理直接进入地表水体将会对河流水质产生不利影响。因此，基坑排水经沉淀池沉淀后用于周边洒水降尘，不外排。</w:t>
            </w:r>
          </w:p>
          <w:p w14:paraId="74342BA2">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4、</w:t>
            </w:r>
            <w:r>
              <w:rPr>
                <w:rFonts w:hint="default" w:ascii="Times New Roman" w:hAnsi="Times New Roman" w:cs="Times New Roman"/>
                <w:b/>
                <w:bCs w:val="0"/>
                <w:color w:val="auto"/>
                <w:sz w:val="24"/>
                <w:highlight w:val="none"/>
              </w:rPr>
              <w:t>含油废水</w:t>
            </w:r>
          </w:p>
          <w:p w14:paraId="6466A97A">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kern w:val="0"/>
                <w:sz w:val="24"/>
                <w:szCs w:val="21"/>
                <w:highlight w:val="none"/>
              </w:rPr>
            </w:pPr>
            <w:r>
              <w:rPr>
                <w:rFonts w:hint="default" w:ascii="Times New Roman" w:hAnsi="Times New Roman" w:cs="Times New Roman"/>
                <w:bCs/>
                <w:color w:val="auto"/>
                <w:sz w:val="24"/>
                <w:highlight w:val="none"/>
                <w:lang w:val="en-US" w:eastAsia="zh-CN"/>
              </w:rPr>
              <w:t>本项目</w:t>
            </w:r>
            <w:r>
              <w:rPr>
                <w:rFonts w:hint="default" w:ascii="Times New Roman" w:hAnsi="Times New Roman" w:cs="Times New Roman"/>
                <w:bCs/>
                <w:color w:val="auto"/>
                <w:sz w:val="24"/>
                <w:highlight w:val="none"/>
              </w:rPr>
              <w:t>施工机械、车辆检修、维护、清洗</w:t>
            </w:r>
            <w:r>
              <w:rPr>
                <w:rFonts w:hint="default" w:ascii="Times New Roman" w:hAnsi="Times New Roman" w:cs="Times New Roman"/>
                <w:bCs/>
                <w:color w:val="auto"/>
                <w:sz w:val="24"/>
                <w:highlight w:val="none"/>
                <w:lang w:val="en-US" w:eastAsia="zh-CN"/>
              </w:rPr>
              <w:t>等工序均外委给当地机械工厂进行，因此本项目无含油废水产生</w:t>
            </w:r>
            <w:r>
              <w:rPr>
                <w:rFonts w:hint="default" w:ascii="Times New Roman" w:hAnsi="Times New Roman" w:cs="Times New Roman"/>
                <w:bCs/>
                <w:color w:val="auto"/>
                <w:sz w:val="24"/>
                <w:highlight w:val="none"/>
              </w:rPr>
              <w:t>。</w:t>
            </w:r>
          </w:p>
          <w:p w14:paraId="7F440C30">
            <w:pPr>
              <w:keepNext w:val="0"/>
              <w:keepLines w:val="0"/>
              <w:pageBreakBefore w:val="0"/>
              <w:kinsoku/>
              <w:wordWrap/>
              <w:overflowPunct/>
              <w:topLinePunct w:val="0"/>
              <w:autoSpaceDE/>
              <w:autoSpaceDN/>
              <w:bidi w:val="0"/>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lang w:val="en-US" w:eastAsia="zh-CN"/>
              </w:rPr>
              <w:t>施工导流</w:t>
            </w:r>
          </w:p>
          <w:p w14:paraId="3C73665E">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color w:val="auto"/>
                <w:szCs w:val="24"/>
                <w:highlight w:val="none"/>
              </w:rPr>
              <w:t>本工程为护岸工程，其结构型式为雷诺护砌和格宾护脚。每段工程量相对不大且可分段施工，各段均可在一个枯水期施工完成，根据水文资料、水面线及工程设计情况，该工程施工时水位低于工程设计护脚高程，无需修筑围堰。综上本工程施工期间无需导流</w:t>
            </w:r>
            <w:r>
              <w:rPr>
                <w:rFonts w:hint="default" w:ascii="Times New Roman" w:hAnsi="Times New Roman" w:eastAsia="宋体" w:cs="Times New Roman"/>
                <w:color w:val="auto"/>
                <w:szCs w:val="24"/>
                <w:highlight w:val="none"/>
                <w:lang w:eastAsia="zh-CN"/>
              </w:rPr>
              <w:t>。</w:t>
            </w:r>
          </w:p>
          <w:p w14:paraId="0DDDD4D1">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szCs w:val="32"/>
                <w:highlight w:val="none"/>
                <w:lang w:val="en-US" w:eastAsia="zh-CN"/>
              </w:rPr>
            </w:pPr>
            <w:r>
              <w:rPr>
                <w:rFonts w:hint="default" w:ascii="Times New Roman" w:hAnsi="Times New Roman" w:cs="Times New Roman"/>
                <w:b/>
                <w:bCs/>
                <w:color w:val="auto"/>
                <w:sz w:val="24"/>
                <w:szCs w:val="32"/>
                <w:highlight w:val="none"/>
                <w:lang w:val="en-US" w:eastAsia="zh-CN"/>
              </w:rPr>
              <w:t>6、施工对水质的影响分析</w:t>
            </w:r>
          </w:p>
          <w:p w14:paraId="2E241CE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32"/>
                <w:highlight w:val="none"/>
                <w:lang w:val="en-US" w:eastAsia="zh-CN"/>
              </w:rPr>
            </w:pPr>
            <w:r>
              <w:rPr>
                <w:rFonts w:hint="default" w:ascii="Times New Roman" w:hAnsi="Times New Roman" w:cs="Times New Roman"/>
                <w:color w:val="auto"/>
                <w:sz w:val="24"/>
                <w:szCs w:val="32"/>
                <w:highlight w:val="none"/>
                <w:lang w:val="en-US" w:eastAsia="zh-CN"/>
              </w:rPr>
              <w:t>基础施工（如防洪墙桩基开挖）和机械作业可能搅动底泥，引起SS浓度升高。围堰拆除会导致河床底泥再悬浮，SS浓度升高，影响水体透明度。但以上影响均局限在施工区一定范围内，施工结束后，水体会逐步恢复水质。</w:t>
            </w:r>
          </w:p>
          <w:p w14:paraId="32EAD6B8">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lang w:val="en-US" w:eastAsia="zh-CN"/>
              </w:rPr>
              <w:t>7、</w:t>
            </w:r>
            <w:r>
              <w:rPr>
                <w:rFonts w:hint="default" w:ascii="Times New Roman" w:hAnsi="Times New Roman" w:cs="Times New Roman"/>
                <w:b/>
                <w:bCs/>
                <w:color w:val="auto"/>
                <w:highlight w:val="none"/>
              </w:rPr>
              <w:t>施工对水文情势的影响</w:t>
            </w:r>
          </w:p>
          <w:p w14:paraId="446D1F9D">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通过施工方式、导流方式和导流时段分析，</w:t>
            </w:r>
            <w:r>
              <w:rPr>
                <w:rFonts w:hint="default" w:ascii="Times New Roman" w:hAnsi="Times New Roman" w:cs="Times New Roman"/>
                <w:color w:val="auto"/>
                <w:highlight w:val="none"/>
                <w:lang w:eastAsia="zh-CN"/>
              </w:rPr>
              <w:t>防洪墙</w:t>
            </w:r>
            <w:r>
              <w:rPr>
                <w:rFonts w:hint="default" w:ascii="Times New Roman" w:hAnsi="Times New Roman" w:cs="Times New Roman"/>
                <w:color w:val="auto"/>
                <w:highlight w:val="none"/>
              </w:rPr>
              <w:t>需要修建围堰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工程施工围堰的建设主要影响围堰周边水流流向，对河道总体流向无影响，工程施工期间，不会造成河床断流，河流水量不减少，对</w:t>
            </w:r>
            <w:r>
              <w:rPr>
                <w:rFonts w:hint="default" w:ascii="Times New Roman" w:hAnsi="Times New Roman" w:cs="Times New Roman"/>
                <w:color w:val="auto"/>
                <w:highlight w:val="none"/>
                <w:lang w:eastAsia="zh-CN"/>
              </w:rPr>
              <w:t>欧根河</w:t>
            </w:r>
            <w:r>
              <w:rPr>
                <w:rFonts w:hint="default" w:ascii="Times New Roman" w:hAnsi="Times New Roman" w:cs="Times New Roman"/>
                <w:color w:val="auto"/>
                <w:highlight w:val="none"/>
              </w:rPr>
              <w:t>的水文情势影响较小。</w:t>
            </w:r>
          </w:p>
          <w:p w14:paraId="725DE058">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三、环境空气影响分析</w:t>
            </w:r>
          </w:p>
          <w:p w14:paraId="032E2656">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本工程施工期的大气污染源主要包括土石方开挖和回填产生的粉尘和扬尘、运输车辆产生的扬尘和排放的尾气、施工机械产生的燃油废气。</w:t>
            </w:r>
          </w:p>
          <w:p w14:paraId="10440D64">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1、</w:t>
            </w:r>
            <w:r>
              <w:rPr>
                <w:rFonts w:hint="default" w:ascii="Times New Roman" w:hAnsi="Times New Roman" w:cs="Times New Roman"/>
                <w:b/>
                <w:bCs w:val="0"/>
                <w:color w:val="auto"/>
                <w:sz w:val="24"/>
                <w:highlight w:val="none"/>
              </w:rPr>
              <w:t>施工粉尘和扬尘影响分析</w:t>
            </w:r>
          </w:p>
          <w:p w14:paraId="48F05857">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施工粉尘主要来源于混凝土</w:t>
            </w:r>
            <w:r>
              <w:rPr>
                <w:rFonts w:hint="default" w:ascii="Times New Roman" w:hAnsi="Times New Roman" w:cs="Times New Roman"/>
                <w:bCs/>
                <w:color w:val="auto"/>
                <w:sz w:val="24"/>
                <w:highlight w:val="none"/>
                <w:lang w:eastAsia="zh-CN"/>
              </w:rPr>
              <w:t>拌和</w:t>
            </w:r>
            <w:r>
              <w:rPr>
                <w:rFonts w:hint="default" w:ascii="Times New Roman" w:hAnsi="Times New Roman" w:cs="Times New Roman"/>
                <w:bCs/>
                <w:color w:val="auto"/>
                <w:sz w:val="24"/>
                <w:highlight w:val="none"/>
              </w:rPr>
              <w:t>，土方开挖、回填，工程物资（砂石等）装卸、堆放，施工垃圾堆放、清运等过程。施工区粉尘的排放具有短暂性与瞬时性，粉尘产生量较大的施工活动主要在施工现场。</w:t>
            </w:r>
          </w:p>
          <w:p w14:paraId="7AE6D867">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本项目在混凝土搅拌过程中均存在持续的粉尘产生，本次评价考虑该搅拌过程为持续排放，类比其他类似企业产生粉尘浓度可达1200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eastAsia="zh-CN"/>
              </w:rPr>
              <w:t>拌和</w:t>
            </w:r>
            <w:r>
              <w:rPr>
                <w:rFonts w:hint="default" w:ascii="Times New Roman" w:hAnsi="Times New Roman" w:cs="Times New Roman"/>
                <w:bCs/>
                <w:color w:val="auto"/>
                <w:sz w:val="24"/>
                <w:highlight w:val="none"/>
              </w:rPr>
              <w:t>机每天运行时间约8h，则施工期运行</w:t>
            </w:r>
            <w:r>
              <w:rPr>
                <w:rFonts w:hint="default" w:ascii="Times New Roman" w:hAnsi="Times New Roman" w:cs="Times New Roman"/>
                <w:bCs/>
                <w:color w:val="auto"/>
                <w:sz w:val="24"/>
                <w:highlight w:val="none"/>
                <w:lang w:val="en-US" w:eastAsia="zh-CN"/>
              </w:rPr>
              <w:t>480</w:t>
            </w:r>
            <w:r>
              <w:rPr>
                <w:rFonts w:hint="default" w:ascii="Times New Roman" w:hAnsi="Times New Roman" w:cs="Times New Roman"/>
                <w:bCs/>
                <w:color w:val="auto"/>
                <w:sz w:val="24"/>
                <w:highlight w:val="none"/>
              </w:rPr>
              <w:t>h。经参考《逸散性工业粉尘控制技术》一书，确定本项目搅拌工段粉尘产生系数为0.2kg/t物料，项目搅拌机粉状原料下料量约为</w:t>
            </w:r>
            <w:r>
              <w:rPr>
                <w:rFonts w:hint="default" w:ascii="Times New Roman" w:hAnsi="Times New Roman" w:cs="Times New Roman"/>
                <w:bCs/>
                <w:color w:val="auto"/>
                <w:sz w:val="24"/>
                <w:highlight w:val="none"/>
                <w:lang w:val="en-US" w:eastAsia="zh-CN"/>
              </w:rPr>
              <w:t>46541.73</w:t>
            </w:r>
            <w:r>
              <w:rPr>
                <w:rFonts w:hint="default" w:ascii="Times New Roman" w:hAnsi="Times New Roman" w:cs="Times New Roman"/>
                <w:bCs/>
                <w:color w:val="auto"/>
                <w:sz w:val="24"/>
                <w:highlight w:val="none"/>
              </w:rPr>
              <w:t>t，则搅拌粉尘产生量约为</w:t>
            </w:r>
            <w:r>
              <w:rPr>
                <w:rFonts w:hint="default" w:ascii="Times New Roman" w:hAnsi="Times New Roman" w:cs="Times New Roman"/>
                <w:bCs/>
                <w:color w:val="auto"/>
                <w:sz w:val="24"/>
                <w:highlight w:val="none"/>
                <w:lang w:val="en-US" w:eastAsia="zh-CN"/>
              </w:rPr>
              <w:t>9.31</w:t>
            </w:r>
            <w:r>
              <w:rPr>
                <w:rFonts w:hint="default" w:ascii="Times New Roman" w:hAnsi="Times New Roman" w:cs="Times New Roman"/>
                <w:bCs/>
                <w:color w:val="auto"/>
                <w:sz w:val="24"/>
                <w:highlight w:val="none"/>
              </w:rPr>
              <w:t>t、</w:t>
            </w:r>
            <w:r>
              <w:rPr>
                <w:rFonts w:hint="default" w:ascii="Times New Roman" w:hAnsi="Times New Roman" w:cs="Times New Roman"/>
                <w:bCs/>
                <w:color w:val="auto"/>
                <w:sz w:val="24"/>
                <w:highlight w:val="none"/>
                <w:lang w:val="en-US" w:eastAsia="zh-CN"/>
              </w:rPr>
              <w:t>19.40</w:t>
            </w:r>
            <w:r>
              <w:rPr>
                <w:rFonts w:hint="default" w:ascii="Times New Roman" w:hAnsi="Times New Roman" w:cs="Times New Roman"/>
                <w:bCs/>
                <w:color w:val="auto"/>
                <w:sz w:val="24"/>
                <w:highlight w:val="none"/>
              </w:rPr>
              <w:t>kg/h。</w:t>
            </w:r>
            <w:r>
              <w:rPr>
                <w:rFonts w:hint="default" w:ascii="Times New Roman" w:hAnsi="Times New Roman" w:cs="Times New Roman"/>
                <w:bCs/>
                <w:color w:val="auto"/>
                <w:sz w:val="24"/>
                <w:highlight w:val="none"/>
                <w:lang w:eastAsia="zh-CN"/>
              </w:rPr>
              <w:t>拌和</w:t>
            </w:r>
            <w:r>
              <w:rPr>
                <w:rFonts w:hint="default" w:ascii="Times New Roman" w:hAnsi="Times New Roman" w:cs="Times New Roman"/>
                <w:bCs/>
                <w:color w:val="auto"/>
                <w:sz w:val="24"/>
                <w:highlight w:val="none"/>
              </w:rPr>
              <w:t>机配套除尘设备（除尘效率99%），粉尘经处理后排放，粉尘排放量约为</w:t>
            </w:r>
            <w:r>
              <w:rPr>
                <w:rFonts w:hint="default" w:ascii="Times New Roman" w:hAnsi="Times New Roman" w:cs="Times New Roman"/>
                <w:bCs/>
                <w:color w:val="auto"/>
                <w:sz w:val="24"/>
                <w:highlight w:val="none"/>
                <w:lang w:val="en-US" w:eastAsia="zh-CN"/>
              </w:rPr>
              <w:t>0.093</w:t>
            </w:r>
            <w:r>
              <w:rPr>
                <w:rFonts w:hint="default" w:ascii="Times New Roman" w:hAnsi="Times New Roman" w:cs="Times New Roman"/>
                <w:bCs/>
                <w:color w:val="auto"/>
                <w:sz w:val="24"/>
                <w:highlight w:val="none"/>
              </w:rPr>
              <w:t>t、0.</w:t>
            </w:r>
            <w:r>
              <w:rPr>
                <w:rFonts w:hint="default" w:ascii="Times New Roman" w:hAnsi="Times New Roman" w:cs="Times New Roman"/>
                <w:bCs/>
                <w:color w:val="auto"/>
                <w:sz w:val="24"/>
                <w:highlight w:val="none"/>
                <w:lang w:val="en-US" w:eastAsia="zh-CN"/>
              </w:rPr>
              <w:t>194</w:t>
            </w:r>
            <w:r>
              <w:rPr>
                <w:rFonts w:hint="default" w:ascii="Times New Roman" w:hAnsi="Times New Roman" w:cs="Times New Roman"/>
                <w:bCs/>
                <w:color w:val="auto"/>
                <w:sz w:val="24"/>
                <w:highlight w:val="none"/>
              </w:rPr>
              <w:t>kg/h。</w:t>
            </w:r>
          </w:p>
          <w:p w14:paraId="6E66D7FD">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参考《排放源统计调查产排污核算方法和系数手册》（3021、3022、3029 水泥制品制造行业系数手册）中3021水泥制品制造（含3022 砼结构构件、3029 其他水泥类似制品制造）的行业系数，颗粒物产污系数为0.12kg/t（产品），本项目物料砂石、水泥用量合计165691.45t，计算得出项目物料储存的颗粒物产生量为19.88t/a（13.81kg/h）。水泥料仓顶部自带除尘设施（除尘效率99%），处理后经仓顶排放，则物料储存的颗粒物排放量为0.2t/a（0.14kg/h）。</w:t>
            </w:r>
          </w:p>
          <w:p w14:paraId="61ADEA64">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目前水利工程施工期扬尘源强监测相关数据较少，采取工程类比方式对施工期扬尘源强予以估计。根据类比，一般施工场土方开挖、土方回填和一般施工过程中场界10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范围内扬尘浓度分别为938.67μg/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、219.38μg/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、611.89μg/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、78.15μg/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，建筑施工场界外扬尘在距场界15</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处开始迅速下降，在距离场界100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处，扬尘总量仅为场界处的11%左右，即建筑施工周围扬尘浓度随水平扩散距离的增加迅速降低。根据施工场外降尘量衰减规律，可得出工程各施工作业过程中20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、50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、100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处最大可能扬尘浓度，如表4</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1所示。</w:t>
            </w:r>
          </w:p>
          <w:p w14:paraId="47D82A07">
            <w:pPr>
              <w:keepNext w:val="0"/>
              <w:keepLines w:val="0"/>
              <w:pageBreakBefore w:val="0"/>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1</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降尘前后距离施工点不同距离处扬尘浓度变化</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1210"/>
              <w:gridCol w:w="855"/>
              <w:gridCol w:w="879"/>
              <w:gridCol w:w="857"/>
              <w:gridCol w:w="922"/>
              <w:gridCol w:w="898"/>
              <w:gridCol w:w="900"/>
            </w:tblGrid>
            <w:tr w14:paraId="21054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0" w:type="auto"/>
                  <w:vMerge w:val="restart"/>
                  <w:tcBorders>
                    <w:top w:val="single" w:color="auto" w:sz="12" w:space="0"/>
                    <w:left w:val="nil"/>
                    <w:bottom w:val="single" w:color="auto" w:sz="4" w:space="0"/>
                    <w:right w:val="single" w:color="auto" w:sz="4" w:space="0"/>
                  </w:tcBorders>
                  <w:noWrap w:val="0"/>
                  <w:vAlign w:val="center"/>
                </w:tcPr>
                <w:p w14:paraId="6051803B">
                  <w:pPr>
                    <w:widowControl/>
                    <w:adjustRightInd w:val="0"/>
                    <w:snapToGrid w:val="0"/>
                    <w:jc w:val="center"/>
                    <w:rPr>
                      <w:rFonts w:hint="default" w:ascii="Times New Roman" w:hAnsi="Times New Roman" w:eastAsia="Times New Roman" w:cs="Times New Roman"/>
                      <w:color w:val="auto"/>
                      <w:kern w:val="0"/>
                      <w:szCs w:val="21"/>
                      <w:highlight w:val="none"/>
                    </w:rPr>
                  </w:pPr>
                  <w:r>
                    <w:rPr>
                      <w:rFonts w:hint="default" w:ascii="Times New Roman" w:hAnsi="Times New Roman" w:cs="Times New Roman"/>
                      <w:color w:val="auto"/>
                      <w:kern w:val="0"/>
                      <w:szCs w:val="20"/>
                      <w:highlight w:val="none"/>
                    </w:rPr>
                    <w:t>工程内容</w:t>
                  </w:r>
                </w:p>
              </w:tc>
              <w:tc>
                <w:tcPr>
                  <w:tcW w:w="0" w:type="auto"/>
                  <w:vMerge w:val="restart"/>
                  <w:tcBorders>
                    <w:top w:val="single" w:color="auto" w:sz="12" w:space="0"/>
                    <w:left w:val="single" w:color="auto" w:sz="4" w:space="0"/>
                    <w:bottom w:val="single" w:color="auto" w:sz="4" w:space="0"/>
                    <w:right w:val="single" w:color="auto" w:sz="4" w:space="0"/>
                  </w:tcBorders>
                  <w:noWrap w:val="0"/>
                  <w:vAlign w:val="center"/>
                </w:tcPr>
                <w:p w14:paraId="121C487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1"/>
                      <w:kern w:val="0"/>
                      <w:szCs w:val="20"/>
                      <w:highlight w:val="none"/>
                    </w:rPr>
                    <w:t>扬尘环节</w:t>
                  </w:r>
                </w:p>
              </w:tc>
              <w:tc>
                <w:tcPr>
                  <w:tcW w:w="0" w:type="auto"/>
                  <w:gridSpan w:val="2"/>
                  <w:tcBorders>
                    <w:top w:val="single" w:color="auto" w:sz="12" w:space="0"/>
                    <w:left w:val="single" w:color="auto" w:sz="4" w:space="0"/>
                    <w:bottom w:val="single" w:color="auto" w:sz="4" w:space="0"/>
                    <w:right w:val="single" w:color="auto" w:sz="4" w:space="0"/>
                  </w:tcBorders>
                  <w:noWrap w:val="0"/>
                  <w:vAlign w:val="center"/>
                </w:tcPr>
                <w:p w14:paraId="0E489A1D">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20</w:t>
                  </w:r>
                  <w:r>
                    <w:rPr>
                      <w:rFonts w:hint="default" w:ascii="Times New Roman" w:hAnsi="Times New Roman" w:eastAsia="宋体" w:cs="Times New Roman"/>
                      <w:color w:val="auto"/>
                      <w:kern w:val="0"/>
                      <w:szCs w:val="20"/>
                      <w:highlight w:val="none"/>
                      <w:lang w:eastAsia="zh-CN"/>
                    </w:rPr>
                    <w:t>m</w:t>
                  </w:r>
                  <w:r>
                    <w:rPr>
                      <w:rFonts w:hint="default" w:ascii="Times New Roman" w:hAnsi="Times New Roman" w:cs="Times New Roman"/>
                      <w:color w:val="auto"/>
                      <w:kern w:val="0"/>
                      <w:szCs w:val="20"/>
                      <w:highlight w:val="none"/>
                    </w:rPr>
                    <w:t>处（</w:t>
                  </w:r>
                  <w:r>
                    <w:rPr>
                      <w:rFonts w:hint="default" w:ascii="Times New Roman" w:hAnsi="Times New Roman" w:eastAsia="Times New Roman" w:cs="Times New Roman"/>
                      <w:color w:val="auto"/>
                      <w:kern w:val="0"/>
                      <w:szCs w:val="20"/>
                      <w:highlight w:val="none"/>
                    </w:rPr>
                    <w:t>μg/</w:t>
                  </w:r>
                  <w:r>
                    <w:rPr>
                      <w:rFonts w:hint="default" w:ascii="Times New Roman" w:hAnsi="Times New Roman" w:eastAsia="宋体" w:cs="Times New Roman"/>
                      <w:color w:val="auto"/>
                      <w:kern w:val="0"/>
                      <w:szCs w:val="20"/>
                      <w:highlight w:val="none"/>
                      <w:lang w:eastAsia="zh-CN"/>
                    </w:rPr>
                    <w:t>m</w:t>
                  </w:r>
                  <w:r>
                    <w:rPr>
                      <w:rFonts w:hint="default" w:ascii="Times New Roman" w:hAnsi="Times New Roman" w:eastAsia="Times New Roman" w:cs="Times New Roman"/>
                      <w:color w:val="auto"/>
                      <w:kern w:val="0"/>
                      <w:position w:val="9"/>
                      <w:szCs w:val="14"/>
                      <w:highlight w:val="none"/>
                    </w:rPr>
                    <w:t>3</w:t>
                  </w:r>
                  <w:r>
                    <w:rPr>
                      <w:rFonts w:hint="default" w:ascii="Times New Roman" w:hAnsi="Times New Roman" w:cs="Times New Roman"/>
                      <w:color w:val="auto"/>
                      <w:kern w:val="0"/>
                      <w:szCs w:val="20"/>
                      <w:highlight w:val="none"/>
                    </w:rPr>
                    <w:t>）</w:t>
                  </w:r>
                </w:p>
              </w:tc>
              <w:tc>
                <w:tcPr>
                  <w:tcW w:w="0" w:type="auto"/>
                  <w:gridSpan w:val="2"/>
                  <w:tcBorders>
                    <w:top w:val="single" w:color="auto" w:sz="12" w:space="0"/>
                    <w:left w:val="single" w:color="auto" w:sz="4" w:space="0"/>
                    <w:bottom w:val="single" w:color="auto" w:sz="4" w:space="0"/>
                    <w:right w:val="single" w:color="auto" w:sz="4" w:space="0"/>
                  </w:tcBorders>
                  <w:noWrap w:val="0"/>
                  <w:vAlign w:val="center"/>
                </w:tcPr>
                <w:p w14:paraId="59C32F74">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50</w:t>
                  </w:r>
                  <w:r>
                    <w:rPr>
                      <w:rFonts w:hint="default" w:ascii="Times New Roman" w:hAnsi="Times New Roman" w:eastAsia="宋体" w:cs="Times New Roman"/>
                      <w:color w:val="auto"/>
                      <w:kern w:val="0"/>
                      <w:szCs w:val="20"/>
                      <w:highlight w:val="none"/>
                      <w:lang w:eastAsia="zh-CN"/>
                    </w:rPr>
                    <w:t>m</w:t>
                  </w:r>
                  <w:r>
                    <w:rPr>
                      <w:rFonts w:hint="default" w:ascii="Times New Roman" w:hAnsi="Times New Roman" w:cs="Times New Roman"/>
                      <w:color w:val="auto"/>
                      <w:kern w:val="0"/>
                      <w:szCs w:val="20"/>
                      <w:highlight w:val="none"/>
                    </w:rPr>
                    <w:t>处（</w:t>
                  </w:r>
                  <w:r>
                    <w:rPr>
                      <w:rFonts w:hint="default" w:ascii="Times New Roman" w:hAnsi="Times New Roman" w:eastAsia="Times New Roman" w:cs="Times New Roman"/>
                      <w:color w:val="auto"/>
                      <w:kern w:val="0"/>
                      <w:szCs w:val="20"/>
                      <w:highlight w:val="none"/>
                    </w:rPr>
                    <w:t>μg/</w:t>
                  </w:r>
                  <w:r>
                    <w:rPr>
                      <w:rFonts w:hint="default" w:ascii="Times New Roman" w:hAnsi="Times New Roman" w:eastAsia="宋体" w:cs="Times New Roman"/>
                      <w:color w:val="auto"/>
                      <w:kern w:val="0"/>
                      <w:szCs w:val="20"/>
                      <w:highlight w:val="none"/>
                      <w:lang w:eastAsia="zh-CN"/>
                    </w:rPr>
                    <w:t>m</w:t>
                  </w:r>
                  <w:r>
                    <w:rPr>
                      <w:rFonts w:hint="default" w:ascii="Times New Roman" w:hAnsi="Times New Roman" w:eastAsia="Times New Roman" w:cs="Times New Roman"/>
                      <w:color w:val="auto"/>
                      <w:kern w:val="0"/>
                      <w:position w:val="9"/>
                      <w:szCs w:val="14"/>
                      <w:highlight w:val="none"/>
                    </w:rPr>
                    <w:t>3</w:t>
                  </w:r>
                  <w:r>
                    <w:rPr>
                      <w:rFonts w:hint="default" w:ascii="Times New Roman" w:hAnsi="Times New Roman" w:cs="Times New Roman"/>
                      <w:color w:val="auto"/>
                      <w:kern w:val="0"/>
                      <w:szCs w:val="20"/>
                      <w:highlight w:val="none"/>
                    </w:rPr>
                    <w:t>）</w:t>
                  </w:r>
                </w:p>
              </w:tc>
              <w:tc>
                <w:tcPr>
                  <w:tcW w:w="0" w:type="auto"/>
                  <w:gridSpan w:val="2"/>
                  <w:tcBorders>
                    <w:top w:val="single" w:color="auto" w:sz="12" w:space="0"/>
                    <w:left w:val="single" w:color="auto" w:sz="4" w:space="0"/>
                    <w:bottom w:val="single" w:color="auto" w:sz="4" w:space="0"/>
                    <w:right w:val="nil"/>
                  </w:tcBorders>
                  <w:noWrap w:val="0"/>
                  <w:vAlign w:val="center"/>
                </w:tcPr>
                <w:p w14:paraId="6285EC2A">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100</w:t>
                  </w:r>
                  <w:r>
                    <w:rPr>
                      <w:rFonts w:hint="default" w:ascii="Times New Roman" w:hAnsi="Times New Roman" w:eastAsia="宋体" w:cs="Times New Roman"/>
                      <w:color w:val="auto"/>
                      <w:spacing w:val="-3"/>
                      <w:kern w:val="0"/>
                      <w:szCs w:val="20"/>
                      <w:highlight w:val="none"/>
                      <w:lang w:eastAsia="zh-CN"/>
                    </w:rPr>
                    <w:t>m</w:t>
                  </w:r>
                  <w:r>
                    <w:rPr>
                      <w:rFonts w:hint="default" w:ascii="Times New Roman" w:hAnsi="Times New Roman" w:cs="Times New Roman"/>
                      <w:color w:val="auto"/>
                      <w:spacing w:val="-3"/>
                      <w:kern w:val="0"/>
                      <w:szCs w:val="20"/>
                      <w:highlight w:val="none"/>
                    </w:rPr>
                    <w:t>处（</w:t>
                  </w:r>
                  <w:r>
                    <w:rPr>
                      <w:rFonts w:hint="default" w:ascii="Times New Roman" w:hAnsi="Times New Roman" w:eastAsia="Times New Roman" w:cs="Times New Roman"/>
                      <w:color w:val="auto"/>
                      <w:spacing w:val="-3"/>
                      <w:kern w:val="0"/>
                      <w:szCs w:val="20"/>
                      <w:highlight w:val="none"/>
                    </w:rPr>
                    <w:t>μg/</w:t>
                  </w:r>
                  <w:r>
                    <w:rPr>
                      <w:rFonts w:hint="default" w:ascii="Times New Roman" w:hAnsi="Times New Roman" w:eastAsia="宋体" w:cs="Times New Roman"/>
                      <w:color w:val="auto"/>
                      <w:spacing w:val="-3"/>
                      <w:kern w:val="0"/>
                      <w:szCs w:val="20"/>
                      <w:highlight w:val="none"/>
                      <w:lang w:eastAsia="zh-CN"/>
                    </w:rPr>
                    <w:t>m</w:t>
                  </w:r>
                  <w:r>
                    <w:rPr>
                      <w:rFonts w:hint="default" w:ascii="Times New Roman" w:hAnsi="Times New Roman" w:eastAsia="Times New Roman" w:cs="Times New Roman"/>
                      <w:color w:val="auto"/>
                      <w:spacing w:val="-3"/>
                      <w:kern w:val="0"/>
                      <w:position w:val="9"/>
                      <w:szCs w:val="14"/>
                      <w:highlight w:val="none"/>
                    </w:rPr>
                    <w:t>3</w:t>
                  </w:r>
                  <w:r>
                    <w:rPr>
                      <w:rFonts w:hint="default" w:ascii="Times New Roman" w:hAnsi="Times New Roman" w:cs="Times New Roman"/>
                      <w:color w:val="auto"/>
                      <w:spacing w:val="-3"/>
                      <w:kern w:val="0"/>
                      <w:szCs w:val="20"/>
                      <w:highlight w:val="none"/>
                    </w:rPr>
                    <w:t>）</w:t>
                  </w:r>
                </w:p>
              </w:tc>
            </w:tr>
            <w:tr w14:paraId="0BCA4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0" w:type="auto"/>
                  <w:vMerge w:val="continue"/>
                  <w:tcBorders>
                    <w:top w:val="single" w:color="auto" w:sz="12" w:space="0"/>
                    <w:left w:val="nil"/>
                    <w:bottom w:val="single" w:color="auto" w:sz="4" w:space="0"/>
                    <w:right w:val="single" w:color="auto" w:sz="4" w:space="0"/>
                  </w:tcBorders>
                  <w:noWrap w:val="0"/>
                  <w:vAlign w:val="center"/>
                </w:tcPr>
                <w:p w14:paraId="0FC73D55">
                  <w:pPr>
                    <w:widowControl/>
                    <w:adjustRightInd w:val="0"/>
                    <w:snapToGrid w:val="0"/>
                    <w:jc w:val="left"/>
                    <w:rPr>
                      <w:rFonts w:hint="default" w:ascii="Times New Roman" w:hAnsi="Times New Roman" w:eastAsia="Times New Roman" w:cs="Times New Roman"/>
                      <w:color w:val="auto"/>
                      <w:kern w:val="0"/>
                      <w:szCs w:val="21"/>
                      <w:highlight w:val="none"/>
                    </w:rPr>
                  </w:pPr>
                </w:p>
              </w:tc>
              <w:tc>
                <w:tcPr>
                  <w:tcW w:w="0" w:type="auto"/>
                  <w:vMerge w:val="continue"/>
                  <w:tcBorders>
                    <w:top w:val="single" w:color="auto" w:sz="12" w:space="0"/>
                    <w:left w:val="single" w:color="auto" w:sz="4" w:space="0"/>
                    <w:bottom w:val="single" w:color="auto" w:sz="4" w:space="0"/>
                    <w:right w:val="single" w:color="auto" w:sz="4" w:space="0"/>
                  </w:tcBorders>
                  <w:noWrap w:val="0"/>
                  <w:vAlign w:val="center"/>
                </w:tcPr>
                <w:p w14:paraId="6563EA26">
                  <w:pPr>
                    <w:widowControl/>
                    <w:adjustRightInd w:val="0"/>
                    <w:snapToGrid w:val="0"/>
                    <w:jc w:val="left"/>
                    <w:rPr>
                      <w:rFonts w:hint="default" w:ascii="Times New Roman" w:hAnsi="Times New Roman" w:eastAsia="Times New Roman" w:cs="Times New Roman"/>
                      <w:color w:val="auto"/>
                      <w:kern w:val="0"/>
                      <w:szCs w:val="20"/>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53E7BB01">
                  <w:pPr>
                    <w:widowControl/>
                    <w:adjustRightInd w:val="0"/>
                    <w:snapToGrid w:val="0"/>
                    <w:jc w:val="center"/>
                    <w:rPr>
                      <w:rFonts w:hint="default" w:ascii="Times New Roman" w:hAnsi="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降尘前</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A5BECB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降尘后</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B158ADA">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降尘前</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6309683">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降尘后</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DB85A1B">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降尘前</w:t>
                  </w:r>
                </w:p>
              </w:tc>
              <w:tc>
                <w:tcPr>
                  <w:tcW w:w="0" w:type="auto"/>
                  <w:tcBorders>
                    <w:top w:val="single" w:color="auto" w:sz="4" w:space="0"/>
                    <w:left w:val="single" w:color="auto" w:sz="4" w:space="0"/>
                    <w:bottom w:val="single" w:color="auto" w:sz="4" w:space="0"/>
                    <w:right w:val="nil"/>
                  </w:tcBorders>
                  <w:noWrap w:val="0"/>
                  <w:vAlign w:val="center"/>
                </w:tcPr>
                <w:p w14:paraId="7871957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降尘后</w:t>
                  </w:r>
                </w:p>
              </w:tc>
            </w:tr>
            <w:tr w14:paraId="77A17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0" w:type="auto"/>
                  <w:vMerge w:val="restart"/>
                  <w:tcBorders>
                    <w:top w:val="single" w:color="auto" w:sz="4" w:space="0"/>
                    <w:left w:val="nil"/>
                    <w:bottom w:val="single" w:color="auto" w:sz="4" w:space="0"/>
                    <w:right w:val="single" w:color="auto" w:sz="4" w:space="0"/>
                  </w:tcBorders>
                  <w:noWrap w:val="0"/>
                  <w:vAlign w:val="center"/>
                </w:tcPr>
                <w:p w14:paraId="2F14A628">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kern w:val="0"/>
                      <w:szCs w:val="20"/>
                      <w:highlight w:val="none"/>
                    </w:rPr>
                    <w:t>土方</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2A0F923A">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kern w:val="0"/>
                      <w:szCs w:val="20"/>
                      <w:highlight w:val="none"/>
                    </w:rPr>
                    <w:t>开挖</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17D8724D">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844.8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2D3571C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422.4</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5414358">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208.59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4486518D">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4"/>
                      <w:kern w:val="0"/>
                      <w:szCs w:val="20"/>
                      <w:highlight w:val="none"/>
                    </w:rPr>
                    <w:t>104.295</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50C33F1">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103.25</w:t>
                  </w:r>
                </w:p>
              </w:tc>
              <w:tc>
                <w:tcPr>
                  <w:tcW w:w="0" w:type="auto"/>
                  <w:tcBorders>
                    <w:top w:val="single" w:color="auto" w:sz="4" w:space="0"/>
                    <w:left w:val="single" w:color="auto" w:sz="4" w:space="0"/>
                    <w:bottom w:val="single" w:color="auto" w:sz="4" w:space="0"/>
                    <w:right w:val="nil"/>
                  </w:tcBorders>
                  <w:noWrap w:val="0"/>
                  <w:vAlign w:val="center"/>
                </w:tcPr>
                <w:p w14:paraId="2B4A48D6">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51.625</w:t>
                  </w:r>
                </w:p>
              </w:tc>
            </w:tr>
            <w:tr w14:paraId="574AB6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42248F33">
                  <w:pPr>
                    <w:widowControl/>
                    <w:adjustRightInd w:val="0"/>
                    <w:snapToGrid w:val="0"/>
                    <w:jc w:val="left"/>
                    <w:rPr>
                      <w:rFonts w:hint="default" w:ascii="Times New Roman" w:hAnsi="Times New Roman" w:eastAsia="Times New Roman" w:cs="Times New Roman"/>
                      <w:color w:val="auto"/>
                      <w:kern w:val="0"/>
                      <w:szCs w:val="20"/>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4EF0393F">
                  <w:pPr>
                    <w:widowControl/>
                    <w:adjustRightInd w:val="0"/>
                    <w:snapToGrid w:val="0"/>
                    <w:jc w:val="center"/>
                    <w:rPr>
                      <w:rFonts w:hint="default" w:ascii="Times New Roman" w:hAnsi="Times New Roman" w:cs="Times New Roman"/>
                      <w:color w:val="auto"/>
                      <w:kern w:val="0"/>
                      <w:szCs w:val="20"/>
                      <w:highlight w:val="none"/>
                    </w:rPr>
                  </w:pPr>
                  <w:r>
                    <w:rPr>
                      <w:rFonts w:hint="default" w:ascii="Times New Roman" w:hAnsi="Times New Roman" w:cs="Times New Roman"/>
                      <w:color w:val="auto"/>
                      <w:spacing w:val="-7"/>
                      <w:kern w:val="0"/>
                      <w:szCs w:val="20"/>
                      <w:highlight w:val="none"/>
                    </w:rPr>
                    <w:t>回填</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5F70099D">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550.7</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15232D5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275.35</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5672B4FB">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135.98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D5C8B0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67.99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DDA651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67.31</w:t>
                  </w:r>
                </w:p>
              </w:tc>
              <w:tc>
                <w:tcPr>
                  <w:tcW w:w="0" w:type="auto"/>
                  <w:tcBorders>
                    <w:top w:val="single" w:color="auto" w:sz="4" w:space="0"/>
                    <w:left w:val="single" w:color="auto" w:sz="4" w:space="0"/>
                    <w:bottom w:val="single" w:color="auto" w:sz="4" w:space="0"/>
                    <w:right w:val="nil"/>
                  </w:tcBorders>
                  <w:noWrap w:val="0"/>
                  <w:vAlign w:val="center"/>
                </w:tcPr>
                <w:p w14:paraId="6517F02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33.655</w:t>
                  </w:r>
                </w:p>
              </w:tc>
            </w:tr>
            <w:tr w14:paraId="7E794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0" w:type="auto"/>
                  <w:vMerge w:val="restart"/>
                  <w:tcBorders>
                    <w:top w:val="single" w:color="auto" w:sz="4" w:space="0"/>
                    <w:left w:val="nil"/>
                    <w:bottom w:val="single" w:color="auto" w:sz="4" w:space="0"/>
                    <w:right w:val="single" w:color="auto" w:sz="4" w:space="0"/>
                  </w:tcBorders>
                  <w:noWrap w:val="0"/>
                  <w:vAlign w:val="center"/>
                </w:tcPr>
                <w:p w14:paraId="1D45646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3"/>
                      <w:kern w:val="0"/>
                      <w:szCs w:val="20"/>
                      <w:highlight w:val="none"/>
                    </w:rPr>
                    <w:t>弃土</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20B644A">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kern w:val="0"/>
                      <w:szCs w:val="20"/>
                      <w:highlight w:val="none"/>
                    </w:rPr>
                    <w:t>清表</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5D9E643">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844.8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6DE502D">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422.4</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2DC0A7F">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208.59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2DDF320">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4"/>
                      <w:kern w:val="0"/>
                      <w:szCs w:val="20"/>
                      <w:highlight w:val="none"/>
                    </w:rPr>
                    <w:t>104.295</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4EFA2976">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103.25</w:t>
                  </w:r>
                </w:p>
              </w:tc>
              <w:tc>
                <w:tcPr>
                  <w:tcW w:w="0" w:type="auto"/>
                  <w:tcBorders>
                    <w:top w:val="single" w:color="auto" w:sz="4" w:space="0"/>
                    <w:left w:val="single" w:color="auto" w:sz="4" w:space="0"/>
                    <w:bottom w:val="single" w:color="auto" w:sz="4" w:space="0"/>
                    <w:right w:val="nil"/>
                  </w:tcBorders>
                  <w:noWrap w:val="0"/>
                  <w:vAlign w:val="center"/>
                </w:tcPr>
                <w:p w14:paraId="22F12101">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51.625</w:t>
                  </w:r>
                </w:p>
              </w:tc>
            </w:tr>
            <w:tr w14:paraId="3A61F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479B9333">
                  <w:pPr>
                    <w:widowControl/>
                    <w:adjustRightInd w:val="0"/>
                    <w:snapToGrid w:val="0"/>
                    <w:jc w:val="left"/>
                    <w:rPr>
                      <w:rFonts w:hint="default" w:ascii="Times New Roman" w:hAnsi="Times New Roman" w:eastAsia="Times New Roman" w:cs="Times New Roman"/>
                      <w:color w:val="auto"/>
                      <w:kern w:val="0"/>
                      <w:szCs w:val="20"/>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150B2597">
                  <w:pPr>
                    <w:widowControl/>
                    <w:adjustRightInd w:val="0"/>
                    <w:snapToGrid w:val="0"/>
                    <w:jc w:val="center"/>
                    <w:rPr>
                      <w:rFonts w:hint="default" w:ascii="Times New Roman" w:hAnsi="Times New Roman" w:cs="Times New Roman"/>
                      <w:color w:val="auto"/>
                      <w:kern w:val="0"/>
                      <w:szCs w:val="20"/>
                      <w:highlight w:val="none"/>
                    </w:rPr>
                  </w:pPr>
                  <w:r>
                    <w:rPr>
                      <w:rFonts w:hint="default" w:ascii="Times New Roman" w:hAnsi="Times New Roman" w:cs="Times New Roman"/>
                      <w:color w:val="auto"/>
                      <w:spacing w:val="-1"/>
                      <w:kern w:val="0"/>
                      <w:szCs w:val="20"/>
                      <w:highlight w:val="none"/>
                    </w:rPr>
                    <w:t>土方装卸作业</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0882A6B">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550.7</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2C0C4124">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275.35</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127B1D15">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135.98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554AD735">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67.99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C24FC6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67.31</w:t>
                  </w:r>
                </w:p>
              </w:tc>
              <w:tc>
                <w:tcPr>
                  <w:tcW w:w="0" w:type="auto"/>
                  <w:tcBorders>
                    <w:top w:val="single" w:color="auto" w:sz="4" w:space="0"/>
                    <w:left w:val="single" w:color="auto" w:sz="4" w:space="0"/>
                    <w:bottom w:val="single" w:color="auto" w:sz="4" w:space="0"/>
                    <w:right w:val="nil"/>
                  </w:tcBorders>
                  <w:noWrap w:val="0"/>
                  <w:vAlign w:val="center"/>
                </w:tcPr>
                <w:p w14:paraId="11A26DC4">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33.655</w:t>
                  </w:r>
                </w:p>
              </w:tc>
            </w:tr>
            <w:tr w14:paraId="68975D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0" w:type="auto"/>
                  <w:tcBorders>
                    <w:top w:val="single" w:color="auto" w:sz="4" w:space="0"/>
                    <w:left w:val="nil"/>
                    <w:bottom w:val="single" w:color="auto" w:sz="12" w:space="0"/>
                    <w:right w:val="single" w:color="auto" w:sz="4" w:space="0"/>
                  </w:tcBorders>
                  <w:noWrap w:val="0"/>
                  <w:vAlign w:val="center"/>
                </w:tcPr>
                <w:p w14:paraId="7F9E1B2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1"/>
                      <w:kern w:val="0"/>
                      <w:szCs w:val="20"/>
                      <w:highlight w:val="none"/>
                    </w:rPr>
                    <w:t>施工工区</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672449D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1"/>
                      <w:kern w:val="0"/>
                      <w:szCs w:val="20"/>
                      <w:highlight w:val="none"/>
                    </w:rPr>
                    <w:t>运输</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708C1628">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70.34</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65FC3CA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35.17</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7DDACCF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4"/>
                      <w:kern w:val="0"/>
                      <w:szCs w:val="20"/>
                      <w:highlight w:val="none"/>
                    </w:rPr>
                    <w:t>17.37</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3825F571">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8.685</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6D414384">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8.6</w:t>
                  </w:r>
                </w:p>
              </w:tc>
              <w:tc>
                <w:tcPr>
                  <w:tcW w:w="0" w:type="auto"/>
                  <w:tcBorders>
                    <w:top w:val="single" w:color="auto" w:sz="4" w:space="0"/>
                    <w:left w:val="single" w:color="auto" w:sz="4" w:space="0"/>
                    <w:bottom w:val="single" w:color="auto" w:sz="12" w:space="0"/>
                    <w:right w:val="nil"/>
                  </w:tcBorders>
                  <w:noWrap w:val="0"/>
                  <w:vAlign w:val="center"/>
                </w:tcPr>
                <w:p w14:paraId="46045A31">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4.3</w:t>
                  </w:r>
                </w:p>
              </w:tc>
            </w:tr>
          </w:tbl>
          <w:p w14:paraId="6BADF37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交通运输扬尘污染源主要包括两部分，一是汽车行驶产生的扬尘，二是水泥、土方等多尘物质运输时，因防护不当导致物料失落和飘散。交通运输扬尘将导致进场道路两侧空气中含尘量的增加，对道路两侧区域环境空气质量产生一定影响。基于相关工程资料，施工过程中车辆行驶产生的扬尘约占施工总扬尘量的60%以上。一般情况车辆行驶产生的扬尘在同样路面清洁程度下，车速越快扬尘量越大，而在同样车速下，路面越脏扬尘量越大</w:t>
            </w:r>
            <w:r>
              <w:rPr>
                <w:rFonts w:hint="default" w:ascii="Times New Roman" w:hAnsi="Times New Roman" w:cs="Times New Roman"/>
                <w:bCs/>
                <w:color w:val="auto"/>
                <w:sz w:val="24"/>
                <w:highlight w:val="none"/>
                <w:lang w:eastAsia="zh-CN"/>
              </w:rPr>
              <w:t>。</w:t>
            </w:r>
          </w:p>
          <w:p w14:paraId="69493645">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szCs w:val="28"/>
                <w:highlight w:val="none"/>
              </w:rPr>
              <w:t>施工机械燃油废气及</w:t>
            </w:r>
            <w:r>
              <w:rPr>
                <w:rFonts w:hint="default" w:ascii="Times New Roman" w:hAnsi="Times New Roman" w:cs="Times New Roman"/>
                <w:b/>
                <w:bCs/>
                <w:color w:val="auto"/>
                <w:sz w:val="24"/>
                <w:highlight w:val="none"/>
              </w:rPr>
              <w:t>车辆尾气影响分析</w:t>
            </w:r>
          </w:p>
          <w:p w14:paraId="6313D57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施工机械的燃油废气基本是在施工作业区域内以点源形式排放，燃油废气中所含的主要污染物为CO、NO</w:t>
            </w:r>
            <w:r>
              <w:rPr>
                <w:rFonts w:hint="default" w:ascii="Times New Roman" w:hAnsi="Times New Roman" w:cs="Times New Roman"/>
                <w:color w:val="auto"/>
                <w:sz w:val="24"/>
                <w:szCs w:val="28"/>
                <w:highlight w:val="none"/>
                <w:vertAlign w:val="subscript"/>
              </w:rPr>
              <w:t>x</w:t>
            </w:r>
            <w:r>
              <w:rPr>
                <w:rFonts w:hint="default" w:ascii="Times New Roman" w:hAnsi="Times New Roman" w:cs="Times New Roman"/>
                <w:color w:val="auto"/>
                <w:sz w:val="24"/>
                <w:szCs w:val="28"/>
                <w:highlight w:val="none"/>
              </w:rPr>
              <w:t>、THC等。由于工程施工营地地形开阔，空气流通性好，加之废气排放的不连续性，燃油机械排放废气中的各项污染物能够很快稀释扩散，对敏感目标所在区域环境空气质量影响较小。</w:t>
            </w:r>
          </w:p>
          <w:p w14:paraId="4B2C670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柴油发电机运行时也将产生废气。根据《中国环境影响评价培训教材》</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燃烧1</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的柴油排放的主要大气污染物</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氮氧化物</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以NO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计</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8.57kg/</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，二氧化硫10.0kg/</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，烟尘1.80kg/</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。柴油</w:t>
            </w:r>
            <w:r>
              <w:rPr>
                <w:rFonts w:hint="default" w:ascii="Times New Roman" w:hAnsi="Times New Roman" w:cs="Times New Roman"/>
                <w:color w:val="auto"/>
                <w:sz w:val="24"/>
                <w:highlight w:val="none"/>
                <w:lang w:eastAsia="zh-CN"/>
              </w:rPr>
              <w:t>密</w:t>
            </w:r>
            <w:r>
              <w:rPr>
                <w:rFonts w:hint="default" w:ascii="Times New Roman" w:hAnsi="Times New Roman" w:cs="Times New Roman"/>
                <w:color w:val="auto"/>
                <w:sz w:val="24"/>
                <w:highlight w:val="none"/>
              </w:rPr>
              <w:t>度取950kg/N</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，则项目主要大NO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和烟尘的排放系数分别为9.02kg/t、10.53kg/t、1.89kg/t。本项目消耗柴油量为</w:t>
            </w:r>
            <w:r>
              <w:rPr>
                <w:rFonts w:hint="default" w:ascii="Times New Roman" w:hAnsi="Times New Roman" w:cs="Times New Roman"/>
                <w:color w:val="auto"/>
                <w:sz w:val="24"/>
                <w:highlight w:val="none"/>
                <w:lang w:val="en-US" w:eastAsia="zh-CN"/>
              </w:rPr>
              <w:t>1753.34</w:t>
            </w:r>
            <w:r>
              <w:rPr>
                <w:rFonts w:hint="default" w:ascii="Times New Roman" w:hAnsi="Times New Roman" w:cs="Times New Roman"/>
                <w:color w:val="auto"/>
                <w:sz w:val="24"/>
                <w:highlight w:val="none"/>
              </w:rPr>
              <w:t>t，</w:t>
            </w:r>
            <w:r>
              <w:rPr>
                <w:rFonts w:hint="default" w:ascii="Times New Roman" w:hAnsi="Times New Roman" w:cs="Times New Roman"/>
                <w:color w:val="auto"/>
                <w:sz w:val="24"/>
                <w:highlight w:val="none"/>
                <w:lang w:eastAsia="zh-CN"/>
              </w:rPr>
              <w:t>则柴油发电机</w:t>
            </w:r>
            <w:r>
              <w:rPr>
                <w:rFonts w:hint="default" w:ascii="Times New Roman" w:hAnsi="Times New Roman" w:cs="Times New Roman"/>
                <w:color w:val="auto"/>
                <w:sz w:val="24"/>
                <w:highlight w:val="none"/>
              </w:rPr>
              <w:t>烟气中各污气</w:t>
            </w:r>
            <w:r>
              <w:rPr>
                <w:rFonts w:hint="default" w:ascii="Times New Roman" w:hAnsi="Times New Roman" w:cs="Times New Roman"/>
                <w:color w:val="auto"/>
                <w:sz w:val="24"/>
                <w:highlight w:val="none"/>
                <w:lang w:eastAsia="zh-CN"/>
              </w:rPr>
              <w:t>污染物</w:t>
            </w:r>
            <w:r>
              <w:rPr>
                <w:rFonts w:hint="default" w:ascii="Times New Roman" w:hAnsi="Times New Roman" w:cs="Times New Roman"/>
                <w:color w:val="auto"/>
                <w:sz w:val="24"/>
                <w:highlight w:val="none"/>
              </w:rPr>
              <w:t>产生量为NO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lang w:val="en-US" w:eastAsia="zh-CN"/>
              </w:rPr>
              <w:t xml:space="preserve"> 15.78</w:t>
            </w:r>
            <w:r>
              <w:rPr>
                <w:rFonts w:hint="default" w:ascii="Times New Roman" w:hAnsi="Times New Roman" w:cs="Times New Roman"/>
                <w:color w:val="auto"/>
                <w:sz w:val="24"/>
                <w:highlight w:val="none"/>
              </w:rPr>
              <w:t>t/a、S</w:t>
            </w:r>
            <w:r>
              <w:rPr>
                <w:rFonts w:hint="default" w:ascii="Times New Roman" w:hAnsi="Times New Roman" w:cs="Times New Roman"/>
                <w:color w:val="auto"/>
                <w:sz w:val="24"/>
                <w:highlight w:val="none"/>
                <w:lang w:val="en-US" w:eastAsia="zh-CN"/>
              </w:rPr>
              <w:t>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lang w:val="en-US" w:eastAsia="zh-CN"/>
              </w:rPr>
              <w:t xml:space="preserve"> 18.45</w:t>
            </w:r>
            <w:r>
              <w:rPr>
                <w:rFonts w:hint="default" w:ascii="Times New Roman" w:hAnsi="Times New Roman" w:cs="Times New Roman"/>
                <w:color w:val="auto"/>
                <w:sz w:val="24"/>
                <w:highlight w:val="none"/>
              </w:rPr>
              <w:t>t/a、烟尘</w:t>
            </w:r>
            <w:r>
              <w:rPr>
                <w:rFonts w:hint="default" w:ascii="Times New Roman" w:hAnsi="Times New Roman" w:cs="Times New Roman"/>
                <w:color w:val="auto"/>
                <w:sz w:val="24"/>
                <w:highlight w:val="none"/>
                <w:lang w:val="en-US" w:eastAsia="zh-CN"/>
              </w:rPr>
              <w:t xml:space="preserve"> 3.34</w:t>
            </w:r>
            <w:r>
              <w:rPr>
                <w:rFonts w:hint="default" w:ascii="Times New Roman" w:hAnsi="Times New Roman" w:cs="Times New Roman"/>
                <w:color w:val="auto"/>
                <w:sz w:val="24"/>
                <w:highlight w:val="none"/>
              </w:rPr>
              <w:t>t/a。</w:t>
            </w:r>
          </w:p>
          <w:p w14:paraId="258632A0">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运输车辆的尾气是沿交通路线沿程以线源形式排放。车辆尾气中所含的主要污染物为CO、NO</w:t>
            </w:r>
            <w:r>
              <w:rPr>
                <w:rFonts w:hint="default" w:ascii="Times New Roman" w:hAnsi="Times New Roman" w:cs="Times New Roman"/>
                <w:color w:val="auto"/>
                <w:sz w:val="24"/>
                <w:szCs w:val="28"/>
                <w:highlight w:val="none"/>
                <w:vertAlign w:val="subscript"/>
              </w:rPr>
              <w:t>x</w:t>
            </w:r>
            <w:r>
              <w:rPr>
                <w:rFonts w:hint="default" w:ascii="Times New Roman" w:hAnsi="Times New Roman" w:cs="Times New Roman"/>
                <w:color w:val="auto"/>
                <w:sz w:val="24"/>
                <w:szCs w:val="28"/>
                <w:highlight w:val="none"/>
              </w:rPr>
              <w:t>、THC等。施工期间预计经过居民点时的运输车流量在5辆/h之内，单车排放的大气污染物的扩散、稀释后，对敏感地区产生的浓度贡献值很小，因此，运输车辆排放的废气污染物只会引起局部大气环境质量的短暂下降，对区域的环境空气质量影响较小。</w:t>
            </w:r>
          </w:p>
          <w:p w14:paraId="30B71734">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3、</w:t>
            </w:r>
            <w:r>
              <w:rPr>
                <w:rFonts w:hint="default" w:ascii="Times New Roman" w:hAnsi="Times New Roman" w:cs="Times New Roman"/>
                <w:b/>
                <w:bCs w:val="0"/>
                <w:color w:val="auto"/>
                <w:sz w:val="24"/>
                <w:szCs w:val="28"/>
                <w:highlight w:val="none"/>
                <w:lang w:val="en-US" w:eastAsia="zh-CN"/>
              </w:rPr>
              <w:t>新建临时道路废气</w:t>
            </w:r>
            <w:r>
              <w:rPr>
                <w:rFonts w:hint="default" w:ascii="Times New Roman" w:hAnsi="Times New Roman" w:cs="Times New Roman"/>
                <w:b/>
                <w:bCs w:val="0"/>
                <w:color w:val="auto"/>
                <w:sz w:val="24"/>
                <w:highlight w:val="none"/>
              </w:rPr>
              <w:t>影响分析</w:t>
            </w:r>
          </w:p>
          <w:p w14:paraId="717DB48B">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en-US" w:eastAsia="zh-CN"/>
              </w:rPr>
              <w:t>施工期间新建临时简易道路26.72k</w:t>
            </w:r>
            <w:r>
              <w:rPr>
                <w:rFonts w:hint="default" w:ascii="Times New Roman" w:hAnsi="Times New Roman" w:cs="Times New Roman"/>
                <w:bCs/>
                <w:color w:val="auto"/>
                <w:sz w:val="24"/>
                <w:highlight w:val="none"/>
                <w:lang w:val="en-US" w:eastAsia="zh-CN"/>
              </w:rPr>
              <w:t>m</w:t>
            </w:r>
            <w:r>
              <w:rPr>
                <w:rFonts w:hint="default" w:ascii="Times New Roman" w:hAnsi="Times New Roman" w:eastAsia="宋体" w:cs="Times New Roman"/>
                <w:bCs/>
                <w:color w:val="auto"/>
                <w:sz w:val="24"/>
                <w:highlight w:val="none"/>
                <w:lang w:val="en-US" w:eastAsia="zh-CN"/>
              </w:rPr>
              <w:t>，为施工期间临时通行使用，路面未硬化，施工及车辆行驶会产生少量道路扬尘，主要影响道路沿线近距离区域，影响范围小、时间短、随施工结束消失，对区域环境空气影响较轻，定期对临时道路洒水抑尘，保持路面湿润；限制车辆低速行驶，减少扬尘产生。</w:t>
            </w:r>
          </w:p>
          <w:p w14:paraId="2792FB3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对周边居民的影响</w:t>
            </w:r>
          </w:p>
          <w:p w14:paraId="0CF34F7E">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施工期道路运输扬尘将影响周边居民的环境空气质量，导致居民生活质量下降，影响周边环境卫生。为防止施工期道路扬尘污染，评价要求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施工期经常洒水并定期清扫，保持路面湿润；通过合理设置施工车辆进出口和运输路线，最大程度减轻项目施工车辆进出过程中产生的车辆扬尘对环境敏感点的影响。</w:t>
            </w:r>
          </w:p>
          <w:p w14:paraId="3593440D">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四、环境噪声影响分析</w:t>
            </w:r>
          </w:p>
          <w:p w14:paraId="0F8301E0">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cs="Times New Roman"/>
                <w:b/>
                <w:bCs w:val="0"/>
                <w:color w:val="auto"/>
                <w:sz w:val="24"/>
                <w:highlight w:val="none"/>
                <w:lang w:val="en-US" w:eastAsia="zh-CN"/>
              </w:rPr>
              <w:t>1、噪声源</w:t>
            </w:r>
          </w:p>
          <w:p w14:paraId="25D16E3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本工程施工将使用推土机、挖掘机、自卸汽车等施工机械。</w:t>
            </w:r>
          </w:p>
          <w:p w14:paraId="4BF72B82">
            <w:pPr>
              <w:keepNext w:val="0"/>
              <w:keepLines w:val="0"/>
              <w:pageBreakBefore w:val="0"/>
              <w:widowControl w:val="0"/>
              <w:kinsoku/>
              <w:wordWrap/>
              <w:overflowPunct/>
              <w:topLinePunct w:val="0"/>
              <w:autoSpaceDE/>
              <w:autoSpaceDN/>
              <w:bidi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施工期间，大量施工人员和施工机械的进驻，施工</w:t>
            </w:r>
            <w:r>
              <w:rPr>
                <w:rFonts w:hint="default" w:ascii="Times New Roman" w:hAnsi="Times New Roman" w:cs="Times New Roman"/>
                <w:color w:val="auto"/>
                <w:sz w:val="24"/>
                <w:highlight w:val="none"/>
                <w:lang w:eastAsia="zh-CN"/>
              </w:rPr>
              <w:t>生产区</w:t>
            </w:r>
            <w:r>
              <w:rPr>
                <w:rFonts w:hint="default" w:ascii="Times New Roman" w:hAnsi="Times New Roman" w:cs="Times New Roman"/>
                <w:color w:val="auto"/>
                <w:sz w:val="24"/>
                <w:highlight w:val="none"/>
              </w:rPr>
              <w:t>的布设，车辆运输及各种施工活动的开展，打破了原有的宁静，使施工区变成一个繁忙的施工场地，施工期间噪声主要来自各种施工机械设备及运输车辆。</w:t>
            </w:r>
          </w:p>
          <w:p w14:paraId="65A340F4">
            <w:pPr>
              <w:keepNext w:val="0"/>
              <w:keepLines w:val="0"/>
              <w:pageBreakBefore w:val="0"/>
              <w:widowControl w:val="0"/>
              <w:kinsoku/>
              <w:wordWrap/>
              <w:overflowPunct/>
              <w:topLinePunct w:val="0"/>
              <w:autoSpaceDE/>
              <w:autoSpaceDN/>
              <w:bidi w:val="0"/>
              <w:spacing w:line="500" w:lineRule="exact"/>
              <w:ind w:firstLine="480"/>
              <w:textAlignment w:val="auto"/>
              <w:rPr>
                <w:rFonts w:hint="default" w:ascii="Times New Roman" w:hAnsi="Times New Roman" w:cs="Times New Roman"/>
                <w:color w:val="auto"/>
                <w:sz w:val="28"/>
                <w:szCs w:val="28"/>
                <w:highlight w:val="none"/>
              </w:rPr>
            </w:pPr>
            <w:r>
              <w:rPr>
                <w:rFonts w:hint="default" w:ascii="Times New Roman" w:hAnsi="Times New Roman" w:cs="Times New Roman"/>
                <w:bCs/>
                <w:color w:val="auto"/>
                <w:sz w:val="24"/>
                <w:highlight w:val="none"/>
              </w:rPr>
              <w:t>施工噪声具有阶段性、临时性和不固定性，不同的施工设备产生的噪声不同，在多台机械设备同时作业时，各台设备产生的噪声会产生叠加，叠加后的噪声增约为90dB</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A</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。主要施工设备噪声的距离衰减情况见下表。</w:t>
            </w:r>
          </w:p>
          <w:p w14:paraId="2A58071B">
            <w:pPr>
              <w:keepNext w:val="0"/>
              <w:keepLines w:val="0"/>
              <w:pageBreakBefore w:val="0"/>
              <w:widowControl w:val="0"/>
              <w:kinsoku/>
              <w:wordWrap/>
              <w:overflowPunct/>
              <w:topLinePunct w:val="0"/>
              <w:autoSpaceDE/>
              <w:autoSpaceDN/>
              <w:bidi w:val="0"/>
              <w:spacing w:line="500" w:lineRule="exact"/>
              <w:ind w:firstLine="482"/>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施工机械噪声衰减距离  单位</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dB（A）</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2"/>
              <w:gridCol w:w="506"/>
              <w:gridCol w:w="604"/>
              <w:gridCol w:w="601"/>
              <w:gridCol w:w="604"/>
              <w:gridCol w:w="633"/>
              <w:gridCol w:w="633"/>
              <w:gridCol w:w="633"/>
              <w:gridCol w:w="632"/>
              <w:gridCol w:w="633"/>
              <w:gridCol w:w="627"/>
            </w:tblGrid>
            <w:tr w14:paraId="32F8F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12" w:space="0"/>
                    <w:left w:val="nil"/>
                    <w:bottom w:val="single" w:color="auto" w:sz="4" w:space="0"/>
                    <w:right w:val="single" w:color="auto" w:sz="4" w:space="0"/>
                    <w:tl2br w:val="single" w:color="auto" w:sz="4" w:space="0"/>
                  </w:tcBorders>
                  <w:noWrap w:val="0"/>
                  <w:vAlign w:val="center"/>
                </w:tcPr>
                <w:p w14:paraId="57A1D09C">
                  <w:pPr>
                    <w:adjustRightInd w:val="0"/>
                    <w:snapToGrid w:val="0"/>
                    <w:spacing w:line="300" w:lineRule="exact"/>
                    <w:jc w:val="righ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w:t>
                  </w:r>
                  <w:r>
                    <w:rPr>
                      <w:rFonts w:hint="default" w:ascii="Times New Roman" w:hAnsi="Times New Roman" w:cs="Times New Roman"/>
                      <w:bCs/>
                      <w:color w:val="auto"/>
                      <w:szCs w:val="21"/>
                      <w:highlight w:val="none"/>
                      <w:lang w:eastAsia="zh-CN"/>
                    </w:rPr>
                    <w:t>（m）</w:t>
                  </w:r>
                </w:p>
                <w:p w14:paraId="6BF27DD6">
                  <w:pPr>
                    <w:adjustRightInd w:val="0"/>
                    <w:snapToGrid w:val="0"/>
                    <w:spacing w:line="300" w:lineRule="exact"/>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机械名称</w:t>
                  </w:r>
                </w:p>
              </w:tc>
              <w:tc>
                <w:tcPr>
                  <w:tcW w:w="341" w:type="pct"/>
                  <w:tcBorders>
                    <w:top w:val="single" w:color="auto" w:sz="12" w:space="0"/>
                    <w:left w:val="single" w:color="auto" w:sz="4" w:space="0"/>
                    <w:bottom w:val="single" w:color="auto" w:sz="4" w:space="0"/>
                    <w:right w:val="single" w:color="auto" w:sz="4" w:space="0"/>
                  </w:tcBorders>
                  <w:noWrap w:val="0"/>
                  <w:vAlign w:val="center"/>
                </w:tcPr>
                <w:p w14:paraId="796DE388">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407" w:type="pct"/>
                  <w:tcBorders>
                    <w:top w:val="single" w:color="auto" w:sz="12" w:space="0"/>
                    <w:left w:val="single" w:color="auto" w:sz="4" w:space="0"/>
                    <w:bottom w:val="single" w:color="auto" w:sz="4" w:space="0"/>
                    <w:right w:val="single" w:color="auto" w:sz="4" w:space="0"/>
                  </w:tcBorders>
                  <w:noWrap w:val="0"/>
                  <w:vAlign w:val="center"/>
                </w:tcPr>
                <w:p w14:paraId="182C6FD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p>
              </w:tc>
              <w:tc>
                <w:tcPr>
                  <w:tcW w:w="405" w:type="pct"/>
                  <w:tcBorders>
                    <w:top w:val="single" w:color="auto" w:sz="12" w:space="0"/>
                    <w:left w:val="single" w:color="auto" w:sz="4" w:space="0"/>
                    <w:bottom w:val="single" w:color="auto" w:sz="4" w:space="0"/>
                    <w:right w:val="single" w:color="auto" w:sz="4" w:space="0"/>
                  </w:tcBorders>
                  <w:noWrap w:val="0"/>
                  <w:vAlign w:val="center"/>
                </w:tcPr>
                <w:p w14:paraId="52FE2097">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40</w:t>
                  </w:r>
                </w:p>
              </w:tc>
              <w:tc>
                <w:tcPr>
                  <w:tcW w:w="407" w:type="pct"/>
                  <w:tcBorders>
                    <w:top w:val="single" w:color="auto" w:sz="12" w:space="0"/>
                    <w:left w:val="single" w:color="auto" w:sz="4" w:space="0"/>
                    <w:bottom w:val="single" w:color="auto" w:sz="4" w:space="0"/>
                    <w:right w:val="single" w:color="auto" w:sz="4" w:space="0"/>
                  </w:tcBorders>
                  <w:noWrap w:val="0"/>
                  <w:vAlign w:val="center"/>
                </w:tcPr>
                <w:p w14:paraId="0EF92C3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427" w:type="pct"/>
                  <w:tcBorders>
                    <w:top w:val="single" w:color="auto" w:sz="12" w:space="0"/>
                    <w:left w:val="single" w:color="auto" w:sz="4" w:space="0"/>
                    <w:bottom w:val="single" w:color="auto" w:sz="4" w:space="0"/>
                    <w:right w:val="single" w:color="auto" w:sz="4" w:space="0"/>
                  </w:tcBorders>
                  <w:noWrap w:val="0"/>
                  <w:vAlign w:val="center"/>
                </w:tcPr>
                <w:p w14:paraId="0513ECB8">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100</w:t>
                  </w:r>
                </w:p>
              </w:tc>
              <w:tc>
                <w:tcPr>
                  <w:tcW w:w="427" w:type="pct"/>
                  <w:tcBorders>
                    <w:top w:val="single" w:color="auto" w:sz="12" w:space="0"/>
                    <w:left w:val="single" w:color="auto" w:sz="4" w:space="0"/>
                    <w:bottom w:val="single" w:color="auto" w:sz="4" w:space="0"/>
                    <w:right w:val="single" w:color="auto" w:sz="4" w:space="0"/>
                  </w:tcBorders>
                  <w:noWrap w:val="0"/>
                  <w:vAlign w:val="center"/>
                </w:tcPr>
                <w:p w14:paraId="7D172D7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200</w:t>
                  </w:r>
                </w:p>
              </w:tc>
              <w:tc>
                <w:tcPr>
                  <w:tcW w:w="427" w:type="pct"/>
                  <w:tcBorders>
                    <w:top w:val="single" w:color="auto" w:sz="12" w:space="0"/>
                    <w:left w:val="single" w:color="auto" w:sz="4" w:space="0"/>
                    <w:bottom w:val="single" w:color="auto" w:sz="4" w:space="0"/>
                    <w:right w:val="single" w:color="auto" w:sz="4" w:space="0"/>
                  </w:tcBorders>
                  <w:noWrap w:val="0"/>
                  <w:vAlign w:val="center"/>
                </w:tcPr>
                <w:p w14:paraId="59BF963B">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300</w:t>
                  </w:r>
                </w:p>
              </w:tc>
              <w:tc>
                <w:tcPr>
                  <w:tcW w:w="426" w:type="pct"/>
                  <w:tcBorders>
                    <w:top w:val="single" w:color="auto" w:sz="12" w:space="0"/>
                    <w:left w:val="single" w:color="auto" w:sz="4" w:space="0"/>
                    <w:bottom w:val="single" w:color="auto" w:sz="4" w:space="0"/>
                    <w:right w:val="single" w:color="auto" w:sz="4" w:space="0"/>
                  </w:tcBorders>
                  <w:noWrap w:val="0"/>
                  <w:vAlign w:val="center"/>
                </w:tcPr>
                <w:p w14:paraId="2FB2F9CD">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400</w:t>
                  </w:r>
                </w:p>
              </w:tc>
              <w:tc>
                <w:tcPr>
                  <w:tcW w:w="427" w:type="pct"/>
                  <w:tcBorders>
                    <w:top w:val="single" w:color="auto" w:sz="12" w:space="0"/>
                    <w:left w:val="single" w:color="auto" w:sz="4" w:space="0"/>
                    <w:bottom w:val="single" w:color="auto" w:sz="4" w:space="0"/>
                    <w:right w:val="single" w:color="auto" w:sz="4" w:space="0"/>
                  </w:tcBorders>
                  <w:noWrap w:val="0"/>
                  <w:vAlign w:val="center"/>
                </w:tcPr>
                <w:p w14:paraId="2E0072F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500</w:t>
                  </w:r>
                </w:p>
              </w:tc>
              <w:tc>
                <w:tcPr>
                  <w:tcW w:w="423" w:type="pct"/>
                  <w:tcBorders>
                    <w:top w:val="single" w:color="auto" w:sz="12" w:space="0"/>
                    <w:left w:val="single" w:color="auto" w:sz="4" w:space="0"/>
                    <w:bottom w:val="single" w:color="auto" w:sz="4" w:space="0"/>
                    <w:right w:val="nil"/>
                  </w:tcBorders>
                  <w:noWrap w:val="0"/>
                  <w:vAlign w:val="center"/>
                </w:tcPr>
                <w:p w14:paraId="538D848B">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900</w:t>
                  </w:r>
                </w:p>
              </w:tc>
            </w:tr>
            <w:tr w14:paraId="3C13EB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4" w:space="0"/>
                    <w:left w:val="nil"/>
                    <w:bottom w:val="single" w:color="auto" w:sz="4" w:space="0"/>
                    <w:right w:val="single" w:color="auto" w:sz="4" w:space="0"/>
                  </w:tcBorders>
                  <w:noWrap w:val="0"/>
                  <w:vAlign w:val="center"/>
                </w:tcPr>
                <w:p w14:paraId="3D0829F1">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推土机</w:t>
                  </w:r>
                </w:p>
              </w:tc>
              <w:tc>
                <w:tcPr>
                  <w:tcW w:w="341" w:type="pct"/>
                  <w:tcBorders>
                    <w:top w:val="single" w:color="auto" w:sz="4" w:space="0"/>
                    <w:left w:val="single" w:color="auto" w:sz="4" w:space="0"/>
                    <w:bottom w:val="single" w:color="auto" w:sz="4" w:space="0"/>
                    <w:right w:val="single" w:color="auto" w:sz="4" w:space="0"/>
                  </w:tcBorders>
                  <w:noWrap w:val="0"/>
                  <w:vAlign w:val="center"/>
                </w:tcPr>
                <w:p w14:paraId="2CDF6A4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80</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15CED27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74</w:t>
                  </w:r>
                </w:p>
              </w:tc>
              <w:tc>
                <w:tcPr>
                  <w:tcW w:w="405" w:type="pct"/>
                  <w:tcBorders>
                    <w:top w:val="single" w:color="auto" w:sz="4" w:space="0"/>
                    <w:left w:val="single" w:color="auto" w:sz="4" w:space="0"/>
                    <w:bottom w:val="single" w:color="auto" w:sz="4" w:space="0"/>
                    <w:right w:val="single" w:color="auto" w:sz="4" w:space="0"/>
                  </w:tcBorders>
                  <w:noWrap w:val="0"/>
                  <w:vAlign w:val="center"/>
                </w:tcPr>
                <w:p w14:paraId="3187B79A">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68</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0BFF14F4">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64</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35CD59CF">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4666003A">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54</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6C54D81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51</w:t>
                  </w:r>
                </w:p>
              </w:tc>
              <w:tc>
                <w:tcPr>
                  <w:tcW w:w="426" w:type="pct"/>
                  <w:tcBorders>
                    <w:top w:val="single" w:color="auto" w:sz="4" w:space="0"/>
                    <w:left w:val="single" w:color="auto" w:sz="4" w:space="0"/>
                    <w:bottom w:val="single" w:color="auto" w:sz="4" w:space="0"/>
                    <w:right w:val="single" w:color="auto" w:sz="4" w:space="0"/>
                  </w:tcBorders>
                  <w:noWrap w:val="0"/>
                  <w:vAlign w:val="center"/>
                </w:tcPr>
                <w:p w14:paraId="4D04E37A">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48</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24B46C82">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46</w:t>
                  </w:r>
                </w:p>
              </w:tc>
              <w:tc>
                <w:tcPr>
                  <w:tcW w:w="423" w:type="pct"/>
                  <w:tcBorders>
                    <w:top w:val="single" w:color="auto" w:sz="4" w:space="0"/>
                    <w:left w:val="single" w:color="auto" w:sz="4" w:space="0"/>
                    <w:bottom w:val="single" w:color="auto" w:sz="4" w:space="0"/>
                    <w:right w:val="nil"/>
                  </w:tcBorders>
                  <w:noWrap w:val="0"/>
                  <w:vAlign w:val="center"/>
                </w:tcPr>
                <w:p w14:paraId="57681298">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41</w:t>
                  </w:r>
                </w:p>
              </w:tc>
            </w:tr>
            <w:tr w14:paraId="341C5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4" w:space="0"/>
                    <w:left w:val="nil"/>
                    <w:bottom w:val="single" w:color="auto" w:sz="4" w:space="0"/>
                    <w:right w:val="single" w:color="auto" w:sz="4" w:space="0"/>
                  </w:tcBorders>
                  <w:noWrap w:val="0"/>
                  <w:vAlign w:val="center"/>
                </w:tcPr>
                <w:p w14:paraId="5A7AAE18">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挖掘机</w:t>
                  </w:r>
                </w:p>
              </w:tc>
              <w:tc>
                <w:tcPr>
                  <w:tcW w:w="341" w:type="pct"/>
                  <w:tcBorders>
                    <w:top w:val="single" w:color="auto" w:sz="4" w:space="0"/>
                    <w:left w:val="single" w:color="auto" w:sz="4" w:space="0"/>
                    <w:bottom w:val="single" w:color="auto" w:sz="4" w:space="0"/>
                    <w:right w:val="single" w:color="auto" w:sz="4" w:space="0"/>
                  </w:tcBorders>
                  <w:noWrap w:val="0"/>
                  <w:vAlign w:val="center"/>
                </w:tcPr>
                <w:p w14:paraId="48F6A68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75</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5177B365">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72</w:t>
                  </w:r>
                </w:p>
              </w:tc>
              <w:tc>
                <w:tcPr>
                  <w:tcW w:w="405" w:type="pct"/>
                  <w:tcBorders>
                    <w:top w:val="single" w:color="auto" w:sz="4" w:space="0"/>
                    <w:left w:val="single" w:color="auto" w:sz="4" w:space="0"/>
                    <w:bottom w:val="single" w:color="auto" w:sz="4" w:space="0"/>
                    <w:right w:val="single" w:color="auto" w:sz="4" w:space="0"/>
                  </w:tcBorders>
                  <w:noWrap w:val="0"/>
                  <w:vAlign w:val="center"/>
                </w:tcPr>
                <w:p w14:paraId="45722A8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66</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7E41B9EF">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62</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30279C65">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58</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5FFE67C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52</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3132280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49</w:t>
                  </w:r>
                </w:p>
              </w:tc>
              <w:tc>
                <w:tcPr>
                  <w:tcW w:w="426" w:type="pct"/>
                  <w:tcBorders>
                    <w:top w:val="single" w:color="auto" w:sz="4" w:space="0"/>
                    <w:left w:val="single" w:color="auto" w:sz="4" w:space="0"/>
                    <w:bottom w:val="single" w:color="auto" w:sz="4" w:space="0"/>
                    <w:right w:val="single" w:color="auto" w:sz="4" w:space="0"/>
                  </w:tcBorders>
                  <w:noWrap w:val="0"/>
                  <w:vAlign w:val="center"/>
                </w:tcPr>
                <w:p w14:paraId="76C4B587">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49</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16EA200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44</w:t>
                  </w:r>
                </w:p>
              </w:tc>
              <w:tc>
                <w:tcPr>
                  <w:tcW w:w="423" w:type="pct"/>
                  <w:tcBorders>
                    <w:top w:val="single" w:color="auto" w:sz="4" w:space="0"/>
                    <w:left w:val="single" w:color="auto" w:sz="4" w:space="0"/>
                    <w:bottom w:val="single" w:color="auto" w:sz="4" w:space="0"/>
                    <w:right w:val="nil"/>
                  </w:tcBorders>
                  <w:noWrap w:val="0"/>
                  <w:vAlign w:val="center"/>
                </w:tcPr>
                <w:p w14:paraId="5A29A544">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39</w:t>
                  </w:r>
                </w:p>
              </w:tc>
            </w:tr>
            <w:tr w14:paraId="21593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4" w:space="0"/>
                    <w:left w:val="nil"/>
                    <w:bottom w:val="single" w:color="auto" w:sz="4" w:space="0"/>
                    <w:right w:val="single" w:color="auto" w:sz="4" w:space="0"/>
                  </w:tcBorders>
                  <w:noWrap w:val="0"/>
                  <w:vAlign w:val="center"/>
                </w:tcPr>
                <w:p w14:paraId="4546F5D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自卸汽车</w:t>
                  </w:r>
                </w:p>
              </w:tc>
              <w:tc>
                <w:tcPr>
                  <w:tcW w:w="341" w:type="pct"/>
                  <w:tcBorders>
                    <w:top w:val="single" w:color="auto" w:sz="4" w:space="0"/>
                    <w:left w:val="single" w:color="auto" w:sz="4" w:space="0"/>
                    <w:bottom w:val="single" w:color="auto" w:sz="4" w:space="0"/>
                    <w:right w:val="single" w:color="auto" w:sz="4" w:space="0"/>
                  </w:tcBorders>
                  <w:noWrap w:val="0"/>
                  <w:vAlign w:val="center"/>
                </w:tcPr>
                <w:p w14:paraId="15D0133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89</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74174B43">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77</w:t>
                  </w:r>
                </w:p>
              </w:tc>
              <w:tc>
                <w:tcPr>
                  <w:tcW w:w="405" w:type="pct"/>
                  <w:tcBorders>
                    <w:top w:val="single" w:color="auto" w:sz="4" w:space="0"/>
                    <w:left w:val="single" w:color="auto" w:sz="4" w:space="0"/>
                    <w:bottom w:val="single" w:color="auto" w:sz="4" w:space="0"/>
                    <w:right w:val="single" w:color="auto" w:sz="4" w:space="0"/>
                  </w:tcBorders>
                  <w:noWrap w:val="0"/>
                  <w:vAlign w:val="center"/>
                </w:tcPr>
                <w:p w14:paraId="6BE8495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71</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08A0CD4B">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67</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586F0D49">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63</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6519716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59</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4C7ADEA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54</w:t>
                  </w:r>
                </w:p>
              </w:tc>
              <w:tc>
                <w:tcPr>
                  <w:tcW w:w="426" w:type="pct"/>
                  <w:tcBorders>
                    <w:top w:val="single" w:color="auto" w:sz="4" w:space="0"/>
                    <w:left w:val="single" w:color="auto" w:sz="4" w:space="0"/>
                    <w:bottom w:val="single" w:color="auto" w:sz="4" w:space="0"/>
                    <w:right w:val="single" w:color="auto" w:sz="4" w:space="0"/>
                  </w:tcBorders>
                  <w:noWrap w:val="0"/>
                  <w:vAlign w:val="center"/>
                </w:tcPr>
                <w:p w14:paraId="3ABE264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51</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6E72C209">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49</w:t>
                  </w:r>
                </w:p>
              </w:tc>
              <w:tc>
                <w:tcPr>
                  <w:tcW w:w="423" w:type="pct"/>
                  <w:tcBorders>
                    <w:top w:val="single" w:color="auto" w:sz="4" w:space="0"/>
                    <w:left w:val="single" w:color="auto" w:sz="4" w:space="0"/>
                    <w:bottom w:val="single" w:color="auto" w:sz="4" w:space="0"/>
                    <w:right w:val="nil"/>
                  </w:tcBorders>
                  <w:noWrap w:val="0"/>
                  <w:vAlign w:val="center"/>
                </w:tcPr>
                <w:p w14:paraId="07D193DD">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44</w:t>
                  </w:r>
                </w:p>
              </w:tc>
            </w:tr>
            <w:tr w14:paraId="0F5DF8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4" w:space="0"/>
                    <w:left w:val="nil"/>
                    <w:bottom w:val="single" w:color="auto" w:sz="12" w:space="0"/>
                    <w:right w:val="single" w:color="auto" w:sz="4" w:space="0"/>
                  </w:tcBorders>
                  <w:noWrap w:val="0"/>
                  <w:vAlign w:val="center"/>
                </w:tcPr>
                <w:p w14:paraId="44A124B2">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多台设备</w:t>
                  </w:r>
                </w:p>
                <w:p w14:paraId="0D1D57B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同时施工</w:t>
                  </w:r>
                </w:p>
              </w:tc>
              <w:tc>
                <w:tcPr>
                  <w:tcW w:w="341" w:type="pct"/>
                  <w:tcBorders>
                    <w:top w:val="single" w:color="auto" w:sz="4" w:space="0"/>
                    <w:left w:val="single" w:color="auto" w:sz="4" w:space="0"/>
                    <w:bottom w:val="single" w:color="auto" w:sz="12" w:space="0"/>
                    <w:right w:val="single" w:color="auto" w:sz="4" w:space="0"/>
                  </w:tcBorders>
                  <w:noWrap w:val="0"/>
                  <w:vAlign w:val="center"/>
                </w:tcPr>
                <w:p w14:paraId="3A17A4A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90</w:t>
                  </w:r>
                </w:p>
              </w:tc>
              <w:tc>
                <w:tcPr>
                  <w:tcW w:w="407" w:type="pct"/>
                  <w:tcBorders>
                    <w:top w:val="single" w:color="auto" w:sz="4" w:space="0"/>
                    <w:left w:val="single" w:color="auto" w:sz="4" w:space="0"/>
                    <w:bottom w:val="single" w:color="auto" w:sz="12" w:space="0"/>
                    <w:right w:val="single" w:color="auto" w:sz="4" w:space="0"/>
                  </w:tcBorders>
                  <w:noWrap w:val="0"/>
                  <w:vAlign w:val="center"/>
                </w:tcPr>
                <w:p w14:paraId="2794D8EB">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79</w:t>
                  </w:r>
                </w:p>
              </w:tc>
              <w:tc>
                <w:tcPr>
                  <w:tcW w:w="405" w:type="pct"/>
                  <w:tcBorders>
                    <w:top w:val="single" w:color="auto" w:sz="4" w:space="0"/>
                    <w:left w:val="single" w:color="auto" w:sz="4" w:space="0"/>
                    <w:bottom w:val="single" w:color="auto" w:sz="12" w:space="0"/>
                    <w:right w:val="single" w:color="auto" w:sz="4" w:space="0"/>
                  </w:tcBorders>
                  <w:noWrap w:val="0"/>
                  <w:vAlign w:val="center"/>
                </w:tcPr>
                <w:p w14:paraId="3BFF69B5">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73</w:t>
                  </w:r>
                </w:p>
              </w:tc>
              <w:tc>
                <w:tcPr>
                  <w:tcW w:w="407" w:type="pct"/>
                  <w:tcBorders>
                    <w:top w:val="single" w:color="auto" w:sz="4" w:space="0"/>
                    <w:left w:val="single" w:color="auto" w:sz="4" w:space="0"/>
                    <w:bottom w:val="single" w:color="auto" w:sz="12" w:space="0"/>
                    <w:right w:val="single" w:color="auto" w:sz="4" w:space="0"/>
                  </w:tcBorders>
                  <w:noWrap w:val="0"/>
                  <w:vAlign w:val="center"/>
                </w:tcPr>
                <w:p w14:paraId="3027311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69</w:t>
                  </w:r>
                </w:p>
              </w:tc>
              <w:tc>
                <w:tcPr>
                  <w:tcW w:w="427" w:type="pct"/>
                  <w:tcBorders>
                    <w:top w:val="single" w:color="auto" w:sz="4" w:space="0"/>
                    <w:left w:val="single" w:color="auto" w:sz="4" w:space="0"/>
                    <w:bottom w:val="single" w:color="auto" w:sz="12" w:space="0"/>
                    <w:right w:val="single" w:color="auto" w:sz="4" w:space="0"/>
                  </w:tcBorders>
                  <w:noWrap w:val="0"/>
                  <w:vAlign w:val="center"/>
                </w:tcPr>
                <w:p w14:paraId="7F51E279">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66</w:t>
                  </w:r>
                </w:p>
              </w:tc>
              <w:tc>
                <w:tcPr>
                  <w:tcW w:w="427" w:type="pct"/>
                  <w:tcBorders>
                    <w:top w:val="single" w:color="auto" w:sz="4" w:space="0"/>
                    <w:left w:val="single" w:color="auto" w:sz="4" w:space="0"/>
                    <w:bottom w:val="single" w:color="auto" w:sz="12" w:space="0"/>
                    <w:right w:val="single" w:color="auto" w:sz="4" w:space="0"/>
                  </w:tcBorders>
                  <w:noWrap w:val="0"/>
                  <w:vAlign w:val="center"/>
                </w:tcPr>
                <w:p w14:paraId="12A149C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427" w:type="pct"/>
                  <w:tcBorders>
                    <w:top w:val="single" w:color="auto" w:sz="4" w:space="0"/>
                    <w:left w:val="single" w:color="auto" w:sz="4" w:space="0"/>
                    <w:bottom w:val="single" w:color="auto" w:sz="12" w:space="0"/>
                    <w:right w:val="single" w:color="auto" w:sz="4" w:space="0"/>
                  </w:tcBorders>
                  <w:noWrap w:val="0"/>
                  <w:vAlign w:val="center"/>
                </w:tcPr>
                <w:p w14:paraId="736E869D">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55</w:t>
                  </w:r>
                </w:p>
              </w:tc>
              <w:tc>
                <w:tcPr>
                  <w:tcW w:w="426" w:type="pct"/>
                  <w:tcBorders>
                    <w:top w:val="single" w:color="auto" w:sz="4" w:space="0"/>
                    <w:left w:val="single" w:color="auto" w:sz="4" w:space="0"/>
                    <w:bottom w:val="single" w:color="auto" w:sz="12" w:space="0"/>
                    <w:right w:val="single" w:color="auto" w:sz="4" w:space="0"/>
                  </w:tcBorders>
                  <w:noWrap w:val="0"/>
                  <w:vAlign w:val="center"/>
                </w:tcPr>
                <w:p w14:paraId="56C51AF5">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53</w:t>
                  </w:r>
                </w:p>
              </w:tc>
              <w:tc>
                <w:tcPr>
                  <w:tcW w:w="427" w:type="pct"/>
                  <w:tcBorders>
                    <w:top w:val="single" w:color="auto" w:sz="4" w:space="0"/>
                    <w:left w:val="single" w:color="auto" w:sz="4" w:space="0"/>
                    <w:bottom w:val="single" w:color="auto" w:sz="12" w:space="0"/>
                    <w:right w:val="single" w:color="auto" w:sz="4" w:space="0"/>
                  </w:tcBorders>
                  <w:noWrap w:val="0"/>
                  <w:vAlign w:val="center"/>
                </w:tcPr>
                <w:p w14:paraId="4CDB6A3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51</w:t>
                  </w:r>
                </w:p>
              </w:tc>
              <w:tc>
                <w:tcPr>
                  <w:tcW w:w="423" w:type="pct"/>
                  <w:tcBorders>
                    <w:top w:val="single" w:color="auto" w:sz="4" w:space="0"/>
                    <w:left w:val="single" w:color="auto" w:sz="4" w:space="0"/>
                    <w:bottom w:val="single" w:color="auto" w:sz="12" w:space="0"/>
                    <w:right w:val="nil"/>
                  </w:tcBorders>
                  <w:noWrap w:val="0"/>
                  <w:vAlign w:val="center"/>
                </w:tcPr>
                <w:p w14:paraId="39CE8F8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45</w:t>
                  </w:r>
                </w:p>
              </w:tc>
            </w:tr>
          </w:tbl>
          <w:p w14:paraId="7B217FA4">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从上表可以看出，单台机械设备在50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外产生的声级值均能满足施工场界噪声昼间标准要求，夜间场界施工噪声达标距离约280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。道路施工现场往往是多种施工机械同时进行作业，施工噪声的达标距离约昼间60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，夜间300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w:t>
            </w:r>
          </w:p>
          <w:p w14:paraId="69F6FAC7">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本次评价要求采用低噪声施工设备，设备安装消声减振措施，夜间（22</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00</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6</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00）禁止施工作业，60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处满足</w:t>
            </w:r>
            <w:r>
              <w:rPr>
                <w:rFonts w:hint="default" w:ascii="Times New Roman" w:hAnsi="Times New Roman" w:cs="Times New Roman"/>
                <w:bCs/>
                <w:color w:val="auto"/>
                <w:sz w:val="24"/>
                <w:highlight w:val="none"/>
                <w:lang w:eastAsia="zh-CN"/>
              </w:rPr>
              <w:t>《建筑施工噪声排放标准》（GB12523—2025）</w:t>
            </w:r>
            <w:r>
              <w:rPr>
                <w:rFonts w:hint="default" w:ascii="Times New Roman" w:hAnsi="Times New Roman" w:cs="Times New Roman"/>
                <w:bCs/>
                <w:color w:val="auto"/>
                <w:sz w:val="24"/>
                <w:highlight w:val="none"/>
              </w:rPr>
              <w:t>昼间70dB</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A</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限值要求</w:t>
            </w:r>
            <w:r>
              <w:rPr>
                <w:rFonts w:hint="default" w:ascii="Times New Roman" w:hAnsi="Times New Roman" w:cs="Times New Roman"/>
                <w:bCs/>
                <w:color w:val="auto"/>
                <w:sz w:val="24"/>
                <w:highlight w:val="none"/>
              </w:rPr>
              <w:t>。</w:t>
            </w:r>
          </w:p>
          <w:p w14:paraId="0FDC4EE9">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工程施工时噪声对周边环境及居民点的影响仅在施工期，夜间禁止施工，施工机械300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rPr>
              <w:t>外敏感点噪声可满足《声环境质量标准》（GB3096</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2008）1类标准。</w:t>
            </w:r>
            <w:r>
              <w:rPr>
                <w:rFonts w:hint="default" w:ascii="Times New Roman" w:hAnsi="Times New Roman" w:cs="Times New Roman"/>
                <w:color w:val="auto"/>
                <w:sz w:val="24"/>
                <w:szCs w:val="24"/>
                <w:highlight w:val="none"/>
                <w:lang w:eastAsia="zh-CN"/>
              </w:rPr>
              <w:t>实际施工中，往往是各工序分别施工，多台设备同时运行的状况很少，</w:t>
            </w:r>
            <w:r>
              <w:rPr>
                <w:rFonts w:hint="default" w:ascii="Times New Roman" w:hAnsi="Times New Roman" w:cs="Times New Roman"/>
                <w:color w:val="auto"/>
                <w:sz w:val="24"/>
                <w:szCs w:val="24"/>
                <w:highlight w:val="none"/>
              </w:rPr>
              <w:t>距离本项目较近的居民点</w:t>
            </w:r>
            <w:r>
              <w:rPr>
                <w:rFonts w:hint="default" w:ascii="Times New Roman" w:hAnsi="Times New Roman" w:cs="Times New Roman"/>
                <w:color w:val="auto"/>
                <w:sz w:val="24"/>
                <w:szCs w:val="24"/>
                <w:highlight w:val="none"/>
                <w:lang w:val="en-US" w:eastAsia="zh-CN"/>
              </w:rPr>
              <w:t>超过200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rPr>
              <w:t>，对设备定期保养、严格操作规范且尽可能采取隔音、</w:t>
            </w:r>
            <w:r>
              <w:rPr>
                <w:rFonts w:hint="default" w:ascii="Times New Roman" w:hAnsi="Times New Roman" w:cs="Times New Roman"/>
                <w:color w:val="auto"/>
                <w:sz w:val="24"/>
                <w:szCs w:val="24"/>
                <w:highlight w:val="none"/>
                <w:lang w:eastAsia="zh-CN"/>
              </w:rPr>
              <w:t>减振</w:t>
            </w:r>
            <w:r>
              <w:rPr>
                <w:rFonts w:hint="default" w:ascii="Times New Roman" w:hAnsi="Times New Roman" w:cs="Times New Roman"/>
                <w:color w:val="auto"/>
                <w:sz w:val="24"/>
                <w:szCs w:val="24"/>
                <w:highlight w:val="none"/>
              </w:rPr>
              <w:t>、消声等措施后，可使噪声下降</w:t>
            </w:r>
            <w:r>
              <w:rPr>
                <w:rFonts w:hint="default" w:ascii="Times New Roman" w:hAnsi="Times New Roman" w:cs="Times New Roman"/>
                <w:color w:val="auto"/>
                <w:sz w:val="24"/>
                <w:szCs w:val="24"/>
                <w:highlight w:val="none"/>
                <w:lang w:val="en-US" w:eastAsia="zh-CN"/>
              </w:rPr>
              <w:t>20</w:t>
            </w:r>
            <w:r>
              <w:rPr>
                <w:rFonts w:hint="default" w:ascii="Times New Roman" w:hAnsi="Times New Roman" w:cs="Times New Roman"/>
                <w:color w:val="auto"/>
                <w:sz w:val="24"/>
                <w:szCs w:val="24"/>
                <w:highlight w:val="none"/>
              </w:rPr>
              <w:t>dB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左右，</w:t>
            </w:r>
            <w:r>
              <w:rPr>
                <w:rFonts w:hint="default" w:ascii="Times New Roman" w:hAnsi="Times New Roman" w:cs="Times New Roman"/>
                <w:color w:val="auto"/>
                <w:sz w:val="24"/>
                <w:szCs w:val="24"/>
                <w:highlight w:val="none"/>
                <w:lang w:val="en-US" w:eastAsia="zh-CN"/>
              </w:rPr>
              <w:t>机械噪声对</w:t>
            </w:r>
            <w:r>
              <w:rPr>
                <w:rFonts w:hint="default" w:ascii="Times New Roman" w:hAnsi="Times New Roman" w:cs="Times New Roman"/>
                <w:color w:val="auto"/>
                <w:sz w:val="24"/>
                <w:szCs w:val="24"/>
                <w:highlight w:val="none"/>
              </w:rPr>
              <w:t>最近居民处（</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rPr>
              <w:t>）的</w:t>
            </w:r>
            <w:r>
              <w:rPr>
                <w:rFonts w:hint="default" w:ascii="Times New Roman" w:hAnsi="Times New Roman" w:cs="Times New Roman"/>
                <w:color w:val="auto"/>
                <w:sz w:val="24"/>
                <w:szCs w:val="24"/>
                <w:highlight w:val="none"/>
                <w:lang w:val="en-US" w:eastAsia="zh-CN"/>
              </w:rPr>
              <w:t>贡献值为50dB（A），</w:t>
            </w:r>
            <w:r>
              <w:rPr>
                <w:rFonts w:hint="default" w:ascii="Times New Roman" w:hAnsi="Times New Roman" w:cs="Times New Roman"/>
                <w:color w:val="auto"/>
                <w:sz w:val="24"/>
                <w:szCs w:val="24"/>
                <w:highlight w:val="none"/>
              </w:rPr>
              <w:t>可满足《声环境质量标准》（GB3096</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2008）1类标准</w:t>
            </w:r>
            <w:r>
              <w:rPr>
                <w:rFonts w:hint="default" w:ascii="Times New Roman" w:hAnsi="Times New Roman" w:eastAsia="宋体" w:cs="Times New Roman"/>
                <w:color w:val="auto"/>
                <w:sz w:val="24"/>
                <w:szCs w:val="24"/>
                <w:highlight w:val="none"/>
              </w:rPr>
              <w:t>。</w:t>
            </w:r>
          </w:p>
          <w:p w14:paraId="2EAE26BC">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施工机</w:t>
            </w:r>
            <w:r>
              <w:rPr>
                <w:rFonts w:hint="default" w:ascii="Times New Roman" w:hAnsi="Times New Roman" w:eastAsia="宋体" w:cs="Times New Roman"/>
                <w:b/>
                <w:bCs/>
                <w:color w:val="auto"/>
                <w:sz w:val="24"/>
                <w:highlight w:val="none"/>
                <w:lang w:val="en-US" w:eastAsia="zh-CN"/>
              </w:rPr>
              <w:t>新建维修道路噪声</w:t>
            </w:r>
            <w:r>
              <w:rPr>
                <w:rFonts w:hint="default" w:ascii="Times New Roman" w:hAnsi="Times New Roman" w:eastAsia="宋体" w:cs="Times New Roman"/>
                <w:b/>
                <w:bCs/>
                <w:color w:val="auto"/>
                <w:sz w:val="24"/>
                <w:highlight w:val="none"/>
              </w:rPr>
              <w:t>分析</w:t>
            </w:r>
          </w:p>
          <w:p w14:paraId="6648BD2B">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施工车辆在临时道路行驶产生交通噪声，噪声源强较低，仅对道路沿线近距离产生短期、间歇性影响，无长期噪声影响，施工结束后影响消除</w:t>
            </w:r>
            <w:r>
              <w:rPr>
                <w:rFonts w:hint="default" w:ascii="Times New Roman" w:hAnsi="Times New Roman" w:eastAsia="宋体" w:cs="Times New Roman"/>
                <w:color w:val="auto"/>
                <w:sz w:val="24"/>
                <w:highlight w:val="none"/>
                <w:lang w:eastAsia="zh-CN"/>
              </w:rPr>
              <w:t>，合理安排运输时间，禁止夜间运输；车辆减速慢行、禁止鸣笛，降低噪声影响。</w:t>
            </w:r>
          </w:p>
          <w:p w14:paraId="4077A054">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五、固体废物对环境的影响</w:t>
            </w:r>
          </w:p>
          <w:p w14:paraId="1FA12120">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施工期固体废物主要包括建筑垃圾、生活垃圾</w:t>
            </w:r>
            <w:r>
              <w:rPr>
                <w:rFonts w:hint="default" w:ascii="Times New Roman" w:hAnsi="Times New Roman" w:cs="Times New Roman"/>
                <w:color w:val="auto"/>
                <w:highlight w:val="none"/>
                <w:lang w:eastAsia="zh-CN"/>
              </w:rPr>
              <w:t>、沉淀池少量污泥</w:t>
            </w:r>
            <w:r>
              <w:rPr>
                <w:rFonts w:hint="default" w:ascii="Times New Roman" w:hAnsi="Times New Roman" w:cs="Times New Roman"/>
                <w:color w:val="auto"/>
                <w:highlight w:val="none"/>
              </w:rPr>
              <w:t>及弃土。</w:t>
            </w:r>
          </w:p>
          <w:p w14:paraId="09749C68">
            <w:pPr>
              <w:pStyle w:val="50"/>
              <w:keepNext w:val="0"/>
              <w:keepLines w:val="0"/>
              <w:pageBreakBefore w:val="0"/>
              <w:widowControl w:val="0"/>
              <w:numPr>
                <w:ilvl w:val="0"/>
                <w:numId w:val="0"/>
              </w:numPr>
              <w:kinsoku/>
              <w:wordWrap/>
              <w:overflowPunct/>
              <w:topLinePunct w:val="0"/>
              <w:bidi w:val="0"/>
              <w:spacing w:line="500" w:lineRule="exact"/>
              <w:ind w:firstLine="482"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eastAsia="宋体" w:cs="Times New Roman"/>
                <w:b/>
                <w:bCs/>
                <w:color w:val="auto"/>
                <w:kern w:val="0"/>
                <w:sz w:val="24"/>
                <w:szCs w:val="24"/>
                <w:highlight w:val="none"/>
                <w:lang w:val="en-US" w:eastAsia="zh-CN" w:bidi="ar-SA"/>
              </w:rPr>
              <w:t>1、</w:t>
            </w:r>
            <w:r>
              <w:rPr>
                <w:rFonts w:hint="default" w:ascii="Times New Roman" w:hAnsi="Times New Roman" w:cs="Times New Roman"/>
                <w:b/>
                <w:bCs/>
                <w:color w:val="auto"/>
                <w:highlight w:val="none"/>
                <w:lang w:val="en-US" w:eastAsia="zh-CN"/>
              </w:rPr>
              <w:t>弃渣</w:t>
            </w:r>
          </w:p>
          <w:p w14:paraId="09C93DD5">
            <w:pPr>
              <w:pStyle w:val="50"/>
              <w:keepNext w:val="0"/>
              <w:keepLines w:val="0"/>
              <w:pageBreakBefore w:val="0"/>
              <w:widowControl w:val="0"/>
              <w:numPr>
                <w:ilvl w:val="0"/>
                <w:numId w:val="0"/>
              </w:numPr>
              <w:kinsoku/>
              <w:wordWrap/>
              <w:overflowPunct/>
              <w:topLinePunct w:val="0"/>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本工程弃渣主要来源于护岸</w:t>
            </w:r>
            <w:r>
              <w:rPr>
                <w:rFonts w:hint="default" w:ascii="Times New Roman" w:hAnsi="Times New Roman" w:cs="Times New Roman"/>
                <w:color w:val="auto"/>
                <w:highlight w:val="none"/>
                <w:lang w:val="en-US" w:eastAsia="zh-CN"/>
              </w:rPr>
              <w:t>和防洪墙基础</w:t>
            </w:r>
            <w:r>
              <w:rPr>
                <w:rFonts w:hint="default" w:ascii="Times New Roman" w:hAnsi="Times New Roman" w:cs="Times New Roman"/>
                <w:color w:val="auto"/>
                <w:highlight w:val="none"/>
              </w:rPr>
              <w:t>开挖产生的无法回填的土方</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产生量约为10977m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固体废物代码为</w:t>
            </w:r>
            <w:r>
              <w:rPr>
                <w:rFonts w:hint="default" w:ascii="Times New Roman" w:hAnsi="Times New Roman" w:cs="Times New Roman"/>
                <w:color w:val="auto"/>
                <w:highlight w:val="none"/>
                <w:lang w:val="en-US" w:eastAsia="zh-CN"/>
              </w:rPr>
              <w:t>900—001—S70，</w:t>
            </w:r>
            <w:r>
              <w:rPr>
                <w:rFonts w:hint="default" w:ascii="Times New Roman" w:hAnsi="Times New Roman" w:cs="Times New Roman"/>
                <w:color w:val="auto"/>
                <w:highlight w:val="none"/>
              </w:rPr>
              <w:t>施工期间将开挖土方堆置在</w:t>
            </w:r>
            <w:r>
              <w:rPr>
                <w:rFonts w:hint="default" w:ascii="Times New Roman" w:hAnsi="Times New Roman" w:cs="Times New Roman"/>
                <w:color w:val="auto"/>
                <w:highlight w:val="none"/>
                <w:lang w:val="en-US" w:eastAsia="zh-CN"/>
              </w:rPr>
              <w:t>主体工程占地范围</w:t>
            </w:r>
            <w:r>
              <w:rPr>
                <w:rFonts w:hint="default" w:ascii="Times New Roman" w:hAnsi="Times New Roman" w:cs="Times New Roman"/>
                <w:color w:val="auto"/>
                <w:highlight w:val="none"/>
              </w:rPr>
              <w:t>内，</w:t>
            </w:r>
            <w:r>
              <w:rPr>
                <w:rFonts w:hint="default" w:ascii="Times New Roman" w:hAnsi="Times New Roman" w:cs="Times New Roman"/>
                <w:color w:val="auto"/>
                <w:highlight w:val="none"/>
                <w:lang w:val="en-US" w:eastAsia="zh-CN"/>
              </w:rPr>
              <w:t>不增加临时占地，</w:t>
            </w:r>
            <w:r>
              <w:rPr>
                <w:rFonts w:hint="default" w:ascii="Times New Roman" w:hAnsi="Times New Roman" w:cs="Times New Roman"/>
                <w:color w:val="auto"/>
                <w:highlight w:val="none"/>
              </w:rPr>
              <w:t>土方临时堆置时加强防护，坡脚用编织袋填筑土埂压盖并拦挡，表面密目网覆盖，施工结束后</w:t>
            </w:r>
            <w:r>
              <w:rPr>
                <w:rFonts w:hint="default" w:ascii="Times New Roman" w:hAnsi="Times New Roman" w:cs="Times New Roman"/>
                <w:color w:val="auto"/>
                <w:highlight w:val="none"/>
                <w:lang w:val="en-US" w:eastAsia="zh-CN"/>
              </w:rPr>
              <w:t>弃土弃方就近填塘</w:t>
            </w:r>
            <w:r>
              <w:rPr>
                <w:rFonts w:hint="default" w:ascii="Times New Roman" w:hAnsi="Times New Roman" w:cs="Times New Roman"/>
                <w:color w:val="auto"/>
                <w:highlight w:val="none"/>
              </w:rPr>
              <w:t>。</w:t>
            </w:r>
          </w:p>
          <w:p w14:paraId="462ADBDA">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2、表土</w:t>
            </w:r>
          </w:p>
          <w:p w14:paraId="34DE1E89">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表土57691</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临时堆存在表土暂存场，全部由庆安县庆禾农业发展有限公司外运并进行综合利用，重点用于土地改良。</w:t>
            </w:r>
          </w:p>
          <w:p w14:paraId="7BAB0075">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3、生活垃圾</w:t>
            </w:r>
          </w:p>
          <w:p w14:paraId="2800378D">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施工人员按高峰阶段计算，需劳动力人数</w:t>
            </w:r>
            <w:r>
              <w:rPr>
                <w:rFonts w:hint="default" w:ascii="Times New Roman" w:hAnsi="Times New Roman" w:cs="Times New Roman"/>
                <w:color w:val="auto"/>
                <w:highlight w:val="none"/>
                <w:lang w:val="en-US" w:eastAsia="zh-CN"/>
              </w:rPr>
              <w:t>736</w:t>
            </w:r>
            <w:r>
              <w:rPr>
                <w:rFonts w:hint="default" w:ascii="Times New Roman" w:hAnsi="Times New Roman" w:cs="Times New Roman"/>
                <w:color w:val="auto"/>
                <w:highlight w:val="none"/>
              </w:rPr>
              <w:t>人，集中在</w:t>
            </w:r>
            <w:r>
              <w:rPr>
                <w:rFonts w:hint="default" w:ascii="Times New Roman" w:hAnsi="Times New Roman" w:cs="Times New Roman"/>
                <w:color w:val="auto"/>
                <w:highlight w:val="none"/>
                <w:lang w:val="en-US" w:eastAsia="zh-CN"/>
              </w:rPr>
              <w:t>5处</w:t>
            </w:r>
            <w:r>
              <w:rPr>
                <w:rFonts w:hint="default" w:ascii="Times New Roman" w:hAnsi="Times New Roman" w:cs="Times New Roman"/>
                <w:color w:val="auto"/>
                <w:highlight w:val="none"/>
              </w:rPr>
              <w:t>生活区，施工人员生活垃圾产生量</w:t>
            </w:r>
            <w:r>
              <w:rPr>
                <w:rFonts w:hint="default" w:ascii="Times New Roman" w:hAnsi="Times New Roman" w:cs="Times New Roman"/>
                <w:color w:val="auto"/>
                <w:highlight w:val="none"/>
                <w:lang w:val="en-US" w:eastAsia="zh-CN"/>
              </w:rPr>
              <w:t>按每人每天1kg核算，生活垃圾产生量合计</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736</w:t>
            </w:r>
            <w:r>
              <w:rPr>
                <w:rFonts w:hint="default" w:ascii="Times New Roman" w:hAnsi="Times New Roman" w:cs="Times New Roman"/>
                <w:color w:val="auto"/>
                <w:highlight w:val="none"/>
              </w:rPr>
              <w:t>kg/d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每处147.2kg/d</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固体废物代码为</w:t>
            </w:r>
            <w:r>
              <w:rPr>
                <w:rFonts w:hint="default" w:ascii="Times New Roman" w:hAnsi="Times New Roman" w:cs="Times New Roman"/>
                <w:color w:val="auto"/>
                <w:highlight w:val="none"/>
                <w:lang w:val="en-US" w:eastAsia="zh-CN"/>
              </w:rPr>
              <w:t>900—099—S64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生活垃圾以有机物为主，垃圾腐败变质，是传播疾病的媒介，为疾病的发生和流行提供了条件，若不及时清运，将影响环境卫生和</w:t>
            </w:r>
            <w:r>
              <w:rPr>
                <w:rFonts w:hint="default" w:ascii="Times New Roman" w:hAnsi="Times New Roman" w:cs="Times New Roman"/>
                <w:color w:val="auto"/>
                <w:highlight w:val="none"/>
                <w:lang w:eastAsia="zh-CN"/>
              </w:rPr>
              <w:t>感官</w:t>
            </w:r>
            <w:r>
              <w:rPr>
                <w:rFonts w:hint="default" w:ascii="Times New Roman" w:hAnsi="Times New Roman" w:cs="Times New Roman"/>
                <w:color w:val="auto"/>
                <w:highlight w:val="none"/>
              </w:rPr>
              <w:t>，对施工人员健康造成危害。</w:t>
            </w:r>
            <w:r>
              <w:rPr>
                <w:rFonts w:hint="default" w:ascii="Times New Roman" w:hAnsi="Times New Roman" w:cs="Times New Roman"/>
                <w:color w:val="auto"/>
                <w:highlight w:val="none"/>
                <w:lang w:val="en-US" w:eastAsia="zh-CN"/>
              </w:rPr>
              <w:t>每个施工生产</w:t>
            </w:r>
            <w:r>
              <w:rPr>
                <w:rFonts w:hint="default" w:ascii="Times New Roman" w:hAnsi="Times New Roman" w:cs="Times New Roman"/>
                <w:color w:val="auto"/>
                <w:highlight w:val="none"/>
              </w:rPr>
              <w:t>生活区布设2个垃圾箱，运输垃圾的设施要</w:t>
            </w:r>
            <w:r>
              <w:rPr>
                <w:rFonts w:hint="default" w:ascii="Times New Roman" w:hAnsi="Times New Roman" w:cs="Times New Roman"/>
                <w:color w:val="auto"/>
                <w:highlight w:val="none"/>
                <w:lang w:eastAsia="zh-CN"/>
              </w:rPr>
              <w:t>密闭</w:t>
            </w:r>
            <w:r>
              <w:rPr>
                <w:rFonts w:hint="default" w:ascii="Times New Roman" w:hAnsi="Times New Roman" w:cs="Times New Roman"/>
                <w:color w:val="auto"/>
                <w:highlight w:val="none"/>
              </w:rPr>
              <w:t>，以免对环境造成二次污染，定期运往指定地点统一进行集中处理。</w:t>
            </w:r>
          </w:p>
          <w:p w14:paraId="6DD74C90">
            <w:pPr>
              <w:pStyle w:val="50"/>
              <w:keepNext w:val="0"/>
              <w:keepLines w:val="0"/>
              <w:pageBreakBefore w:val="0"/>
              <w:widowControl w:val="0"/>
              <w:numPr>
                <w:ilvl w:val="0"/>
                <w:numId w:val="0"/>
              </w:numPr>
              <w:kinsoku/>
              <w:wordWrap/>
              <w:overflowPunct/>
              <w:topLinePunct w:val="0"/>
              <w:bidi w:val="0"/>
              <w:spacing w:line="500" w:lineRule="exact"/>
              <w:ind w:left="0" w:leftChars="0" w:firstLine="482"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kern w:val="0"/>
                <w:sz w:val="24"/>
                <w:szCs w:val="24"/>
                <w:highlight w:val="none"/>
                <w:lang w:val="en-US" w:eastAsia="zh-CN" w:bidi="ar-SA"/>
              </w:rPr>
              <w:t>4</w:t>
            </w:r>
            <w:r>
              <w:rPr>
                <w:rFonts w:hint="default" w:ascii="Times New Roman" w:hAnsi="Times New Roman" w:eastAsia="宋体" w:cs="Times New Roman"/>
                <w:b/>
                <w:bCs/>
                <w:color w:val="auto"/>
                <w:kern w:val="0"/>
                <w:sz w:val="24"/>
                <w:szCs w:val="24"/>
                <w:highlight w:val="none"/>
                <w:lang w:val="en-US" w:eastAsia="zh-CN" w:bidi="ar-SA"/>
              </w:rPr>
              <w:t>、</w:t>
            </w:r>
            <w:r>
              <w:rPr>
                <w:rFonts w:hint="default" w:ascii="Times New Roman" w:hAnsi="Times New Roman" w:cs="Times New Roman"/>
                <w:b/>
                <w:bCs/>
                <w:color w:val="auto"/>
                <w:highlight w:val="none"/>
                <w:lang w:val="en-US" w:eastAsia="zh-CN"/>
              </w:rPr>
              <w:t>沉淀池污泥</w:t>
            </w:r>
          </w:p>
          <w:p w14:paraId="764FFE5C">
            <w:pPr>
              <w:pStyle w:val="50"/>
              <w:keepNext w:val="0"/>
              <w:keepLines w:val="0"/>
              <w:pageBreakBefore w:val="0"/>
              <w:widowControl w:val="0"/>
              <w:numPr>
                <w:ilvl w:val="0"/>
                <w:numId w:val="0"/>
              </w:numPr>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沉淀池将产生少量沉淀污泥，产生量为</w:t>
            </w:r>
            <w:r>
              <w:rPr>
                <w:rFonts w:hint="default" w:ascii="Times New Roman" w:hAnsi="Times New Roman" w:cs="Times New Roman"/>
                <w:color w:val="auto"/>
                <w:highlight w:val="none"/>
                <w:lang w:val="en-US" w:eastAsia="zh-CN"/>
              </w:rPr>
              <w:t>0.005t/a，固体废物代码为900—099—S07，施工结束后统一清出与弃土一同处置。</w:t>
            </w:r>
          </w:p>
          <w:p w14:paraId="0443D141">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综上，本工程固体废物处置率为100%，对周围环境产生的不利影响较小。</w:t>
            </w:r>
          </w:p>
          <w:p w14:paraId="684037C7">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六、</w:t>
            </w:r>
            <w:r>
              <w:rPr>
                <w:rFonts w:hint="default" w:ascii="Times New Roman" w:hAnsi="Times New Roman" w:cs="Times New Roman"/>
                <w:b/>
                <w:bCs/>
                <w:color w:val="auto"/>
                <w:highlight w:val="none"/>
                <w:lang w:val="en-US" w:eastAsia="zh-CN"/>
              </w:rPr>
              <w:t>环境</w:t>
            </w:r>
            <w:r>
              <w:rPr>
                <w:rFonts w:hint="default" w:ascii="Times New Roman" w:hAnsi="Times New Roman" w:cs="Times New Roman"/>
                <w:b/>
                <w:bCs/>
                <w:color w:val="auto"/>
                <w:highlight w:val="none"/>
              </w:rPr>
              <w:t>风险影响评价</w:t>
            </w:r>
          </w:p>
          <w:p w14:paraId="0522F7AF">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工程在施工期间的</w:t>
            </w:r>
            <w:r>
              <w:rPr>
                <w:rFonts w:hint="default" w:ascii="Times New Roman" w:hAnsi="Times New Roman" w:cs="Times New Roman"/>
                <w:color w:val="auto"/>
                <w:kern w:val="0"/>
                <w:sz w:val="24"/>
                <w:highlight w:val="none"/>
              </w:rPr>
              <w:t>柴油</w:t>
            </w:r>
            <w:r>
              <w:rPr>
                <w:rFonts w:hint="default" w:ascii="Times New Roman" w:hAnsi="Times New Roman" w:cs="Times New Roman"/>
                <w:color w:val="auto"/>
                <w:kern w:val="0"/>
                <w:sz w:val="24"/>
                <w:highlight w:val="none"/>
                <w:lang w:val="en-US" w:eastAsia="zh-CN"/>
              </w:rPr>
              <w:t>消耗量</w:t>
            </w:r>
            <w:r>
              <w:rPr>
                <w:rFonts w:hint="default" w:ascii="Times New Roman" w:hAnsi="Times New Roman" w:cs="Times New Roman"/>
                <w:color w:val="auto"/>
                <w:kern w:val="0"/>
                <w:sz w:val="24"/>
                <w:highlight w:val="none"/>
              </w:rPr>
              <w:t>1753.34t，汽油</w:t>
            </w:r>
            <w:r>
              <w:rPr>
                <w:rFonts w:hint="default" w:ascii="Times New Roman" w:hAnsi="Times New Roman" w:cs="Times New Roman"/>
                <w:color w:val="auto"/>
                <w:kern w:val="0"/>
                <w:sz w:val="24"/>
                <w:highlight w:val="none"/>
                <w:lang w:val="en-US" w:eastAsia="zh-CN"/>
              </w:rPr>
              <w:t>消耗量</w:t>
            </w:r>
            <w:r>
              <w:rPr>
                <w:rFonts w:hint="default" w:ascii="Times New Roman" w:hAnsi="Times New Roman" w:cs="Times New Roman"/>
                <w:color w:val="auto"/>
                <w:kern w:val="0"/>
                <w:sz w:val="24"/>
                <w:highlight w:val="none"/>
              </w:rPr>
              <w:t>11.75t</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szCs w:val="21"/>
                <w:highlight w:val="none"/>
              </w:rPr>
              <w:t>不设储油库</w:t>
            </w:r>
            <w:r>
              <w:rPr>
                <w:rFonts w:hint="default" w:ascii="Times New Roman" w:hAnsi="Times New Roman" w:cs="Times New Roman"/>
                <w:color w:val="auto"/>
                <w:szCs w:val="21"/>
                <w:highlight w:val="none"/>
                <w:lang w:eastAsia="zh-CN"/>
              </w:rPr>
              <w:t>和油桶</w:t>
            </w:r>
            <w:r>
              <w:rPr>
                <w:rFonts w:hint="default" w:ascii="Times New Roman" w:hAnsi="Times New Roman" w:cs="Times New Roman"/>
                <w:color w:val="auto"/>
                <w:szCs w:val="21"/>
                <w:highlight w:val="none"/>
              </w:rPr>
              <w:t>，柴油随用随</w:t>
            </w:r>
            <w:r>
              <w:rPr>
                <w:rFonts w:hint="default" w:ascii="Times New Roman" w:hAnsi="Times New Roman" w:cs="Times New Roman"/>
                <w:color w:val="auto"/>
                <w:szCs w:val="21"/>
                <w:highlight w:val="none"/>
                <w:lang w:eastAsia="zh-CN"/>
              </w:rPr>
              <w:t>加</w:t>
            </w:r>
            <w:r>
              <w:rPr>
                <w:rFonts w:hint="default" w:ascii="Times New Roman" w:hAnsi="Times New Roman" w:cs="Times New Roman"/>
                <w:color w:val="auto"/>
                <w:szCs w:val="21"/>
                <w:highlight w:val="none"/>
              </w:rPr>
              <w:t>，所有机械设备的燃油补充在附近加油站</w:t>
            </w:r>
            <w:r>
              <w:rPr>
                <w:rFonts w:hint="default" w:ascii="Times New Roman" w:hAnsi="Times New Roman" w:cs="Times New Roman"/>
                <w:color w:val="auto"/>
                <w:szCs w:val="21"/>
                <w:highlight w:val="none"/>
                <w:lang w:eastAsia="zh-CN"/>
              </w:rPr>
              <w:t>进行</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汽油主要应用在小型运输和巡查车辆，发生环境风险的概率较小</w:t>
            </w:r>
            <w:r>
              <w:rPr>
                <w:rFonts w:hint="default" w:ascii="Times New Roman" w:hAnsi="Times New Roman" w:cs="Times New Roman"/>
                <w:color w:val="auto"/>
                <w:highlight w:val="none"/>
              </w:rPr>
              <w:t>。施工区的环境风险主要为机械和柴油发电机油箱的柴油泄漏的风险和操作不当起火风险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柴油火灾事故对环境产生的风险主要包括以下几个方面</w:t>
            </w:r>
            <w:r>
              <w:rPr>
                <w:rFonts w:hint="default" w:ascii="Times New Roman" w:hAnsi="Times New Roman" w:cs="Times New Roman"/>
                <w:color w:val="auto"/>
                <w:highlight w:val="none"/>
                <w:lang w:eastAsia="zh-CN"/>
              </w:rPr>
              <w:t>:</w:t>
            </w:r>
          </w:p>
          <w:p w14:paraId="161E07AB">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1、大气环境污染</w:t>
            </w:r>
          </w:p>
          <w:p w14:paraId="482C7F26">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燃烧产生的有害气体和颗粒物会对大气环境造成污染。例如，柴油燃烧会释放二氧化碳、一氧化碳、挥发性有机化合物等温室气体，加剧全球气候变化；同时还会释放氮氧化物、硫氧化物和颗粒物等有害物质，对大气环境造成污染。</w:t>
            </w:r>
          </w:p>
          <w:p w14:paraId="57033179">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2、水体污染</w:t>
            </w:r>
          </w:p>
          <w:p w14:paraId="65556778">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柴油泄漏会污染土壤和地下水，直接影响生态系统中土壤和水体的健康。柴油是一种疏水性物质，一旦泄漏，会迅速渗透至土壤深层和地下水中，严重影响土壤和地下水的质量。</w:t>
            </w:r>
          </w:p>
          <w:p w14:paraId="7F9375B0">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3、生物多样性丧失</w:t>
            </w:r>
          </w:p>
          <w:p w14:paraId="4CC210DB">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柴油火灾事故会直接危害生物多样性。受污染的土壤和水体会破坏生物栖息地，使得土壤中的微生物和水体的水生生物受到不同程度的伤害。</w:t>
            </w:r>
          </w:p>
          <w:p w14:paraId="6C1E31DD">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4、生态系统破坏</w:t>
            </w:r>
          </w:p>
          <w:p w14:paraId="086133FF">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柴油火灾事故对生态系统的破坏也是一个重要的环境风险。受污染的土壤和水体会破坏植被覆盖和生物多样性，影响生态系统的稳定性和恢复能力。</w:t>
            </w:r>
          </w:p>
          <w:p w14:paraId="51B7AFF2">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5、人类健康风险</w:t>
            </w:r>
          </w:p>
          <w:p w14:paraId="224BE25F">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柴油火灾事故对人类健康造成的风险也是不可忽视的。柴油燃烧释放的有害气体和颗粒物会对人类健康造成危害，引发呼吸道疾病和心血管疾病等健康问题。</w:t>
            </w:r>
          </w:p>
          <w:p w14:paraId="1CE40646">
            <w:pPr>
              <w:keepNext w:val="0"/>
              <w:keepLines w:val="0"/>
              <w:pageBreakBefore w:val="0"/>
              <w:widowControl w:val="0"/>
              <w:kinsoku/>
              <w:wordWrap/>
              <w:overflowPunct/>
              <w:topLinePunct w:val="0"/>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七、对地下水的影响</w:t>
            </w:r>
          </w:p>
          <w:p w14:paraId="2B2D70BF">
            <w:pPr>
              <w:keepNext w:val="0"/>
              <w:keepLines w:val="0"/>
              <w:pageBreakBefore w:val="0"/>
              <w:widowControl w:val="0"/>
              <w:kinsoku/>
              <w:wordWrap/>
              <w:overflowPunct/>
              <w:topLinePunct w:val="0"/>
              <w:bidi w:val="0"/>
              <w:spacing w:line="500" w:lineRule="exact"/>
              <w:ind w:firstLine="470" w:firstLineChars="196"/>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根据《环境影响评价技术导则地下水环境》（HJ610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2016）附录A，本项目属于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A水利4、防洪治涝工程其他</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项目，地下水环境影响评价项目类别为报告表</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4 \* ROMAN \* MERGEFORMAT </w:instrText>
            </w:r>
            <w:r>
              <w:rPr>
                <w:rFonts w:hint="default" w:ascii="Times New Roman" w:hAnsi="Times New Roman" w:cs="Times New Roman"/>
                <w:color w:val="auto"/>
                <w:sz w:val="24"/>
                <w:highlight w:val="none"/>
              </w:rPr>
              <w:fldChar w:fldCharType="separate"/>
            </w:r>
            <w:r>
              <w:rPr>
                <w:rFonts w:hint="default" w:ascii="Times New Roman" w:hAnsi="Times New Roman" w:eastAsia="微软雅黑" w:cs="Times New Roman"/>
                <w:color w:val="auto"/>
                <w:sz w:val="24"/>
                <w:highlight w:val="none"/>
              </w:rPr>
              <w:t>Ⅳ</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类，根据导则4.1条款规定，不开展地下水环境影响评价。</w:t>
            </w:r>
          </w:p>
          <w:p w14:paraId="141F8469">
            <w:pPr>
              <w:keepNext w:val="0"/>
              <w:keepLines w:val="0"/>
              <w:pageBreakBefore w:val="0"/>
              <w:widowControl w:val="0"/>
              <w:kinsoku/>
              <w:wordWrap/>
              <w:overflowPunct/>
              <w:topLinePunct w:val="0"/>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八、对土壤环境的影响</w:t>
            </w:r>
          </w:p>
          <w:p w14:paraId="0900E101">
            <w:pPr>
              <w:keepNext w:val="0"/>
              <w:keepLines w:val="0"/>
              <w:pageBreakBefore w:val="0"/>
              <w:widowControl w:val="0"/>
              <w:kinsoku/>
              <w:wordWrap/>
              <w:overflowPunct/>
              <w:topLinePunct w:val="0"/>
              <w:bidi w:val="0"/>
              <w:spacing w:line="500" w:lineRule="exact"/>
              <w:ind w:firstLine="470" w:firstLineChars="196"/>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根据《环境影响评价技术导则 土壤环境》（HJ964</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2018），本项目所属行业类别为水利工程，本项目属于附录A中的水利</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其他，为</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3 \* ROMAN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III</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类。根据6.2.1章节，生态影响型建</w:t>
            </w:r>
            <w:r>
              <w:rPr>
                <w:rFonts w:hint="default" w:ascii="Times New Roman" w:hAnsi="Times New Roman" w:eastAsia="宋体" w:cs="Times New Roman"/>
                <w:color w:val="auto"/>
                <w:sz w:val="24"/>
                <w:highlight w:val="none"/>
              </w:rPr>
              <w:t>设项目评价工作等级划分依据，本项目所在区域多年平均年降水量为</w:t>
            </w:r>
            <w:r>
              <w:rPr>
                <w:rFonts w:hint="default" w:ascii="Times New Roman" w:hAnsi="Times New Roman" w:eastAsia="宋体" w:cs="Times New Roman"/>
                <w:color w:val="auto"/>
                <w:sz w:val="24"/>
                <w:highlight w:val="none"/>
                <w:lang w:val="en-US" w:eastAsia="zh-CN"/>
              </w:rPr>
              <w:t>668</w:t>
            </w:r>
            <w:r>
              <w:rPr>
                <w:rFonts w:hint="default" w:ascii="Times New Roman" w:hAnsi="Times New Roman" w:cs="Times New Roman"/>
                <w:color w:val="auto"/>
                <w:sz w:val="24"/>
                <w:highlight w:val="none"/>
                <w:lang w:eastAsia="zh-CN"/>
              </w:rPr>
              <w:t>mm</w:t>
            </w:r>
            <w:r>
              <w:rPr>
                <w:rFonts w:hint="default" w:ascii="Times New Roman" w:hAnsi="Times New Roman" w:eastAsia="宋体" w:cs="Times New Roman"/>
                <w:color w:val="auto"/>
                <w:sz w:val="24"/>
                <w:highlight w:val="none"/>
              </w:rPr>
              <w:t>，多年平均蒸发量为</w:t>
            </w:r>
            <w:r>
              <w:rPr>
                <w:rFonts w:hint="default" w:ascii="Times New Roman" w:hAnsi="Times New Roman" w:eastAsia="宋体" w:cs="Times New Roman"/>
                <w:color w:val="auto"/>
                <w:sz w:val="24"/>
                <w:highlight w:val="none"/>
                <w:lang w:val="en-US" w:eastAsia="zh-CN"/>
              </w:rPr>
              <w:t>1130</w:t>
            </w:r>
            <w:r>
              <w:rPr>
                <w:rFonts w:hint="default" w:ascii="Times New Roman" w:hAnsi="Times New Roman" w:cs="Times New Roman"/>
                <w:color w:val="auto"/>
                <w:sz w:val="24"/>
                <w:highlight w:val="none"/>
                <w:lang w:eastAsia="zh-CN"/>
              </w:rPr>
              <w:t>mm</w:t>
            </w:r>
            <w:r>
              <w:rPr>
                <w:rFonts w:hint="default" w:ascii="Times New Roman" w:hAnsi="Times New Roman" w:eastAsia="宋体" w:cs="Times New Roman"/>
                <w:color w:val="auto"/>
                <w:sz w:val="24"/>
                <w:highlight w:val="none"/>
                <w:lang w:eastAsia="zh-CN"/>
              </w:rPr>
              <w:t>。该区的水文地质结构受控于其</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漫岗平原与低山丘陵相间</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的地貌格局和</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松散孔隙水与基岩裂隙水并存</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的地层特点。地下水主要接受大气降水的入渗补给，由东北向西南方向径流，最终排泄于呼兰河等河流。</w:t>
            </w:r>
            <w:r>
              <w:rPr>
                <w:rFonts w:hint="default" w:ascii="Times New Roman" w:hAnsi="Times New Roman" w:eastAsia="宋体" w:cs="Times New Roman"/>
                <w:color w:val="auto"/>
                <w:sz w:val="24"/>
                <w:highlight w:val="none"/>
                <w:lang w:val="en-US" w:eastAsia="zh-CN"/>
              </w:rPr>
              <w:t>地下水埋深在0.30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～3.50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，水位在185.21</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～187.68</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，年最大变幅2.00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左右。</w:t>
            </w:r>
          </w:p>
          <w:p w14:paraId="31984348">
            <w:pPr>
              <w:keepNext w:val="0"/>
              <w:keepLines w:val="0"/>
              <w:pageBreakBefore w:val="0"/>
              <w:widowControl w:val="0"/>
              <w:kinsoku/>
              <w:wordWrap/>
              <w:overflowPunct/>
              <w:topLinePunct w:val="0"/>
              <w:bidi w:val="0"/>
              <w:spacing w:line="500" w:lineRule="exact"/>
              <w:ind w:firstLine="470" w:firstLineChars="196"/>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区域土壤含盐量一般低于2g/kg；根据中国土壤数据库，工程区土类主要为暗棕壤，pH</w:t>
            </w:r>
            <w:r>
              <w:rPr>
                <w:rFonts w:hint="default" w:ascii="Times New Roman" w:hAnsi="Times New Roman" w:eastAsia="宋体" w:cs="Times New Roman"/>
                <w:color w:val="auto"/>
                <w:sz w:val="24"/>
                <w:highlight w:val="none"/>
                <w:lang w:val="en-US" w:eastAsia="zh-CN"/>
              </w:rPr>
              <w:t>为6.5</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7.5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无量纲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，则判断土壤盐化、酸化、碱化程度属于不敏感。因此根据生态影响型评价工作等对照生态影响型评价工作等级划分表，本</w:t>
            </w:r>
            <w:r>
              <w:rPr>
                <w:rFonts w:hint="default" w:ascii="Times New Roman" w:hAnsi="Times New Roman" w:eastAsia="宋体" w:cs="Times New Roman"/>
                <w:color w:val="auto"/>
                <w:sz w:val="24"/>
                <w:highlight w:val="none"/>
                <w:lang w:val="en-US" w:eastAsia="zh-CN"/>
              </w:rPr>
              <w:t>工程</w:t>
            </w:r>
            <w:r>
              <w:rPr>
                <w:rFonts w:hint="default" w:ascii="Times New Roman" w:hAnsi="Times New Roman" w:eastAsia="宋体" w:cs="Times New Roman"/>
                <w:color w:val="auto"/>
                <w:sz w:val="24"/>
                <w:highlight w:val="none"/>
              </w:rPr>
              <w:t>敏感程度为</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不敏感</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判定本工程土壤环境影响评价等级为</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无需开展土壤环境影响评价工作</w:t>
            </w:r>
            <w:r>
              <w:rPr>
                <w:rFonts w:hint="default" w:ascii="Times New Roman" w:hAnsi="Times New Roman" w:cs="Times New Roman"/>
                <w:color w:val="auto"/>
                <w:sz w:val="24"/>
                <w:highlight w:val="none"/>
              </w:rPr>
              <w:t>。</w:t>
            </w:r>
          </w:p>
          <w:p w14:paraId="44EAD4C1">
            <w:pPr>
              <w:keepNext w:val="0"/>
              <w:keepLines w:val="0"/>
              <w:pageBreakBefore w:val="0"/>
              <w:widowControl w:val="0"/>
              <w:kinsoku/>
              <w:wordWrap/>
              <w:overflowPunct/>
              <w:topLinePunct w:val="0"/>
              <w:bidi w:val="0"/>
              <w:adjustRightInd w:val="0"/>
              <w:snapToGrid w:val="0"/>
              <w:spacing w:line="500" w:lineRule="exact"/>
              <w:ind w:firstLine="482" w:firstLineChars="200"/>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val="0"/>
                <w:color w:val="auto"/>
                <w:sz w:val="24"/>
                <w:highlight w:val="none"/>
                <w:lang w:val="en-US" w:eastAsia="zh-CN"/>
              </w:rPr>
              <w:t>十、</w:t>
            </w:r>
            <w:r>
              <w:rPr>
                <w:rFonts w:hint="default" w:ascii="Times New Roman" w:hAnsi="Times New Roman" w:eastAsia="宋体" w:cs="Times New Roman"/>
                <w:b/>
                <w:bCs w:val="0"/>
                <w:color w:val="auto"/>
                <w:sz w:val="24"/>
                <w:highlight w:val="none"/>
              </w:rPr>
              <w:t>人群健康影响分析</w:t>
            </w:r>
          </w:p>
          <w:p w14:paraId="38AE9FD1">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工程建设期间，施工人员相对集中，人口密度大，流动性强，卫生条件和居住条件差，加之工期紧，劳动强度大，将使施工人员体质下降，对疾病的抵抗力减弱，感染疾病的可能性会增加，容易在施工人员中发生流行病及传染病，如不注意饮食卫生及保健，施工人员的身体健康将受到一定影响。</w:t>
            </w:r>
          </w:p>
          <w:p w14:paraId="12990A08">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施工期间将增加施工人员之间的接触机会，易传染疾病；施工人员在野外作业，与鼠类接触机会增多，也容易诱发疫源性疾病。为减少各种疾病的发生，使工程得以顺利进行，需要实施以下措施</w:t>
            </w:r>
            <w:r>
              <w:rPr>
                <w:rFonts w:hint="default" w:ascii="Times New Roman" w:hAnsi="Times New Roman" w:cs="Times New Roman"/>
                <w:bCs/>
                <w:color w:val="auto"/>
                <w:sz w:val="24"/>
                <w:highlight w:val="none"/>
                <w:lang w:eastAsia="zh-CN"/>
              </w:rPr>
              <w:t>:</w:t>
            </w:r>
          </w:p>
          <w:p w14:paraId="00D4D11D">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1）为减少各种疾病的发病率，施工期间要做好环境卫生防疫工作，对施工人员进行必要的卫生防疫宣传教育。加强施工人员居住的民房的卫生清理和消毒，定期进行灭蚊蝇和灭鼠工作；加强卫生防疫监测工作，做到早发现，早治疗。对现场施工人员定期进行体检，及时接种疫苗，发现传染病患者，及时隔离治疗，并及时报告当地卫生防疫部门。</w:t>
            </w:r>
          </w:p>
          <w:p w14:paraId="61B7A6AD">
            <w:pPr>
              <w:keepNext w:val="0"/>
              <w:keepLines w:val="0"/>
              <w:pageBreakBefore w:val="0"/>
              <w:widowControl w:val="0"/>
              <w:kinsoku/>
              <w:wordWrap/>
              <w:overflowPunct/>
              <w:topLinePunct w:val="0"/>
              <w:bidi w:val="0"/>
              <w:spacing w:line="500" w:lineRule="exact"/>
              <w:ind w:firstLine="470" w:firstLineChars="196"/>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bCs/>
                <w:color w:val="auto"/>
                <w:sz w:val="24"/>
                <w:highlight w:val="none"/>
              </w:rPr>
              <w:t>（2）施工人员的饮用水源管理和食品卫生管理，饮用水源要经过卫生防疫部门检验，合格后方可使用；食品原料要新鲜卫生，各种食品要烧熟煮透；采购食品用的车辆、容器要清洁卫生，做到生熟分开、防尘、防蝇、防雨、防晒；公用</w:t>
            </w:r>
            <w:r>
              <w:rPr>
                <w:rFonts w:hint="default" w:ascii="Times New Roman" w:hAnsi="Times New Roman" w:eastAsia="宋体" w:cs="Times New Roman"/>
                <w:bCs/>
                <w:color w:val="auto"/>
                <w:sz w:val="24"/>
                <w:highlight w:val="none"/>
                <w:lang w:eastAsia="zh-CN"/>
              </w:rPr>
              <w:t>餐具</w:t>
            </w:r>
            <w:r>
              <w:rPr>
                <w:rFonts w:hint="default" w:ascii="Times New Roman" w:hAnsi="Times New Roman" w:eastAsia="宋体" w:cs="Times New Roman"/>
                <w:bCs/>
                <w:color w:val="auto"/>
                <w:sz w:val="24"/>
                <w:highlight w:val="none"/>
              </w:rPr>
              <w:t>要洗净消毒。</w:t>
            </w:r>
          </w:p>
        </w:tc>
      </w:tr>
      <w:tr w14:paraId="1EBD68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476" w:type="pct"/>
            <w:tcBorders>
              <w:top w:val="single" w:color="auto" w:sz="4" w:space="0"/>
              <w:left w:val="single" w:color="auto" w:sz="8" w:space="0"/>
              <w:bottom w:val="single" w:color="auto" w:sz="4" w:space="0"/>
              <w:right w:val="single" w:color="auto" w:sz="4" w:space="0"/>
            </w:tcBorders>
            <w:noWrap w:val="0"/>
            <w:tcMar>
              <w:top w:w="0" w:type="dxa"/>
              <w:left w:w="28" w:type="dxa"/>
              <w:bottom w:w="0" w:type="dxa"/>
              <w:right w:w="28" w:type="dxa"/>
            </w:tcMar>
            <w:vAlign w:val="center"/>
          </w:tcPr>
          <w:p w14:paraId="138A7777">
            <w:pPr>
              <w:widowControl/>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pacing w:val="10"/>
                <w:sz w:val="24"/>
                <w:highlight w:val="none"/>
                <w:lang w:eastAsia="zh-CN"/>
              </w:rPr>
              <w:t>运行期</w:t>
            </w:r>
            <w:r>
              <w:rPr>
                <w:rFonts w:hint="default" w:ascii="Times New Roman" w:hAnsi="Times New Roman" w:cs="Times New Roman"/>
                <w:bCs/>
                <w:color w:val="auto"/>
                <w:spacing w:val="10"/>
                <w:sz w:val="24"/>
                <w:highlight w:val="none"/>
              </w:rPr>
              <w:t>生态环境影响分析</w:t>
            </w:r>
          </w:p>
        </w:tc>
        <w:tc>
          <w:tcPr>
            <w:tcW w:w="4524" w:type="pct"/>
            <w:tcBorders>
              <w:top w:val="single" w:color="auto" w:sz="4" w:space="0"/>
              <w:left w:val="single" w:color="auto" w:sz="4" w:space="0"/>
              <w:bottom w:val="single" w:color="auto" w:sz="4" w:space="0"/>
              <w:right w:val="single" w:color="auto" w:sz="8" w:space="0"/>
            </w:tcBorders>
            <w:noWrap w:val="0"/>
            <w:vAlign w:val="top"/>
          </w:tcPr>
          <w:p w14:paraId="50631CCA">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本工程为护岸工程，可以</w:t>
            </w:r>
            <w:r>
              <w:rPr>
                <w:rFonts w:hint="default" w:ascii="Times New Roman" w:hAnsi="Times New Roman" w:cs="Times New Roman"/>
                <w:bCs/>
                <w:color w:val="auto"/>
                <w:sz w:val="24"/>
                <w:highlight w:val="none"/>
                <w:lang w:val="en-US" w:eastAsia="zh-CN"/>
              </w:rPr>
              <w:t>维护</w:t>
            </w:r>
            <w:r>
              <w:rPr>
                <w:rFonts w:hint="default" w:ascii="Times New Roman" w:hAnsi="Times New Roman" w:cs="Times New Roman"/>
                <w:bCs/>
                <w:color w:val="auto"/>
                <w:sz w:val="24"/>
                <w:highlight w:val="none"/>
              </w:rPr>
              <w:t>河岸稳定，如果缺少保护，一旦发生洪灾，洪水，将淹没地表植被，冲刷土壤，破坏生态。</w:t>
            </w:r>
          </w:p>
          <w:p w14:paraId="41C95B56">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护岸工程完成后，由于岸边基质改变，有效提高河道防洪标准，减少洪水漫堤淹没农田、村庄及沿岸区域，避免洪水裹挟垃圾、污水、化肥农药等污染物进入河道，减轻水体污染风险，改善水环境质量，同时有效约束河道摆动、防止岸坡坍塌与泥沙下泄，减少河道悬浮物增加，降低水体浑浊度，同时保护沿岸土地资源，减轻水土流失对流域生态的破坏，使水质变清，有些喜清水的浮游生物可能增加，对水中鱼类的繁殖和捕食更有利，种群数逐渐恢复。</w:t>
            </w:r>
          </w:p>
          <w:p w14:paraId="6762C071">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工程实施后，防洪能力提高，能有效防止水体对河岸的冲刷，可防止河流对护岸的侵蚀，避免因洪水灾害而污染水质、强掏蚀破坏植被，有利于保护和恢复河岸带植被，提升河岸固土、滞污、涵养水源功能，构建连续的河岸生态廊道，对保护丰水期水环境起到一定作用。</w:t>
            </w:r>
          </w:p>
          <w:p w14:paraId="4B394BD8">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水文情势</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本工程通过</w:t>
            </w:r>
            <w:r>
              <w:rPr>
                <w:rFonts w:hint="default" w:ascii="Times New Roman" w:hAnsi="Times New Roman" w:cs="Times New Roman"/>
                <w:bCs/>
                <w:color w:val="auto"/>
                <w:sz w:val="24"/>
                <w:highlight w:val="none"/>
                <w:lang w:eastAsia="zh-CN"/>
              </w:rPr>
              <w:t>新建护岸、堤防和穿堤建筑物</w:t>
            </w:r>
            <w:r>
              <w:rPr>
                <w:rFonts w:hint="default" w:ascii="Times New Roman" w:hAnsi="Times New Roman" w:cs="Times New Roman"/>
                <w:bCs/>
                <w:color w:val="auto"/>
                <w:sz w:val="24"/>
                <w:highlight w:val="none"/>
              </w:rPr>
              <w:t>，使防洪标准达到10年一遇。工程建成后，工程削弱了弯道处水流对原河道凹岸的冲刷，水流</w:t>
            </w:r>
            <w:r>
              <w:rPr>
                <w:rFonts w:hint="default" w:ascii="Times New Roman" w:hAnsi="Times New Roman" w:cs="Times New Roman"/>
                <w:bCs/>
                <w:color w:val="auto"/>
                <w:sz w:val="24"/>
                <w:highlight w:val="none"/>
                <w:lang w:eastAsia="zh-CN"/>
              </w:rPr>
              <w:t>日趋</w:t>
            </w:r>
            <w:r>
              <w:rPr>
                <w:rFonts w:hint="default" w:ascii="Times New Roman" w:hAnsi="Times New Roman" w:cs="Times New Roman"/>
                <w:bCs/>
                <w:color w:val="auto"/>
                <w:sz w:val="24"/>
                <w:highlight w:val="none"/>
              </w:rPr>
              <w:t>平顺，不会对河道原来的稳定产生大的影响。</w:t>
            </w:r>
          </w:p>
          <w:p w14:paraId="05E3865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地表水环境</w:t>
            </w:r>
            <w:r>
              <w:rPr>
                <w:rFonts w:hint="default" w:ascii="Times New Roman" w:hAnsi="Times New Roman" w:cs="Times New Roman"/>
                <w:color w:val="auto"/>
                <w:sz w:val="24"/>
                <w:highlight w:val="none"/>
                <w:lang w:eastAsia="zh-CN"/>
              </w:rPr>
              <w:t>:运行期</w:t>
            </w:r>
            <w:r>
              <w:rPr>
                <w:rFonts w:hint="default" w:ascii="Times New Roman" w:hAnsi="Times New Roman" w:cs="Times New Roman"/>
                <w:color w:val="auto"/>
                <w:sz w:val="24"/>
                <w:highlight w:val="none"/>
              </w:rPr>
              <w:t>不会产生废水，对水环境无负面影响。</w:t>
            </w:r>
          </w:p>
          <w:p w14:paraId="068284C5">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大气环境</w:t>
            </w:r>
            <w:r>
              <w:rPr>
                <w:rFonts w:hint="default" w:ascii="Times New Roman" w:hAnsi="Times New Roman" w:cs="Times New Roman"/>
                <w:color w:val="auto"/>
                <w:sz w:val="24"/>
                <w:highlight w:val="none"/>
                <w:lang w:eastAsia="zh-CN"/>
              </w:rPr>
              <w:t>:运行期</w:t>
            </w:r>
            <w:r>
              <w:rPr>
                <w:rFonts w:hint="default" w:ascii="Times New Roman" w:hAnsi="Times New Roman" w:cs="Times New Roman"/>
                <w:color w:val="auto"/>
                <w:sz w:val="24"/>
                <w:highlight w:val="none"/>
              </w:rPr>
              <w:t>不会产生废气，对大气环境无负面影响。</w:t>
            </w:r>
          </w:p>
          <w:p w14:paraId="15CFCB0C">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陆生</w:t>
            </w:r>
            <w:r>
              <w:rPr>
                <w:rFonts w:hint="default" w:ascii="Times New Roman" w:hAnsi="Times New Roman" w:cs="Times New Roman"/>
                <w:color w:val="auto"/>
                <w:sz w:val="24"/>
                <w:highlight w:val="none"/>
              </w:rPr>
              <w:t>生态环境</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工程通过恢复植被，还可以调节局部小气候、改善周边民众的人居环境，营造环境优美的良好氛围。</w:t>
            </w:r>
          </w:p>
          <w:p w14:paraId="57F3FEE3">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水生生态环境:</w:t>
            </w:r>
            <w:r>
              <w:rPr>
                <w:rFonts w:hint="default" w:ascii="Times New Roman" w:hAnsi="Times New Roman" w:cs="Times New Roman"/>
                <w:color w:val="auto"/>
                <w:highlight w:val="none"/>
              </w:rPr>
              <w:t>项目实施后可改变河道内原有的水力冲刷影响，降低河水流速，使得河道内泥沙量在一定时期内有所下降，增加地表水对地下水入渗的补给，使</w:t>
            </w:r>
            <w:r>
              <w:rPr>
                <w:rFonts w:hint="default" w:ascii="Times New Roman" w:hAnsi="Times New Roman" w:cs="Times New Roman"/>
                <w:color w:val="auto"/>
                <w:highlight w:val="none"/>
                <w:lang w:eastAsia="zh-CN"/>
              </w:rPr>
              <w:t>欧根河</w:t>
            </w:r>
            <w:r>
              <w:rPr>
                <w:rFonts w:hint="default" w:ascii="Times New Roman" w:hAnsi="Times New Roman" w:cs="Times New Roman"/>
                <w:color w:val="auto"/>
                <w:highlight w:val="none"/>
              </w:rPr>
              <w:t>的生态环境大为改观。</w:t>
            </w:r>
            <w:r>
              <w:rPr>
                <w:rFonts w:hint="default" w:ascii="Times New Roman" w:hAnsi="Times New Roman" w:cs="Times New Roman"/>
                <w:color w:val="auto"/>
                <w:highlight w:val="none"/>
                <w:lang w:eastAsia="zh-CN"/>
              </w:rPr>
              <w:t>工程</w:t>
            </w:r>
            <w:r>
              <w:rPr>
                <w:rFonts w:hint="default" w:ascii="Times New Roman" w:hAnsi="Times New Roman" w:cs="Times New Roman"/>
                <w:color w:val="auto"/>
                <w:highlight w:val="none"/>
              </w:rPr>
              <w:t>避免坍塌导致的泥沙淤积，维持河道水深、流速稳定，为鱼类、浮游生物提供稳定的生存环境。稳定的岸线减少水土流失，降低水体悬浮物含量，改善浮游植物光合作用条件，间接提升浮游生物群落多样性；同时避免泥沙覆盖底栖生物生存环境，保障底栖生态系统完整性。水生植物在护岸周边形成稳定的植被带，既为水生生物提供食物来源，又能吸附污染物，提升水体自净能力。</w:t>
            </w:r>
          </w:p>
        </w:tc>
      </w:tr>
      <w:tr w14:paraId="6FC6F2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76" w:type="pct"/>
            <w:tcBorders>
              <w:top w:val="single" w:color="auto" w:sz="4" w:space="0"/>
              <w:left w:val="single" w:color="auto" w:sz="8" w:space="0"/>
              <w:bottom w:val="single" w:color="auto" w:sz="8" w:space="0"/>
              <w:right w:val="single" w:color="auto" w:sz="4" w:space="0"/>
            </w:tcBorders>
            <w:noWrap w:val="0"/>
            <w:vAlign w:val="center"/>
          </w:tcPr>
          <w:p w14:paraId="5757E659">
            <w:pPr>
              <w:widowControl/>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选址选线环境合理性分析</w:t>
            </w:r>
          </w:p>
        </w:tc>
        <w:tc>
          <w:tcPr>
            <w:tcW w:w="4524" w:type="pct"/>
            <w:tcBorders>
              <w:top w:val="single" w:color="auto" w:sz="4" w:space="0"/>
              <w:left w:val="single" w:color="auto" w:sz="4" w:space="0"/>
              <w:bottom w:val="single" w:color="auto" w:sz="8" w:space="0"/>
              <w:right w:val="single" w:color="auto" w:sz="8" w:space="0"/>
            </w:tcBorders>
            <w:noWrap w:val="0"/>
            <w:vAlign w:val="top"/>
          </w:tcPr>
          <w:p w14:paraId="481B79CB">
            <w:pPr>
              <w:keepNext w:val="0"/>
              <w:keepLines w:val="0"/>
              <w:pageBreakBefore w:val="0"/>
              <w:widowControl w:val="0"/>
              <w:kinsoku/>
              <w:wordWrap/>
              <w:overflowPunct/>
              <w:topLinePunct w:val="0"/>
              <w:autoSpaceDE/>
              <w:autoSpaceDN/>
              <w:bidi w:val="0"/>
              <w:adjustRightInd w:val="0"/>
              <w:snapToGrid w:val="0"/>
              <w:spacing w:line="500" w:lineRule="exact"/>
              <w:ind w:right="0" w:firstLine="482" w:firstLineChars="20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 xml:space="preserve">1、选址选线环境合理性分析 </w:t>
            </w:r>
          </w:p>
          <w:p w14:paraId="362F9E14">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本项目为防洪除涝工程，临时占用</w:t>
            </w:r>
            <w:r>
              <w:rPr>
                <w:rFonts w:hint="default" w:ascii="Times New Roman" w:hAnsi="Times New Roman" w:cs="Times New Roman"/>
                <w:color w:val="auto"/>
                <w:sz w:val="24"/>
                <w:szCs w:val="24"/>
                <w:highlight w:val="none"/>
                <w:lang w:eastAsia="zh-CN"/>
              </w:rPr>
              <w:t>河岸边耕地、</w:t>
            </w:r>
            <w:r>
              <w:rPr>
                <w:rFonts w:hint="default" w:ascii="Times New Roman" w:hAnsi="Times New Roman" w:cs="Times New Roman"/>
                <w:color w:val="auto"/>
                <w:sz w:val="24"/>
                <w:szCs w:val="24"/>
                <w:highlight w:val="none"/>
                <w:lang w:val="en-US" w:eastAsia="zh-CN"/>
              </w:rPr>
              <w:t>其他草地</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本项目的建设</w:t>
            </w:r>
            <w:r>
              <w:rPr>
                <w:rFonts w:hint="default" w:ascii="Times New Roman" w:hAnsi="Times New Roman" w:cs="Times New Roman"/>
                <w:color w:val="auto"/>
                <w:sz w:val="24"/>
                <w:szCs w:val="24"/>
                <w:highlight w:val="none"/>
              </w:rPr>
              <w:t>是为了保护黑土地不再为河道冲蚀而变成水毁面积；</w:t>
            </w:r>
            <w:r>
              <w:rPr>
                <w:rFonts w:hint="default" w:ascii="Times New Roman" w:hAnsi="Times New Roman" w:cs="Times New Roman"/>
                <w:color w:val="auto"/>
                <w:sz w:val="24"/>
                <w:szCs w:val="24"/>
                <w:highlight w:val="none"/>
                <w:lang w:val="en-US" w:eastAsia="zh-CN"/>
              </w:rPr>
              <w:t>且</w:t>
            </w:r>
            <w:r>
              <w:rPr>
                <w:rFonts w:hint="default" w:ascii="Times New Roman" w:hAnsi="Times New Roman" w:cs="Times New Roman"/>
                <w:color w:val="auto"/>
                <w:sz w:val="24"/>
                <w:szCs w:val="24"/>
                <w:highlight w:val="none"/>
              </w:rPr>
              <w:t>项目</w:t>
            </w:r>
            <w:r>
              <w:rPr>
                <w:rFonts w:hint="default" w:ascii="Times New Roman" w:hAnsi="Times New Roman" w:cs="Times New Roman"/>
                <w:color w:val="auto"/>
                <w:sz w:val="24"/>
                <w:szCs w:val="24"/>
                <w:highlight w:val="none"/>
                <w:lang w:eastAsia="zh-CN"/>
              </w:rPr>
              <w:t>完工后</w:t>
            </w:r>
            <w:r>
              <w:rPr>
                <w:rFonts w:hint="default" w:ascii="Times New Roman" w:hAnsi="Times New Roman" w:cs="Times New Roman"/>
                <w:color w:val="auto"/>
                <w:sz w:val="24"/>
                <w:szCs w:val="24"/>
                <w:highlight w:val="none"/>
              </w:rPr>
              <w:t>进行植被恢复，与法律</w:t>
            </w:r>
            <w:r>
              <w:rPr>
                <w:rFonts w:hint="default" w:ascii="Times New Roman" w:hAnsi="Times New Roman" w:cs="Times New Roman"/>
                <w:color w:val="auto"/>
                <w:sz w:val="24"/>
                <w:szCs w:val="24"/>
                <w:highlight w:val="none"/>
                <w:lang w:val="en-US" w:eastAsia="zh-CN"/>
              </w:rPr>
              <w:t>法规</w:t>
            </w:r>
            <w:r>
              <w:rPr>
                <w:rFonts w:hint="default" w:ascii="Times New Roman" w:hAnsi="Times New Roman" w:cs="Times New Roman"/>
                <w:color w:val="auto"/>
                <w:sz w:val="24"/>
                <w:szCs w:val="24"/>
                <w:highlight w:val="none"/>
              </w:rPr>
              <w:t>要求相符。</w:t>
            </w:r>
            <w:r>
              <w:rPr>
                <w:rFonts w:hint="default" w:ascii="Times New Roman" w:hAnsi="Times New Roman" w:cs="Times New Roman"/>
                <w:color w:val="auto"/>
                <w:sz w:val="24"/>
                <w:szCs w:val="24"/>
                <w:highlight w:val="none"/>
                <w:lang w:val="en-US" w:eastAsia="zh-CN"/>
              </w:rPr>
              <w:t>本项目不占用自然保护区、风景名胜区、自然保护地等生态敏感区，部分护岸工程占用生态保护红线。</w:t>
            </w:r>
            <w:r>
              <w:rPr>
                <w:rFonts w:hint="default" w:ascii="Times New Roman" w:hAnsi="Times New Roman" w:cs="Times New Roman"/>
                <w:color w:val="auto"/>
                <w:sz w:val="24"/>
                <w:szCs w:val="24"/>
                <w:highlight w:val="none"/>
              </w:rPr>
              <w:t>本项目污染主要集中在施工期，主要包括施工期间产生的施工和运输车辆扬尘、机械设备及运输车辆噪声对周边环境的影响。建设期间</w:t>
            </w:r>
            <w:r>
              <w:rPr>
                <w:rFonts w:hint="default" w:ascii="Times New Roman" w:hAnsi="Times New Roman" w:cs="Times New Roman"/>
                <w:color w:val="auto"/>
                <w:sz w:val="24"/>
                <w:szCs w:val="24"/>
                <w:highlight w:val="none"/>
                <w:lang w:eastAsia="zh-CN"/>
              </w:rPr>
              <w:t>将</w:t>
            </w:r>
            <w:r>
              <w:rPr>
                <w:rFonts w:hint="default" w:ascii="Times New Roman" w:hAnsi="Times New Roman" w:cs="Times New Roman"/>
                <w:color w:val="auto"/>
                <w:sz w:val="24"/>
                <w:szCs w:val="24"/>
                <w:highlight w:val="none"/>
              </w:rPr>
              <w:t>区域的现有环境、居民生活及社会产生一定的影响，但项目涉及面较窄，为线性工程，且比较分散。施工期结束后，本项目的影响随即消失。在施工期间，只要</w:t>
            </w:r>
            <w:r>
              <w:rPr>
                <w:rFonts w:hint="default" w:ascii="Times New Roman" w:hAnsi="Times New Roman" w:cs="Times New Roman"/>
                <w:color w:val="auto"/>
                <w:sz w:val="24"/>
                <w:szCs w:val="24"/>
                <w:highlight w:val="none"/>
                <w:lang w:eastAsia="zh-CN"/>
              </w:rPr>
              <w:t>制定</w:t>
            </w:r>
            <w:r>
              <w:rPr>
                <w:rFonts w:hint="default" w:ascii="Times New Roman" w:hAnsi="Times New Roman" w:cs="Times New Roman"/>
                <w:color w:val="auto"/>
                <w:sz w:val="24"/>
                <w:szCs w:val="24"/>
                <w:highlight w:val="none"/>
              </w:rPr>
              <w:t>详细保护计划，精心施工，采取有效的防护和隔离措施，项目对周边空气环境、水环境、声环境、土壤环境的影响较小。</w:t>
            </w:r>
          </w:p>
          <w:p w14:paraId="3966E5E7">
            <w:pPr>
              <w:pStyle w:val="1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color w:val="auto"/>
                <w:sz w:val="24"/>
                <w:szCs w:val="24"/>
                <w:highlight w:val="yellow"/>
                <w:lang w:val="en-US" w:eastAsia="zh-CN"/>
              </w:rPr>
            </w:pPr>
            <w:r>
              <w:rPr>
                <w:rFonts w:hint="default" w:ascii="Times New Roman" w:hAnsi="Times New Roman" w:eastAsia="宋体" w:cs="Times New Roman"/>
                <w:color w:val="auto"/>
                <w:sz w:val="24"/>
                <w:szCs w:val="24"/>
                <w:highlight w:val="yellow"/>
                <w:lang w:val="en-US" w:eastAsia="zh-CN"/>
              </w:rPr>
              <w:t>本项目属于《自然资源部生态环境部 国家林业和草原局关于加强生态保护红线管理的通知（试行）》（自然资发〔2022〕142号）</w:t>
            </w:r>
            <w:r>
              <w:rPr>
                <w:rFonts w:hint="default" w:ascii="Times New Roman" w:hAnsi="Times New Roman" w:cs="Times New Roman"/>
                <w:color w:val="auto"/>
                <w:sz w:val="24"/>
                <w:szCs w:val="24"/>
                <w:highlight w:val="yellow"/>
                <w:lang w:val="en-US" w:eastAsia="zh-CN"/>
              </w:rPr>
              <w:t>"</w:t>
            </w:r>
            <w:r>
              <w:rPr>
                <w:rFonts w:hint="default" w:ascii="Times New Roman" w:hAnsi="Times New Roman" w:eastAsia="宋体" w:cs="Times New Roman"/>
                <w:color w:val="auto"/>
                <w:sz w:val="24"/>
                <w:szCs w:val="24"/>
                <w:highlight w:val="yellow"/>
                <w:lang w:val="zh-CN" w:eastAsia="zh-CN"/>
              </w:rPr>
              <w:t>6.必须且无法避让、符合县级以上国土空间规划的线性基础设施、通讯和防洪、供水设施建设和船舶航行、航道疏浚清淤等活动；已有的合法水利、交通运输等设施运行维护改造</w:t>
            </w:r>
            <w:r>
              <w:rPr>
                <w:rFonts w:hint="default" w:ascii="Times New Roman" w:hAnsi="Times New Roman" w:cs="Times New Roman"/>
                <w:color w:val="auto"/>
                <w:sz w:val="24"/>
                <w:szCs w:val="24"/>
                <w:highlight w:val="yellow"/>
                <w:lang w:val="zh-CN" w:eastAsia="zh-CN"/>
              </w:rPr>
              <w:t>"</w:t>
            </w:r>
            <w:r>
              <w:rPr>
                <w:rFonts w:hint="default" w:ascii="Times New Roman" w:hAnsi="Times New Roman" w:eastAsia="宋体" w:cs="Times New Roman"/>
                <w:color w:val="auto"/>
                <w:sz w:val="24"/>
                <w:szCs w:val="24"/>
                <w:highlight w:val="yellow"/>
                <w:lang w:val="zh-CN" w:eastAsia="zh-CN"/>
              </w:rPr>
              <w:t>。中的防洪设施运行维护改造工程，符合</w:t>
            </w:r>
            <w:r>
              <w:rPr>
                <w:rFonts w:hint="default" w:ascii="Times New Roman" w:hAnsi="Times New Roman" w:eastAsia="宋体" w:cs="Times New Roman"/>
                <w:color w:val="auto"/>
                <w:sz w:val="24"/>
                <w:szCs w:val="24"/>
                <w:highlight w:val="yellow"/>
                <w:lang w:val="en-US" w:eastAsia="zh-CN"/>
              </w:rPr>
              <w:t>《自然资源部生态环境部 国家林业和草原局关于加强生态保护红线管理的通知（试行）》（自然资发〔2022〕142号），同时根据《关于落实</w:t>
            </w:r>
            <w:r>
              <w:rPr>
                <w:rFonts w:hint="default" w:ascii="Times New Roman" w:hAnsi="Times New Roman" w:cs="Times New Roman"/>
                <w:color w:val="auto"/>
                <w:sz w:val="24"/>
                <w:szCs w:val="24"/>
                <w:highlight w:val="yellow"/>
                <w:lang w:val="en-US" w:eastAsia="zh-CN"/>
              </w:rPr>
              <w:t>"</w:t>
            </w:r>
            <w:r>
              <w:rPr>
                <w:rFonts w:hint="default" w:ascii="Times New Roman" w:hAnsi="Times New Roman" w:eastAsia="宋体" w:cs="Times New Roman"/>
                <w:color w:val="auto"/>
                <w:sz w:val="24"/>
                <w:szCs w:val="24"/>
                <w:highlight w:val="yellow"/>
                <w:lang w:val="en-US" w:eastAsia="zh-CN"/>
              </w:rPr>
              <w:t>十四五</w:t>
            </w:r>
            <w:r>
              <w:rPr>
                <w:rFonts w:hint="default" w:ascii="Times New Roman" w:hAnsi="Times New Roman" w:cs="Times New Roman"/>
                <w:color w:val="auto"/>
                <w:sz w:val="24"/>
                <w:szCs w:val="24"/>
                <w:highlight w:val="yellow"/>
                <w:lang w:val="en-US" w:eastAsia="zh-CN"/>
              </w:rPr>
              <w:t>"</w:t>
            </w:r>
            <w:r>
              <w:rPr>
                <w:rFonts w:hint="default" w:ascii="Times New Roman" w:hAnsi="Times New Roman" w:eastAsia="宋体" w:cs="Times New Roman"/>
                <w:color w:val="auto"/>
                <w:sz w:val="24"/>
                <w:szCs w:val="24"/>
                <w:highlight w:val="yellow"/>
                <w:lang w:val="en-US" w:eastAsia="zh-CN"/>
              </w:rPr>
              <w:t>规划</w:t>
            </w:r>
            <w:r>
              <w:rPr>
                <w:rFonts w:hint="default" w:ascii="Times New Roman" w:hAnsi="Times New Roman" w:cs="Times New Roman"/>
                <w:color w:val="auto"/>
                <w:sz w:val="24"/>
                <w:szCs w:val="24"/>
                <w:highlight w:val="yellow"/>
                <w:lang w:val="en-US" w:eastAsia="zh-CN"/>
              </w:rPr>
              <w:t>&lt;</w:t>
            </w:r>
            <w:r>
              <w:rPr>
                <w:rFonts w:hint="default" w:ascii="Times New Roman" w:hAnsi="Times New Roman" w:eastAsia="宋体" w:cs="Times New Roman"/>
                <w:color w:val="auto"/>
                <w:sz w:val="24"/>
                <w:szCs w:val="24"/>
                <w:highlight w:val="yellow"/>
                <w:lang w:val="en-US" w:eastAsia="zh-CN"/>
              </w:rPr>
              <w:t>纲要</w:t>
            </w:r>
            <w:r>
              <w:rPr>
                <w:rFonts w:hint="default" w:ascii="Times New Roman" w:hAnsi="Times New Roman" w:cs="Times New Roman"/>
                <w:color w:val="auto"/>
                <w:sz w:val="24"/>
                <w:szCs w:val="24"/>
                <w:highlight w:val="yellow"/>
                <w:lang w:val="en-US" w:eastAsia="zh-CN"/>
              </w:rPr>
              <w:t>&gt;</w:t>
            </w:r>
            <w:r>
              <w:rPr>
                <w:rFonts w:hint="default" w:ascii="Times New Roman" w:hAnsi="Times New Roman" w:eastAsia="宋体" w:cs="Times New Roman"/>
                <w:color w:val="auto"/>
                <w:sz w:val="24"/>
                <w:szCs w:val="24"/>
                <w:highlight w:val="yellow"/>
                <w:lang w:val="en-US" w:eastAsia="zh-CN"/>
              </w:rPr>
              <w:t>102项重大工程项目入库和调度工作的通知》（黑水发〔2022〕58号），本项目属于102项重大工程涉水利项目。</w:t>
            </w:r>
          </w:p>
          <w:p w14:paraId="6699190E">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本项目严格控制用地范围，不进行无序采矿、毁林开荒、湿地和草地开垦、过度放牧、道路建设等，不属于导致水体污染的活动。不属于水源涵养功能极重要区、水源涵养功能极重要区禁止开发建设的活动。</w:t>
            </w:r>
          </w:p>
          <w:p w14:paraId="1633C9C1">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color w:val="auto"/>
                <w:sz w:val="24"/>
                <w:szCs w:val="24"/>
                <w:highlight w:val="none"/>
              </w:rPr>
              <w:t>加强施工期</w:t>
            </w:r>
            <w:r>
              <w:rPr>
                <w:rFonts w:hint="default" w:ascii="Times New Roman" w:hAnsi="Times New Roman" w:cs="Times New Roman"/>
                <w:color w:val="auto"/>
                <w:sz w:val="24"/>
                <w:szCs w:val="24"/>
                <w:highlight w:val="none"/>
                <w:lang w:val="en-US" w:eastAsia="zh-CN"/>
              </w:rPr>
              <w:t>间</w:t>
            </w:r>
            <w:r>
              <w:rPr>
                <w:rFonts w:hint="default" w:ascii="Times New Roman" w:hAnsi="Times New Roman" w:cs="Times New Roman"/>
                <w:color w:val="auto"/>
                <w:sz w:val="24"/>
                <w:szCs w:val="24"/>
                <w:highlight w:val="none"/>
              </w:rPr>
              <w:t>的环境管理，严格按征地进行施工，临时占地尽量少占，减少植被破坏；在施工期间，要禁止捕鱼、破坏占地外的植被；施工结束后，临时占地全部恢复为原地类。建设单位在认真落实环评报告中提出的各项生态保护措施的前提下，项目对生态环境的影响是暂时的，不会改变项目区的生态环境。因此，从生态环境影响角度分析，本项目选址合理可行</w:t>
            </w:r>
            <w:r>
              <w:rPr>
                <w:rFonts w:hint="default" w:ascii="Times New Roman" w:hAnsi="Times New Roman" w:cs="Times New Roman"/>
                <w:b w:val="0"/>
                <w:bCs w:val="0"/>
                <w:color w:val="auto"/>
                <w:sz w:val="24"/>
                <w:szCs w:val="24"/>
                <w:highlight w:val="none"/>
              </w:rPr>
              <w:t xml:space="preserve">。 </w:t>
            </w:r>
          </w:p>
          <w:p w14:paraId="4827F85C">
            <w:pPr>
              <w:keepNext w:val="0"/>
              <w:keepLines w:val="0"/>
              <w:pageBreakBefore w:val="0"/>
              <w:widowControl w:val="0"/>
              <w:kinsoku/>
              <w:wordWrap/>
              <w:overflowPunct/>
              <w:topLinePunct w:val="0"/>
              <w:autoSpaceDE/>
              <w:autoSpaceDN/>
              <w:bidi w:val="0"/>
              <w:adjustRightInd w:val="0"/>
              <w:snapToGrid w:val="0"/>
              <w:spacing w:line="500" w:lineRule="exact"/>
              <w:ind w:righ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2、堤防（护岸）型式选择的环境合理性分析</w:t>
            </w:r>
          </w:p>
          <w:p w14:paraId="2A7CA07D">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lang w:val="en-US" w:eastAsia="zh-CN"/>
              </w:rPr>
              <w:t>方案一:</w:t>
            </w:r>
            <w:r>
              <w:rPr>
                <w:rFonts w:hint="default" w:ascii="Times New Roman" w:hAnsi="Times New Roman" w:cs="Times New Roman"/>
                <w:b w:val="0"/>
                <w:bCs w:val="0"/>
                <w:color w:val="auto"/>
                <w:sz w:val="24"/>
                <w:szCs w:val="24"/>
                <w:highlight w:val="none"/>
                <w:lang w:eastAsia="zh-CN"/>
              </w:rPr>
              <w:t>钢筋混凝土防洪墙形式，为悬臂式挡土墙，防洪墙顶宽40cm，墙高4.3m，墙前设置50cm厚格宾石笼护脚3.0m。墙后设置4.0m宽防汛道路。</w:t>
            </w:r>
          </w:p>
          <w:p w14:paraId="5C45373E">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方案二</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土堤，设计堤顶宽度为4.0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，迎、背水侧坡比均为1</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2.0，堤顶设置4.0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宽防汛道路。堤防迎水侧采用23c</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厚雷诺护垫防护，下设10c</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碎石垫层及一层无纺布。护坡顶部设23c</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厚宽0.5</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雷诺护垫封顶，下部采用宽1.0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、高1.0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格宾石笼固脚。</w:t>
            </w:r>
          </w:p>
          <w:p w14:paraId="5B635DC0">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方案三</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浆砌石防洪墙形式，防洪墙顶宽50c</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，墙高4.3</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，墙前设置50c</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厚格宾石笼护脚3.0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。墙后设置4.0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宽防汛道路。</w:t>
            </w:r>
          </w:p>
          <w:p w14:paraId="5A3E1E8F">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方案一防洪墙断面形式，可有效减少堤防占地面积，减少工程占地投资，减轻工程实施难度。但方案一防洪墙断面形式工程总投资最大，且施工砌筑受气候因素影响较大，施工程序复杂，施工进度难以控制，且后期维修养护费用较高。方案三浆砌石防洪墙形式，工程总投资较少，但防浪墙施工受气候因素影响较大，施工程序复杂，且浆砌石施工容易出现问题。方案二土堤形式，投资和方案三相差不大，虽然占地投资较大，但施工简单，施工质量容易控制，在庆安县当地施工经验比较成熟。因此从投资、安全、施工工艺、施工进度及当地已完成工程角度出发，本次综合各方面因素，堤防主体结构形式设计选择方案二土堤形式。</w:t>
            </w:r>
          </w:p>
          <w:p w14:paraId="594F8DE3">
            <w:pPr>
              <w:keepNext w:val="0"/>
              <w:keepLines w:val="0"/>
              <w:pageBreakBefore w:val="0"/>
              <w:widowControl w:val="0"/>
              <w:kinsoku/>
              <w:wordWrap/>
              <w:overflowPunct/>
              <w:topLinePunct w:val="0"/>
              <w:autoSpaceDE/>
              <w:autoSpaceDN/>
              <w:bidi w:val="0"/>
              <w:adjustRightInd w:val="0"/>
              <w:snapToGrid w:val="0"/>
              <w:spacing w:line="500" w:lineRule="exact"/>
              <w:ind w:right="0" w:firstLine="482" w:firstLineChars="20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 xml:space="preserve">、施工生产生活区布置环境合理性分析 </w:t>
            </w:r>
          </w:p>
          <w:p w14:paraId="569AA3F5">
            <w:pPr>
              <w:keepNext w:val="0"/>
              <w:keepLines w:val="0"/>
              <w:pageBreakBefore w:val="0"/>
              <w:widowControl w:val="0"/>
              <w:kinsoku/>
              <w:wordWrap/>
              <w:overflowPunct/>
              <w:topLinePunct w:val="0"/>
              <w:autoSpaceDE/>
              <w:autoSpaceDN/>
              <w:bidi w:val="0"/>
              <w:spacing w:line="500" w:lineRule="exact"/>
              <w:ind w:right="0" w:firstLine="480" w:firstLineChars="200"/>
              <w:jc w:val="both"/>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根据工程总体布置及施工组织设计，主体工程采用集中布置、共用场地、重复利用场地等方式，在一定程度上节约了占地面积，减少了对地表植被的破坏，有利于水土流失治理；施工生产生活区选择在相对平坦的地块，场地平整工程量小，远离河道和居民区布置，减少了对敏感目标的影响。</w:t>
            </w:r>
            <w:r>
              <w:rPr>
                <w:rFonts w:hint="default" w:ascii="Times New Roman" w:hAnsi="Times New Roman" w:cs="Times New Roman"/>
                <w:bCs/>
                <w:color w:val="auto"/>
                <w:sz w:val="24"/>
                <w:szCs w:val="24"/>
                <w:highlight w:val="none"/>
                <w:lang w:eastAsia="zh-CN"/>
              </w:rPr>
              <w:t>耕地是项目区的主要土地利用类型，无法避让，因此，</w:t>
            </w:r>
            <w:r>
              <w:rPr>
                <w:rFonts w:hint="default" w:ascii="Times New Roman" w:hAnsi="Times New Roman" w:cs="Times New Roman"/>
                <w:bCs/>
                <w:color w:val="auto"/>
                <w:sz w:val="24"/>
                <w:szCs w:val="24"/>
                <w:highlight w:val="none"/>
              </w:rPr>
              <w:t>工程实施时，严格控制施工占地，集中布置临建设施，搭建临时性施工住房，修建各种仓库和工厂</w:t>
            </w:r>
            <w:r>
              <w:rPr>
                <w:rFonts w:hint="default" w:ascii="Times New Roman" w:hAnsi="Times New Roman" w:cs="Times New Roman"/>
                <w:bCs/>
                <w:color w:val="auto"/>
                <w:sz w:val="24"/>
                <w:szCs w:val="24"/>
                <w:highlight w:val="none"/>
                <w:lang w:eastAsia="zh-CN"/>
              </w:rPr>
              <w:t>，尽量减少耕地的占用</w:t>
            </w:r>
            <w:r>
              <w:rPr>
                <w:rFonts w:hint="default" w:ascii="Times New Roman" w:hAnsi="Times New Roman" w:cs="Times New Roman"/>
                <w:bCs/>
                <w:color w:val="auto"/>
                <w:sz w:val="24"/>
                <w:szCs w:val="24"/>
                <w:highlight w:val="none"/>
              </w:rPr>
              <w:t>。</w:t>
            </w:r>
            <w:r>
              <w:rPr>
                <w:rFonts w:hint="default" w:ascii="Times New Roman" w:hAnsi="Times New Roman" w:cs="Times New Roman"/>
                <w:bCs/>
                <w:color w:val="auto"/>
                <w:sz w:val="24"/>
                <w:szCs w:val="24"/>
                <w:highlight w:val="none"/>
                <w:lang w:val="en-US" w:eastAsia="zh-CN"/>
              </w:rPr>
              <w:t>本项目拌和站远离村屯和生活区布置，并位于村屯和生活区下风向，水泥筒仓和拌和站设置布袋除尘器，并设置遮蔽棚，对周边大气环境影响可接受。</w:t>
            </w:r>
            <w:r>
              <w:rPr>
                <w:rFonts w:hint="default" w:ascii="Times New Roman" w:hAnsi="Times New Roman" w:cs="Times New Roman"/>
                <w:bCs/>
                <w:color w:val="auto"/>
                <w:sz w:val="24"/>
                <w:szCs w:val="24"/>
                <w:highlight w:val="none"/>
              </w:rPr>
              <w:t>具体布置时以尽量靠近公路，方便施工、少占地、少破坏植被为原则。对于施工场地扰动地表和破坏植被面积以及所造成的水土流失，可采取工程和植物相结合的水土保持措施予以治理。</w:t>
            </w:r>
          </w:p>
          <w:p w14:paraId="4D73E7D3">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Cs/>
                <w:color w:val="auto"/>
                <w:sz w:val="24"/>
                <w:szCs w:val="24"/>
                <w:highlight w:val="none"/>
              </w:rPr>
              <w:t>本次环评已尽可能优化施工布置，</w:t>
            </w:r>
            <w:r>
              <w:rPr>
                <w:rFonts w:hint="default" w:ascii="Times New Roman" w:hAnsi="Times New Roman" w:cs="Times New Roman"/>
                <w:bCs/>
                <w:color w:val="auto"/>
                <w:sz w:val="24"/>
                <w:szCs w:val="24"/>
                <w:highlight w:val="none"/>
                <w:lang w:val="en-US" w:eastAsia="zh-CN"/>
              </w:rPr>
              <w:t>尽量</w:t>
            </w:r>
            <w:r>
              <w:rPr>
                <w:rFonts w:hint="default" w:ascii="Times New Roman" w:hAnsi="Times New Roman" w:cs="Times New Roman"/>
                <w:bCs/>
                <w:color w:val="auto"/>
                <w:sz w:val="24"/>
                <w:szCs w:val="24"/>
                <w:highlight w:val="none"/>
                <w:lang w:eastAsia="zh-CN"/>
              </w:rPr>
              <w:t>利用现有道路，不设置弃渣场，</w:t>
            </w:r>
            <w:r>
              <w:rPr>
                <w:rFonts w:hint="default" w:ascii="Times New Roman" w:hAnsi="Times New Roman" w:cs="Times New Roman"/>
                <w:bCs/>
                <w:color w:val="auto"/>
                <w:sz w:val="24"/>
                <w:szCs w:val="24"/>
                <w:highlight w:val="none"/>
              </w:rPr>
              <w:t>施工生产生活区</w:t>
            </w:r>
            <w:r>
              <w:rPr>
                <w:rFonts w:hint="default" w:ascii="Times New Roman" w:hAnsi="Times New Roman" w:cs="Times New Roman"/>
                <w:bCs/>
                <w:color w:val="auto"/>
                <w:sz w:val="24"/>
                <w:szCs w:val="24"/>
                <w:highlight w:val="none"/>
                <w:lang w:val="en-US" w:eastAsia="zh-CN"/>
              </w:rPr>
              <w:t>不</w:t>
            </w:r>
            <w:r>
              <w:rPr>
                <w:rFonts w:hint="default" w:ascii="Times New Roman" w:hAnsi="Times New Roman" w:cs="Times New Roman"/>
                <w:bCs/>
                <w:color w:val="auto"/>
                <w:sz w:val="24"/>
                <w:szCs w:val="24"/>
                <w:highlight w:val="none"/>
              </w:rPr>
              <w:t>设置</w:t>
            </w:r>
            <w:r>
              <w:rPr>
                <w:rFonts w:hint="default" w:ascii="Times New Roman" w:hAnsi="Times New Roman" w:cs="Times New Roman"/>
                <w:bCs/>
                <w:color w:val="auto"/>
                <w:sz w:val="24"/>
                <w:szCs w:val="24"/>
                <w:highlight w:val="none"/>
                <w:lang w:val="en-US" w:eastAsia="zh-CN"/>
              </w:rPr>
              <w:t>在生态保护红线</w:t>
            </w:r>
            <w:r>
              <w:rPr>
                <w:rFonts w:hint="default" w:ascii="Times New Roman" w:hAnsi="Times New Roman" w:cs="Times New Roman"/>
                <w:bCs/>
                <w:color w:val="auto"/>
                <w:sz w:val="24"/>
                <w:szCs w:val="24"/>
                <w:highlight w:val="none"/>
              </w:rPr>
              <w:t>内。土料堆置时加强防护，坡脚用编织袋填筑土埂压盖并拦挡，表面密目网覆盖，以减少水土流失，施工结束后进行土地复垦</w:t>
            </w:r>
            <w:r>
              <w:rPr>
                <w:rFonts w:hint="default" w:ascii="Times New Roman" w:hAnsi="Times New Roman" w:cs="Times New Roman"/>
                <w:bCs/>
                <w:color w:val="auto"/>
                <w:sz w:val="24"/>
                <w:szCs w:val="24"/>
                <w:highlight w:val="none"/>
                <w:lang w:eastAsia="zh-CN"/>
              </w:rPr>
              <w:t>和植被恢复</w:t>
            </w:r>
            <w:r>
              <w:rPr>
                <w:rFonts w:hint="default" w:ascii="Times New Roman" w:hAnsi="Times New Roman" w:cs="Times New Roman"/>
                <w:bCs/>
                <w:color w:val="auto"/>
                <w:sz w:val="24"/>
                <w:szCs w:val="24"/>
                <w:highlight w:val="none"/>
              </w:rPr>
              <w:t>，综上所述，本项目的施工布置合理。</w:t>
            </w:r>
          </w:p>
          <w:p w14:paraId="366949C5">
            <w:pPr>
              <w:keepNext w:val="0"/>
              <w:keepLines w:val="0"/>
              <w:pageBreakBefore w:val="0"/>
              <w:widowControl w:val="0"/>
              <w:kinsoku/>
              <w:wordWrap/>
              <w:overflowPunct/>
              <w:topLinePunct w:val="0"/>
              <w:autoSpaceDE/>
              <w:autoSpaceDN/>
              <w:bidi w:val="0"/>
              <w:adjustRightInd w:val="0"/>
              <w:snapToGrid w:val="0"/>
              <w:spacing w:line="500" w:lineRule="exact"/>
              <w:ind w:right="0" w:firstLine="482" w:firstLineChars="20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 xml:space="preserve">、弃渣场、料场选址合理性分析 </w:t>
            </w:r>
          </w:p>
          <w:p w14:paraId="12C38B5D">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 xml:space="preserve">（1）弃渣场环境合理性分析 </w:t>
            </w:r>
          </w:p>
          <w:p w14:paraId="4472E8CF">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 xml:space="preserve">本项目不设弃渣场。 </w:t>
            </w:r>
          </w:p>
          <w:p w14:paraId="4217D7F3">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 xml:space="preserve">（2）料场环境合理性分析 </w:t>
            </w:r>
          </w:p>
          <w:p w14:paraId="24643850">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料场位于庆安县新立林场内黏土料场，距离项目区平均运距为28k</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，其中距离1号堤防平均运距为34.50k</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；距离2号堤防平均运距为30.50k</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；距离3号堤防平均运距为30k</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；距离4号堤防平均运距为24k</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；距离5号堤防平均运距为21k</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。交通便利，有县道、农道相通。该料场质量基本可满足筑堤的技术要求。设计用料为73.55×10</w:t>
            </w:r>
            <w:r>
              <w:rPr>
                <w:rFonts w:hint="default" w:ascii="Times New Roman" w:hAnsi="Times New Roman" w:cs="Times New Roman"/>
                <w:b w:val="0"/>
                <w:bCs w:val="0"/>
                <w:color w:val="auto"/>
                <w:sz w:val="24"/>
                <w:szCs w:val="24"/>
                <w:highlight w:val="none"/>
                <w:vertAlign w:val="superscript"/>
              </w:rPr>
              <w:t>4</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vertAlign w:val="superscript"/>
              </w:rPr>
              <w:t>3</w:t>
            </w:r>
            <w:r>
              <w:rPr>
                <w:rFonts w:hint="default" w:ascii="Times New Roman" w:hAnsi="Times New Roman" w:cs="Times New Roman"/>
                <w:b w:val="0"/>
                <w:bCs w:val="0"/>
                <w:color w:val="auto"/>
                <w:sz w:val="24"/>
                <w:szCs w:val="24"/>
                <w:highlight w:val="none"/>
              </w:rPr>
              <w:t>，该料场有用层总储量为120×10</w:t>
            </w:r>
            <w:r>
              <w:rPr>
                <w:rFonts w:hint="default" w:ascii="Times New Roman" w:hAnsi="Times New Roman" w:cs="Times New Roman"/>
                <w:b w:val="0"/>
                <w:bCs w:val="0"/>
                <w:color w:val="auto"/>
                <w:sz w:val="24"/>
                <w:szCs w:val="24"/>
                <w:highlight w:val="none"/>
                <w:vertAlign w:val="superscript"/>
              </w:rPr>
              <w:t>4</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vertAlign w:val="superscript"/>
              </w:rPr>
              <w:t>3</w:t>
            </w:r>
            <w:r>
              <w:rPr>
                <w:rFonts w:hint="default" w:ascii="Times New Roman" w:hAnsi="Times New Roman" w:cs="Times New Roman"/>
                <w:b w:val="0"/>
                <w:bCs w:val="0"/>
                <w:color w:val="auto"/>
                <w:sz w:val="24"/>
                <w:szCs w:val="24"/>
                <w:highlight w:val="none"/>
              </w:rPr>
              <w:t>，储量为设计用量的1.63倍，满足设计需要。</w:t>
            </w:r>
            <w:r>
              <w:rPr>
                <w:rFonts w:hint="default" w:ascii="Times New Roman" w:hAnsi="Times New Roman" w:cs="Times New Roman"/>
                <w:b w:val="0"/>
                <w:bCs w:val="0"/>
                <w:color w:val="auto"/>
                <w:sz w:val="24"/>
                <w:szCs w:val="24"/>
                <w:highlight w:val="none"/>
                <w:lang w:val="en-US" w:eastAsia="zh-CN"/>
              </w:rPr>
              <w:t>料场</w:t>
            </w:r>
            <w:r>
              <w:rPr>
                <w:rFonts w:hint="default" w:ascii="Times New Roman" w:hAnsi="Times New Roman" w:cs="Times New Roman"/>
                <w:b w:val="0"/>
                <w:bCs w:val="0"/>
                <w:color w:val="auto"/>
                <w:sz w:val="24"/>
                <w:szCs w:val="24"/>
                <w:highlight w:val="none"/>
              </w:rPr>
              <w:t>占地类型全部为</w:t>
            </w:r>
            <w:r>
              <w:rPr>
                <w:rFonts w:hint="default" w:ascii="Times New Roman" w:hAnsi="Times New Roman" w:cs="Times New Roman"/>
                <w:b w:val="0"/>
                <w:bCs w:val="0"/>
                <w:color w:val="auto"/>
                <w:sz w:val="24"/>
                <w:szCs w:val="24"/>
                <w:highlight w:val="none"/>
                <w:lang w:val="en-US" w:eastAsia="zh-CN"/>
              </w:rPr>
              <w:t>一般农田</w:t>
            </w:r>
            <w:r>
              <w:rPr>
                <w:rFonts w:hint="default" w:ascii="Times New Roman" w:hAnsi="Times New Roman" w:cs="Times New Roman"/>
                <w:b w:val="0"/>
                <w:bCs w:val="0"/>
                <w:color w:val="auto"/>
                <w:sz w:val="24"/>
                <w:szCs w:val="24"/>
                <w:highlight w:val="none"/>
              </w:rPr>
              <w:t>。料场占地不涉及自然保护区、风景名胜区、饮用水水源保护区、森林公园、地质公园等环境敏感区。料场开挖前，需要表土剥离，集中堆存表层腐殖土，做好水土保持措施，表土剥离和水保措施严格按照水保方案有关要求落实。料场属于临时占地，施工结束后，对边坡进行削坡整形，坡比 1</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2，水土保持恢复表土后进行植被恢复。因此，从环境保护角度分析，本项目料场选址合理。</w:t>
            </w:r>
          </w:p>
          <w:p w14:paraId="10DA87A4">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p>
          <w:p w14:paraId="72A984B3">
            <w:pPr>
              <w:ind w:firstLine="480"/>
              <w:rPr>
                <w:rFonts w:hint="default" w:ascii="Times New Roman" w:hAnsi="Times New Roman" w:cs="Times New Roman"/>
                <w:color w:val="auto"/>
                <w:highlight w:val="none"/>
              </w:rPr>
            </w:pPr>
          </w:p>
        </w:tc>
      </w:tr>
    </w:tbl>
    <w:p w14:paraId="6BF5F0CB">
      <w:pPr>
        <w:widowControl/>
        <w:ind w:firstLine="720"/>
        <w:jc w:val="left"/>
        <w:rPr>
          <w:rFonts w:hint="default" w:ascii="Times New Roman" w:hAnsi="Times New Roman" w:cs="Times New Roman"/>
          <w:snapToGrid w:val="0"/>
          <w:color w:val="auto"/>
          <w:kern w:val="0"/>
          <w:sz w:val="36"/>
          <w:szCs w:val="36"/>
          <w:highlight w:val="none"/>
        </w:rPr>
        <w:sectPr>
          <w:pgSz w:w="11906" w:h="16838"/>
          <w:pgMar w:top="1440" w:right="1800" w:bottom="1440" w:left="1800" w:header="851" w:footer="1077" w:gutter="0"/>
          <w:cols w:space="720" w:num="1"/>
        </w:sectPr>
      </w:pPr>
    </w:p>
    <w:p w14:paraId="530B75CB">
      <w:pPr>
        <w:pStyle w:val="2"/>
        <w:bidi w:val="0"/>
        <w:jc w:val="center"/>
        <w:rPr>
          <w:rFonts w:hint="default" w:ascii="Times New Roman" w:hAnsi="Times New Roman" w:eastAsia="宋体" w:cs="Times New Roman"/>
          <w:highlight w:val="none"/>
        </w:rPr>
      </w:pPr>
      <w:bookmarkStart w:id="50" w:name="_Toc27005"/>
      <w:bookmarkStart w:id="51" w:name="_Toc25490"/>
      <w:r>
        <w:rPr>
          <w:rFonts w:hint="default" w:ascii="Times New Roman" w:hAnsi="Times New Roman" w:eastAsia="宋体" w:cs="Times New Roman"/>
          <w:highlight w:val="none"/>
        </w:rPr>
        <w:t>五、主要生态环境保护措施</w:t>
      </w:r>
      <w:bookmarkEnd w:id="50"/>
      <w:bookmarkEnd w:id="51"/>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7758"/>
      </w:tblGrid>
      <w:tr w14:paraId="7F148E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0" w:hRule="atLeast"/>
          <w:jc w:val="center"/>
        </w:trPr>
        <w:tc>
          <w:tcPr>
            <w:tcW w:w="409" w:type="pct"/>
            <w:tcBorders>
              <w:top w:val="single" w:color="auto" w:sz="8" w:space="0"/>
              <w:left w:val="single" w:color="auto" w:sz="8" w:space="0"/>
              <w:bottom w:val="single" w:color="auto" w:sz="4" w:space="0"/>
              <w:right w:val="single" w:color="auto" w:sz="4" w:space="0"/>
            </w:tcBorders>
            <w:noWrap w:val="0"/>
            <w:tcMar>
              <w:top w:w="0" w:type="dxa"/>
              <w:left w:w="28" w:type="dxa"/>
              <w:bottom w:w="0" w:type="dxa"/>
              <w:right w:w="28" w:type="dxa"/>
            </w:tcMar>
            <w:vAlign w:val="center"/>
          </w:tcPr>
          <w:p w14:paraId="6B187187">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pacing w:val="10"/>
                <w:sz w:val="24"/>
                <w:highlight w:val="none"/>
              </w:rPr>
              <w:t>施工期生态环境保护措施</w:t>
            </w:r>
          </w:p>
        </w:tc>
        <w:tc>
          <w:tcPr>
            <w:tcW w:w="4591" w:type="pct"/>
            <w:tcBorders>
              <w:top w:val="single" w:color="auto" w:sz="8" w:space="0"/>
              <w:left w:val="single" w:color="auto" w:sz="4" w:space="0"/>
              <w:bottom w:val="single" w:color="auto" w:sz="4" w:space="0"/>
              <w:right w:val="single" w:color="auto" w:sz="8" w:space="0"/>
            </w:tcBorders>
            <w:noWrap w:val="0"/>
            <w:vAlign w:val="top"/>
          </w:tcPr>
          <w:p w14:paraId="752C093A">
            <w:pPr>
              <w:keepNext w:val="0"/>
              <w:keepLines w:val="0"/>
              <w:pageBreakBefore w:val="0"/>
              <w:kinsoku/>
              <w:wordWrap/>
              <w:overflowPunct/>
              <w:topLinePunct/>
              <w:autoSpaceDE/>
              <w:autoSpaceDN/>
              <w:bidi w:val="0"/>
              <w:spacing w:line="500" w:lineRule="exact"/>
              <w:ind w:firstLine="522" w:firstLineChars="200"/>
              <w:textAlignment w:val="auto"/>
              <w:rPr>
                <w:rFonts w:hint="default" w:ascii="Times New Roman" w:hAnsi="Times New Roman" w:cs="Times New Roman"/>
                <w:b/>
                <w:bCs/>
                <w:color w:val="auto"/>
                <w:spacing w:val="10"/>
                <w:sz w:val="24"/>
                <w:highlight w:val="none"/>
              </w:rPr>
            </w:pPr>
            <w:r>
              <w:rPr>
                <w:rFonts w:hint="default" w:ascii="Times New Roman" w:hAnsi="Times New Roman" w:cs="Times New Roman"/>
                <w:b/>
                <w:bCs/>
                <w:color w:val="auto"/>
                <w:spacing w:val="10"/>
                <w:sz w:val="24"/>
                <w:highlight w:val="none"/>
              </w:rPr>
              <w:t>一、生态环境保护措施</w:t>
            </w:r>
          </w:p>
          <w:p w14:paraId="6AC7592D">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val="0"/>
                <w:color w:val="auto"/>
                <w:spacing w:val="0"/>
                <w:sz w:val="24"/>
                <w:highlight w:val="none"/>
                <w:lang w:eastAsia="zh-CN"/>
              </w:rPr>
            </w:pPr>
            <w:r>
              <w:rPr>
                <w:rFonts w:hint="default" w:ascii="Times New Roman" w:hAnsi="Times New Roman" w:eastAsia="宋体" w:cs="Times New Roman"/>
                <w:b/>
                <w:bCs w:val="0"/>
                <w:color w:val="auto"/>
                <w:spacing w:val="0"/>
                <w:sz w:val="24"/>
                <w:highlight w:val="none"/>
                <w:lang w:val="en-US" w:eastAsia="zh-CN"/>
              </w:rPr>
              <w:t>1、</w:t>
            </w:r>
            <w:r>
              <w:rPr>
                <w:rFonts w:hint="default" w:ascii="Times New Roman" w:hAnsi="Times New Roman" w:eastAsia="宋体" w:cs="Times New Roman"/>
                <w:b/>
                <w:bCs w:val="0"/>
                <w:color w:val="auto"/>
                <w:sz w:val="24"/>
                <w:highlight w:val="none"/>
              </w:rPr>
              <w:t>陆域生态保护措施</w:t>
            </w:r>
          </w:p>
          <w:p w14:paraId="7203EB9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eastAsia="宋体" w:cs="Times New Roman"/>
                <w:bCs/>
                <w:color w:val="auto"/>
                <w:spacing w:val="0"/>
                <w:sz w:val="24"/>
                <w:highlight w:val="none"/>
                <w:lang w:val="en-US" w:eastAsia="zh-CN"/>
              </w:rPr>
              <w:t>（1）施工占地和植物保护措施</w:t>
            </w:r>
          </w:p>
          <w:p w14:paraId="7364CD6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施工占地对生态环境的影响范围为施工范围内，施工占地破坏了占地范围内的植被，使占地范围内的动物离开该区域，一些小型的昆虫无法及时躲避造成死亡，生态影响的对象主要是动植物，使生物量和生物多样性迅速减少。</w:t>
            </w:r>
          </w:p>
          <w:p w14:paraId="0D5F83F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临时占地在施工结束后，通过土地翻耕、平整，恢复为原地类。因此临时占地的影响时段主要在施工期。影响时间短，影响程度低。临时占地生态恢复后，在附近生活的动物会慢慢占领该区域，生物多样性也会慢慢得到改善。</w:t>
            </w:r>
          </w:p>
          <w:p w14:paraId="32DE6AC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严格执行《中华人民共和国黑土地保护法</w:t>
            </w:r>
            <w:r>
              <w:rPr>
                <w:rFonts w:hint="default" w:ascii="Times New Roman" w:hAnsi="Times New Roman" w:eastAsia="宋体"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黑龙江省黑土地保护利用条例》，任何组织和个人应当节约使用黑土。</w:t>
            </w:r>
            <w:r>
              <w:rPr>
                <w:rFonts w:hint="default" w:ascii="Times New Roman" w:hAnsi="Times New Roman" w:eastAsia="宋体" w:cs="Times New Roman"/>
                <w:color w:val="auto"/>
                <w:spacing w:val="0"/>
                <w:kern w:val="0"/>
                <w:sz w:val="24"/>
                <w:highlight w:val="none"/>
              </w:rPr>
              <w:t>表土剥离活动中收集的黑土，经县级以上人民政府指定的部门备案并取得备案凭证后，可以用于土地复垦等。</w:t>
            </w:r>
            <w:r>
              <w:rPr>
                <w:rFonts w:hint="default" w:ascii="Times New Roman" w:hAnsi="Times New Roman" w:eastAsia="宋体" w:cs="Times New Roman"/>
                <w:bCs/>
                <w:color w:val="auto"/>
                <w:spacing w:val="0"/>
                <w:sz w:val="24"/>
                <w:highlight w:val="none"/>
              </w:rPr>
              <w:t>建设单位应当制定剥离黑土的再利用方案，报自然资源主管部门备案。</w:t>
            </w:r>
          </w:p>
          <w:p w14:paraId="0BF0E1F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2）野生动物保护措施</w:t>
            </w:r>
          </w:p>
          <w:p w14:paraId="7784558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施工期对陆生生物的保护对象主要为一些可食用的野生动物，野鸡、野鸭、鸟类等。保护时段为施工期。</w:t>
            </w:r>
          </w:p>
          <w:p w14:paraId="290DA38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施工期间，应做好施工人员的管理教育工作，对施工人员进行生态保护宣传教育，深入宣传贯彻国家颁布的《中华人民共和国土地管理法</w:t>
            </w:r>
            <w:r>
              <w:rPr>
                <w:rFonts w:hint="default" w:ascii="Times New Roman" w:hAnsi="Times New Roman" w:eastAsia="宋体"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中华人民共和国野生动物保护法</w:t>
            </w:r>
            <w:r>
              <w:rPr>
                <w:rFonts w:hint="default" w:ascii="Times New Roman" w:hAnsi="Times New Roman" w:eastAsia="宋体"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中华人民共和国渔业法》，并认真执行《中华人民共和国水产资源繁殖保护条例》有关规定，提高施工人员的生态环境保护意识，保护工程施工区域的动植物资源和水生生物资源严禁捕鱼，严禁猎杀野生动物，严禁随意破坏植被。建立生态破坏惩罚制度，严禁施工人员非法猎捕野生动物，禁止施工人员食用野鸡、野鸭、鸟类等；限制施工人员在施工以外区域活动，禁止施工人员野外用火，把对野生动物的干扰降至最低程度。</w:t>
            </w:r>
          </w:p>
          <w:p w14:paraId="0DF46C8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严格执行环境保护各项方针、政策法规，认真落实项目区周围植被和野生动物保护等各项措施，促进周围生态环境保护和建设，促进本区域的社会、经济、环境协调持续发展。</w:t>
            </w:r>
          </w:p>
          <w:p w14:paraId="12764F6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lang w:val="en-US" w:eastAsia="zh-CN"/>
              </w:rPr>
              <w:t>（3</w:t>
            </w:r>
            <w:r>
              <w:rPr>
                <w:rFonts w:hint="default" w:ascii="Times New Roman" w:hAnsi="Times New Roman" w:eastAsia="宋体" w:cs="Times New Roman"/>
                <w:bCs/>
                <w:color w:val="auto"/>
                <w:spacing w:val="0"/>
                <w:sz w:val="24"/>
                <w:highlight w:val="none"/>
              </w:rPr>
              <w:t>）水土保持措施</w:t>
            </w:r>
          </w:p>
          <w:p w14:paraId="399BF8FE">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为保护表土，</w:t>
            </w:r>
            <w:r>
              <w:rPr>
                <w:rFonts w:hint="default" w:ascii="Times New Roman" w:hAnsi="Times New Roman" w:eastAsia="宋体" w:cs="Times New Roman"/>
                <w:color w:val="auto"/>
                <w:sz w:val="24"/>
                <w:highlight w:val="none"/>
              </w:rPr>
              <w:t>本次环评提出在施工前对占用耕地、林地和草地进行表土剥离，剥离厚度耕地为30c</w:t>
            </w:r>
            <w:r>
              <w:rPr>
                <w:rFonts w:hint="default" w:ascii="Times New Roman" w:hAnsi="Times New Roman" w:cs="Times New Roman"/>
                <w:color w:val="auto"/>
                <w:sz w:val="24"/>
                <w:highlight w:val="none"/>
                <w:lang w:eastAsia="zh-CN"/>
              </w:rPr>
              <w:t>m</w:t>
            </w:r>
            <w:r>
              <w:rPr>
                <w:rFonts w:hint="default" w:ascii="Times New Roman" w:hAnsi="Times New Roman" w:eastAsia="宋体" w:cs="Times New Roman"/>
                <w:color w:val="auto"/>
                <w:sz w:val="24"/>
                <w:highlight w:val="none"/>
              </w:rPr>
              <w:t>，林地和草地为20c</w:t>
            </w:r>
            <w:r>
              <w:rPr>
                <w:rFonts w:hint="default" w:ascii="Times New Roman" w:hAnsi="Times New Roman" w:cs="Times New Roman"/>
                <w:color w:val="auto"/>
                <w:sz w:val="24"/>
                <w:highlight w:val="none"/>
                <w:lang w:eastAsia="zh-CN"/>
              </w:rPr>
              <w:t>m</w:t>
            </w:r>
            <w:r>
              <w:rPr>
                <w:rFonts w:hint="default" w:ascii="Times New Roman" w:hAnsi="Times New Roman" w:eastAsia="宋体" w:cs="Times New Roman"/>
                <w:color w:val="auto"/>
                <w:spacing w:val="0"/>
                <w:sz w:val="24"/>
                <w:highlight w:val="none"/>
              </w:rPr>
              <w:t>，剥离的表土集中堆放。施工结束后回覆表土。</w:t>
            </w:r>
          </w:p>
          <w:p w14:paraId="6D4A5F50">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表层土临时堆置，堆高控制在3</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以内，坡顶及坡面采用密目网压盖，坡脚采用编织袋土埂临时拦挡，坡脚用编织袋填筑土埂压盖，选用2层编织袋土埂，土埂断面尺寸为顶宽0.4</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，高0.3</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，边坡1</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1等腰梯形断面，土埂用土可利用表土充填。施工结束后，拆除临时防护措施。施工期间，占地区大部分区域被临时建筑物遮蔽，可以控制水土流失现象的发生。为拦截地表径流，在施工场地周边布置临时排水沟，将径流</w:t>
            </w:r>
            <w:r>
              <w:rPr>
                <w:rFonts w:hint="default" w:ascii="Times New Roman" w:hAnsi="Times New Roman" w:cs="Times New Roman"/>
                <w:bCs/>
                <w:color w:val="auto"/>
                <w:spacing w:val="0"/>
                <w:sz w:val="24"/>
                <w:highlight w:val="none"/>
                <w:lang w:eastAsia="zh-CN"/>
              </w:rPr>
              <w:t>导至附近</w:t>
            </w:r>
            <w:r>
              <w:rPr>
                <w:rFonts w:hint="default" w:ascii="Times New Roman" w:hAnsi="Times New Roman" w:eastAsia="宋体" w:cs="Times New Roman"/>
                <w:bCs/>
                <w:color w:val="auto"/>
                <w:spacing w:val="0"/>
                <w:sz w:val="24"/>
                <w:highlight w:val="none"/>
              </w:rPr>
              <w:t>道路排水沟，临时排水沟断面采用底宽0.4</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，边坡1</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1，排水沟深0.3</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w:t>
            </w:r>
          </w:p>
          <w:p w14:paraId="4FCF5552">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（4）土壤环境保护措施</w:t>
            </w:r>
          </w:p>
          <w:p w14:paraId="3B8E68E4">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①表土剥离措施</w:t>
            </w:r>
          </w:p>
          <w:p w14:paraId="55306A34">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为保护表土，施工前将表土剥离，进行分层剥离，有层次</w:t>
            </w:r>
            <w:r>
              <w:rPr>
                <w:rFonts w:hint="default"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堆放保存，对剥离的表土进行苫盖密目网。施工结束后用于回填，用于</w:t>
            </w:r>
            <w:r>
              <w:rPr>
                <w:rFonts w:hint="default" w:ascii="Times New Roman" w:hAnsi="Times New Roman" w:eastAsia="宋体" w:cs="Times New Roman"/>
                <w:color w:val="auto"/>
                <w:sz w:val="24"/>
                <w:highlight w:val="none"/>
                <w:lang w:val="en-US" w:eastAsia="zh-CN"/>
              </w:rPr>
              <w:t>临时占地的</w:t>
            </w:r>
            <w:r>
              <w:rPr>
                <w:rFonts w:hint="default" w:ascii="Times New Roman" w:hAnsi="Times New Roman" w:eastAsia="宋体" w:cs="Times New Roman"/>
                <w:color w:val="auto"/>
                <w:sz w:val="24"/>
                <w:highlight w:val="none"/>
              </w:rPr>
              <w:t>生态恢复。</w:t>
            </w:r>
          </w:p>
          <w:p w14:paraId="79D6B228">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②黑土地保护措施</w:t>
            </w:r>
          </w:p>
          <w:p w14:paraId="46FFE851">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根据《中华人民共和国黑土地保护法》，</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建设项目不得占用黑土地；确需占用的，应当依法严格审批，并补充数量和质量相当的耕地。建设项目占用黑土地的，应当按照规定的标准对耕作层的土壤进行剥离。剥离的黑土应当就近用于新开垦耕地和劣质耕地改良、被污染耕地的治理、高标准农田建设、土地复垦等。建设项目主体应当制定剥离黑土的再利用方案，报自然资源主管部门备案。</w:t>
            </w:r>
            <w:r>
              <w:rPr>
                <w:rFonts w:hint="default" w:ascii="Times New Roman" w:hAnsi="Times New Roman" w:cs="Times New Roman"/>
                <w:color w:val="auto"/>
                <w:sz w:val="24"/>
                <w:highlight w:val="none"/>
                <w:lang w:eastAsia="zh-CN"/>
              </w:rPr>
              <w:t>"</w:t>
            </w:r>
          </w:p>
          <w:p w14:paraId="7A7930D9">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本工程占地表土耕作层单独收集暂存至</w:t>
            </w:r>
            <w:r>
              <w:rPr>
                <w:rFonts w:hint="default" w:ascii="Times New Roman" w:hAnsi="Times New Roman" w:eastAsia="宋体" w:cs="Times New Roman"/>
                <w:color w:val="auto"/>
                <w:sz w:val="24"/>
                <w:highlight w:val="none"/>
                <w:lang w:val="en-US" w:eastAsia="zh-CN"/>
              </w:rPr>
              <w:t>临时堆土场</w:t>
            </w:r>
            <w:r>
              <w:rPr>
                <w:rFonts w:hint="default" w:ascii="Times New Roman" w:hAnsi="Times New Roman" w:eastAsia="宋体" w:cs="Times New Roman"/>
                <w:color w:val="auto"/>
                <w:sz w:val="24"/>
                <w:highlight w:val="none"/>
              </w:rPr>
              <w:t>内，严格落实黑土地保护利用的相关法律法规、规章制度，做好黑土地保护利用工作。应当节约、集约使用黑土地，按照有关标准、规范和管理规定剥离表土，做好表土保护，避免导致水淹耕地或者破坏黑土地生态环境。表土剥离、运输、存储过程中，应采取水土保持和扬尘防治措施、必要的工程防护和保育措施，防止土壤和环境污染，防止出现水土流失、土壤质量退化和安全隐患。</w:t>
            </w:r>
          </w:p>
          <w:p w14:paraId="53AA5B64">
            <w:pPr>
              <w:pStyle w:val="10"/>
              <w:keepNext w:val="0"/>
              <w:keepLines w:val="0"/>
              <w:pageBreakBefore w:val="0"/>
              <w:kinsoku/>
              <w:wordWrap/>
              <w:overflowPunct/>
              <w:autoSpaceDE/>
              <w:autoSpaceDN/>
              <w:bidi w:val="0"/>
              <w:spacing w:after="0"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rPr>
              <w:t>根据《中华人民共和国黑土地保护法黑土地保护法</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黑龙江省人民政府办公厅关于建设占用耕地耕作层土壤剥离利用改造的指导意见（试行）》及相关法规，在施工期环境监理过程中及竣工环保验收时，将本项目土壤层剥离、堆存保护与利用作为重点工作。</w:t>
            </w:r>
          </w:p>
          <w:p w14:paraId="68FE84E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lang w:val="en-US" w:eastAsia="zh-CN"/>
              </w:rPr>
              <w:t>（5</w:t>
            </w:r>
            <w:r>
              <w:rPr>
                <w:rFonts w:hint="default" w:ascii="Times New Roman" w:hAnsi="Times New Roman" w:eastAsia="宋体" w:cs="Times New Roman"/>
                <w:bCs/>
                <w:color w:val="auto"/>
                <w:spacing w:val="0"/>
                <w:sz w:val="24"/>
                <w:highlight w:val="none"/>
              </w:rPr>
              <w:t>）生态恢复措施</w:t>
            </w:r>
          </w:p>
          <w:p w14:paraId="288EE3D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本工程严格落实黑土地保护利用的相关法律法规、规章制度，做好黑土地保护利用工作。应当节约、集约使用黑土地，按照有关标准、规范和管理规定剥离表土，做好表土保护，避免破坏黑土地生态环境。表土剥离、运输、存储过程中，应采取水土保持和扬尘防治措施、必要的工程防护和保育措施，防止土壤和环境污染，防止出现水土流失、土壤质量退化和安全隐患。</w:t>
            </w:r>
          </w:p>
          <w:p w14:paraId="33A810FD">
            <w:pPr>
              <w:pStyle w:val="24"/>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sz w:val="24"/>
                <w:highlight w:val="none"/>
              </w:rPr>
              <w:t>施工结束后临时工程全部废止，拆除设施设备后，进行地面平整，恢复为耕地。</w:t>
            </w:r>
            <w:r>
              <w:rPr>
                <w:rFonts w:hint="default" w:ascii="Times New Roman" w:hAnsi="Times New Roman" w:eastAsia="宋体" w:cs="Times New Roman"/>
                <w:bCs/>
                <w:color w:val="auto"/>
                <w:spacing w:val="0"/>
                <w:sz w:val="24"/>
                <w:highlight w:val="none"/>
                <w:lang w:eastAsia="zh-CN"/>
              </w:rPr>
              <w:t>本工程生态恢复主体为庆安县中小型水利工程建设管理中心。</w:t>
            </w:r>
          </w:p>
          <w:p w14:paraId="7566003B">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①施工生产生活区恢复措施</w:t>
            </w:r>
          </w:p>
          <w:p w14:paraId="0BF3EEAB">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根据施工临时生产生活区建筑物后期裸露地表植被建设的需要，在开工前剥离占地范围内的表土，剥离厚度为30c</w:t>
            </w:r>
            <w:r>
              <w:rPr>
                <w:rFonts w:hint="default" w:ascii="Times New Roman" w:hAnsi="Times New Roman" w:cs="Times New Roman"/>
                <w:color w:val="auto"/>
                <w:kern w:val="0"/>
                <w:sz w:val="24"/>
                <w:szCs w:val="20"/>
                <w:highlight w:val="none"/>
                <w:lang w:val="en-US" w:eastAsia="zh-CN" w:bidi="ar-SA"/>
              </w:rPr>
              <w:t>m</w:t>
            </w:r>
            <w:r>
              <w:rPr>
                <w:rFonts w:hint="default" w:ascii="Times New Roman" w:hAnsi="Times New Roman" w:eastAsia="宋体" w:cs="Times New Roman"/>
                <w:color w:val="auto"/>
                <w:kern w:val="0"/>
                <w:sz w:val="24"/>
                <w:szCs w:val="20"/>
                <w:highlight w:val="none"/>
                <w:lang w:val="en-US" w:eastAsia="zh-CN" w:bidi="ar-SA"/>
              </w:rPr>
              <w:t>，临时堆放在生产生活区附近，并采取密目网苫盖。施工结束后对施工生产生活区事先收集的表土进行覆土，并采取撒播草籽的措施进行植被恢复。</w:t>
            </w:r>
          </w:p>
          <w:p w14:paraId="2446E35C">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②施工临时道路恢复措施</w:t>
            </w:r>
          </w:p>
          <w:p w14:paraId="1C7F1245">
            <w:pPr>
              <w:pStyle w:val="111"/>
              <w:keepNext w:val="0"/>
              <w:keepLines w:val="0"/>
              <w:pageBreakBefore w:val="0"/>
              <w:widowControl w:val="0"/>
              <w:kinsoku/>
              <w:wordWrap/>
              <w:overflowPunct/>
              <w:autoSpaceDE/>
              <w:autoSpaceDN/>
              <w:bidi w:val="0"/>
              <w:spacing w:line="500" w:lineRule="exact"/>
              <w:ind w:firstLine="48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0"/>
                <w:highlight w:val="none"/>
                <w:lang w:val="zh-CN" w:eastAsia="zh-CN" w:bidi="ar-SA"/>
              </w:rPr>
              <w:t>本工程施工大部分利用原堤顶道路和附近村屯现有道路，仅部分路段布置临时道路，为土质路面。施工道路区占地</w:t>
            </w:r>
            <w:r>
              <w:rPr>
                <w:rFonts w:hint="default" w:ascii="Times New Roman" w:hAnsi="Times New Roman" w:eastAsia="宋体" w:cs="Times New Roman"/>
                <w:color w:val="auto"/>
                <w:kern w:val="0"/>
                <w:sz w:val="24"/>
                <w:szCs w:val="20"/>
                <w:highlight w:val="none"/>
                <w:lang w:val="en-US" w:eastAsia="zh-CN" w:bidi="ar-SA"/>
              </w:rPr>
              <w:t>13.36</w:t>
            </w:r>
            <w:r>
              <w:rPr>
                <w:rFonts w:hint="default" w:ascii="Times New Roman" w:hAnsi="Times New Roman" w:eastAsia="宋体" w:cs="Times New Roman"/>
                <w:color w:val="auto"/>
                <w:kern w:val="0"/>
                <w:sz w:val="24"/>
                <w:szCs w:val="20"/>
                <w:highlight w:val="none"/>
                <w:lang w:val="zh-CN" w:eastAsia="zh-CN" w:bidi="ar-SA"/>
              </w:rPr>
              <w:t>h</w:t>
            </w:r>
            <w:r>
              <w:rPr>
                <w:rFonts w:hint="default" w:ascii="Times New Roman" w:hAnsi="Times New Roman" w:cs="Times New Roman"/>
                <w:color w:val="auto"/>
                <w:kern w:val="0"/>
                <w:sz w:val="24"/>
                <w:szCs w:val="20"/>
                <w:highlight w:val="none"/>
                <w:vertAlign w:val="baseline"/>
                <w:lang w:val="zh-CN" w:eastAsia="zh-CN" w:bidi="ar-SA"/>
              </w:rPr>
              <w:t>m</w:t>
            </w:r>
            <w:r>
              <w:rPr>
                <w:rFonts w:hint="default" w:ascii="Times New Roman" w:hAnsi="Times New Roman" w:eastAsia="宋体" w:cs="Times New Roman"/>
                <w:color w:val="auto"/>
                <w:kern w:val="0"/>
                <w:sz w:val="24"/>
                <w:szCs w:val="20"/>
                <w:highlight w:val="none"/>
                <w:vertAlign w:val="superscript"/>
                <w:lang w:val="zh-CN" w:eastAsia="zh-CN" w:bidi="ar-SA"/>
              </w:rPr>
              <w:t>2</w:t>
            </w:r>
            <w:r>
              <w:rPr>
                <w:rFonts w:hint="default" w:ascii="Times New Roman" w:hAnsi="Times New Roman" w:eastAsia="宋体" w:cs="Times New Roman"/>
                <w:color w:val="auto"/>
                <w:kern w:val="0"/>
                <w:sz w:val="24"/>
                <w:szCs w:val="20"/>
                <w:highlight w:val="none"/>
                <w:lang w:val="zh-CN" w:eastAsia="zh-CN" w:bidi="ar-SA"/>
              </w:rPr>
              <w:t>，全部为耕地。</w:t>
            </w:r>
            <w:r>
              <w:rPr>
                <w:rFonts w:hint="default" w:ascii="Times New Roman" w:hAnsi="Times New Roman" w:cs="Times New Roman"/>
                <w:color w:val="auto"/>
                <w:highlight w:val="none"/>
              </w:rPr>
              <w:t>施工期间为了保护表土，在施工前对施工道路进行表土剥离，其中占用耕地的区域存在表土，占用其他土地的区域不存在表土，占用耕地区域剥离厚度为30c</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，施工期间表土剥离量为</w:t>
            </w:r>
            <w:r>
              <w:rPr>
                <w:rFonts w:hint="default" w:ascii="Times New Roman" w:hAnsi="Times New Roman" w:cs="Times New Roman"/>
                <w:color w:val="auto"/>
                <w:highlight w:val="none"/>
                <w:lang w:val="en-US" w:eastAsia="zh-CN"/>
              </w:rPr>
              <w:t>40080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，剥离的</w:t>
            </w:r>
            <w:r>
              <w:rPr>
                <w:rFonts w:hint="default" w:ascii="Times New Roman" w:hAnsi="Times New Roman" w:eastAsia="宋体" w:cs="Times New Roman"/>
                <w:color w:val="auto"/>
                <w:highlight w:val="none"/>
              </w:rPr>
              <w:t>表土</w:t>
            </w:r>
            <w:r>
              <w:rPr>
                <w:rFonts w:hint="default" w:ascii="Times New Roman" w:hAnsi="Times New Roman" w:eastAsia="宋体" w:cs="Times New Roman"/>
                <w:color w:val="auto"/>
                <w:highlight w:val="none"/>
                <w:lang w:val="en-US" w:eastAsia="zh-CN"/>
              </w:rPr>
              <w:t>临时堆存在表土暂存场，</w:t>
            </w:r>
            <w:r>
              <w:rPr>
                <w:rFonts w:hint="default" w:ascii="Times New Roman" w:hAnsi="Times New Roman" w:eastAsia="宋体" w:cs="Times New Roman"/>
                <w:color w:val="auto"/>
                <w:highlight w:val="none"/>
              </w:rPr>
              <w:t>全部由</w:t>
            </w:r>
            <w:r>
              <w:rPr>
                <w:rFonts w:hint="default" w:ascii="Times New Roman" w:hAnsi="Times New Roman" w:eastAsia="宋体" w:cs="Times New Roman"/>
                <w:color w:val="auto"/>
                <w:highlight w:val="none"/>
                <w:lang w:val="en-US" w:eastAsia="zh-CN"/>
              </w:rPr>
              <w:t>庆安县庆禾农业发展有限公司</w:t>
            </w:r>
            <w:r>
              <w:rPr>
                <w:rFonts w:hint="default" w:ascii="Times New Roman" w:hAnsi="Times New Roman" w:eastAsia="宋体" w:cs="Times New Roman"/>
                <w:color w:val="auto"/>
                <w:highlight w:val="none"/>
              </w:rPr>
              <w:t>外运并进行综合利用，重</w:t>
            </w:r>
            <w:r>
              <w:rPr>
                <w:rFonts w:hint="default" w:ascii="Times New Roman" w:hAnsi="Times New Roman" w:cs="Times New Roman"/>
                <w:color w:val="auto"/>
                <w:sz w:val="21"/>
                <w:szCs w:val="21"/>
                <w:highlight w:val="none"/>
              </w:rPr>
              <w:t>点用于</w:t>
            </w:r>
            <w:r>
              <w:rPr>
                <w:rFonts w:hint="default" w:ascii="Times New Roman" w:hAnsi="Times New Roman" w:cs="Times New Roman"/>
                <w:color w:val="auto"/>
                <w:sz w:val="21"/>
                <w:szCs w:val="21"/>
                <w:highlight w:val="none"/>
                <w:lang w:val="en-US" w:eastAsia="zh-CN"/>
              </w:rPr>
              <w:t>土地改良。</w:t>
            </w:r>
            <w:r>
              <w:rPr>
                <w:rFonts w:hint="default" w:ascii="Times New Roman" w:hAnsi="Times New Roman" w:cs="Times New Roman"/>
                <w:color w:val="auto"/>
                <w:highlight w:val="none"/>
              </w:rPr>
              <w:t>施工期间，临时道路单侧修建临时排水沟，排水沟长度为</w:t>
            </w:r>
            <w:r>
              <w:rPr>
                <w:rFonts w:hint="default" w:ascii="Times New Roman" w:hAnsi="Times New Roman" w:cs="Times New Roman"/>
                <w:color w:val="auto"/>
                <w:highlight w:val="none"/>
                <w:lang w:val="en-US" w:eastAsia="zh-CN"/>
              </w:rPr>
              <w:t>26.72k</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。排水沟断面设计为梯形，上口宽0.9</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、深0.3</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、坡比1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1，施工结束后结合全面整地和土地复垦拆除。</w:t>
            </w:r>
          </w:p>
          <w:p w14:paraId="4BBB6055">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施工期间对临时堆置表土外表面采取密目网覆盖措施，施工结束后拆除。</w:t>
            </w:r>
          </w:p>
          <w:p w14:paraId="233631B1">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③</w:t>
            </w:r>
            <w:r>
              <w:rPr>
                <w:rFonts w:hint="default" w:ascii="Times New Roman" w:hAnsi="Times New Roman" w:eastAsia="宋体" w:cs="Times New Roman"/>
                <w:color w:val="auto"/>
                <w:highlight w:val="none"/>
                <w:lang w:val="en-US" w:eastAsia="zh-CN"/>
              </w:rPr>
              <w:t>临时堆土场</w:t>
            </w:r>
            <w:r>
              <w:rPr>
                <w:rFonts w:hint="default" w:ascii="Times New Roman" w:hAnsi="Times New Roman" w:eastAsia="宋体" w:cs="Times New Roman"/>
                <w:color w:val="auto"/>
                <w:kern w:val="0"/>
                <w:sz w:val="24"/>
                <w:szCs w:val="20"/>
                <w:highlight w:val="none"/>
                <w:lang w:val="en-US" w:eastAsia="zh-CN" w:bidi="ar-SA"/>
              </w:rPr>
              <w:t>占地恢复措施</w:t>
            </w:r>
          </w:p>
          <w:p w14:paraId="17A1EE83">
            <w:pPr>
              <w:pStyle w:val="111"/>
              <w:keepNext w:val="0"/>
              <w:keepLines w:val="0"/>
              <w:pageBreakBefore w:val="0"/>
              <w:widowControl w:val="0"/>
              <w:kinsoku/>
              <w:wordWrap/>
              <w:overflowPunct/>
              <w:autoSpaceDE/>
              <w:autoSpaceDN/>
              <w:bidi w:val="0"/>
              <w:spacing w:line="50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为防止</w:t>
            </w:r>
            <w:r>
              <w:rPr>
                <w:rFonts w:hint="default" w:ascii="Times New Roman" w:hAnsi="Times New Roman" w:cs="Times New Roman"/>
                <w:color w:val="auto"/>
                <w:highlight w:val="none"/>
                <w:lang w:val="en-US" w:eastAsia="zh-CN"/>
              </w:rPr>
              <w:t>表土</w:t>
            </w:r>
            <w:r>
              <w:rPr>
                <w:rFonts w:hint="default" w:ascii="Times New Roman" w:hAnsi="Times New Roman" w:cs="Times New Roman"/>
                <w:color w:val="auto"/>
                <w:highlight w:val="none"/>
              </w:rPr>
              <w:t>堆放期间造成水土流失，在</w:t>
            </w:r>
            <w:r>
              <w:rPr>
                <w:rFonts w:hint="default" w:ascii="Times New Roman" w:hAnsi="Times New Roman" w:cs="Times New Roman"/>
                <w:color w:val="auto"/>
                <w:highlight w:val="none"/>
                <w:lang w:val="en-US" w:eastAsia="zh-CN"/>
              </w:rPr>
              <w:t>表土</w:t>
            </w:r>
            <w:r>
              <w:rPr>
                <w:rFonts w:hint="default" w:ascii="Times New Roman" w:hAnsi="Times New Roman" w:cs="Times New Roman"/>
                <w:color w:val="auto"/>
                <w:highlight w:val="none"/>
              </w:rPr>
              <w:t>的四周采取编织袋装土进行拦挡，编织袋土埂规格设计为梯形，编织袋土埂长度为</w:t>
            </w:r>
            <w:r>
              <w:rPr>
                <w:rFonts w:hint="default" w:ascii="Times New Roman" w:hAnsi="Times New Roman" w:cs="Times New Roman"/>
                <w:color w:val="auto"/>
                <w:highlight w:val="none"/>
                <w:lang w:val="en-US" w:eastAsia="zh-CN"/>
              </w:rPr>
              <w:t>600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，顶宽0.4</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、高0.3</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、底宽1.0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、坡比1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1，施工结束后编织袋土埂拆除。</w:t>
            </w:r>
          </w:p>
          <w:p w14:paraId="41FB18EC">
            <w:pPr>
              <w:pStyle w:val="111"/>
              <w:keepNext w:val="0"/>
              <w:keepLines w:val="0"/>
              <w:pageBreakBefore w:val="0"/>
              <w:widowControl w:val="0"/>
              <w:kinsoku/>
              <w:wordWrap/>
              <w:overflowPunct/>
              <w:autoSpaceDE/>
              <w:autoSpaceDN/>
              <w:bidi w:val="0"/>
              <w:spacing w:line="50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考虑到本工程</w:t>
            </w:r>
            <w:r>
              <w:rPr>
                <w:rFonts w:hint="default" w:ascii="Times New Roman" w:hAnsi="Times New Roman" w:cs="Times New Roman"/>
                <w:color w:val="auto"/>
                <w:highlight w:val="none"/>
                <w:lang w:val="en-US" w:eastAsia="zh-CN"/>
              </w:rPr>
              <w:t>弃方</w:t>
            </w:r>
            <w:r>
              <w:rPr>
                <w:rFonts w:hint="default" w:ascii="Times New Roman" w:hAnsi="Times New Roman" w:cs="Times New Roman"/>
                <w:color w:val="auto"/>
                <w:highlight w:val="none"/>
              </w:rPr>
              <w:t>布置在工程沿线的凹地内，水土保持设计在</w:t>
            </w:r>
            <w:r>
              <w:rPr>
                <w:rFonts w:hint="default" w:ascii="Times New Roman" w:hAnsi="Times New Roman" w:cs="Times New Roman"/>
                <w:color w:val="auto"/>
                <w:highlight w:val="none"/>
                <w:lang w:eastAsia="zh-CN"/>
              </w:rPr>
              <w:t>弃渣</w:t>
            </w:r>
            <w:r>
              <w:rPr>
                <w:rFonts w:hint="default" w:ascii="Times New Roman" w:hAnsi="Times New Roman" w:cs="Times New Roman"/>
                <w:color w:val="auto"/>
                <w:highlight w:val="none"/>
              </w:rPr>
              <w:t>结束后，占地区域经全面整地后，采取撒播种草恢复植被，对弃渣外表面进行撒播种草，草种选用早熟禾、紫花苜蓿等，撒播密度80kg/h</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4360C4EE">
            <w:pPr>
              <w:keepNext w:val="0"/>
              <w:keepLines w:val="0"/>
              <w:pageBreakBefore w:val="0"/>
              <w:widowControl w:val="0"/>
              <w:kinsoku/>
              <w:wordWrap/>
              <w:overflowPunct/>
              <w:topLinePunct w:val="0"/>
              <w:autoSpaceDE/>
              <w:autoSpaceDN/>
              <w:bidi w:val="0"/>
              <w:adjustRightInd w:val="0"/>
              <w:snapToGrid w:val="0"/>
              <w:spacing w:line="500" w:lineRule="exact"/>
              <w:ind w:firstLine="42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color w:val="auto"/>
                <w:highlight w:val="none"/>
                <w:lang w:val="en-US" w:eastAsia="zh-CN"/>
              </w:rPr>
              <w:t>④</w:t>
            </w:r>
            <w:r>
              <w:rPr>
                <w:rFonts w:hint="default" w:ascii="Times New Roman" w:hAnsi="Times New Roman" w:eastAsia="宋体" w:cs="Times New Roman"/>
                <w:bCs/>
                <w:color w:val="auto"/>
                <w:spacing w:val="0"/>
                <w:sz w:val="24"/>
                <w:highlight w:val="none"/>
                <w:lang w:val="en-US" w:eastAsia="zh-CN"/>
              </w:rPr>
              <w:t>水域</w:t>
            </w:r>
            <w:r>
              <w:rPr>
                <w:rFonts w:hint="default" w:ascii="Times New Roman" w:hAnsi="Times New Roman" w:eastAsia="宋体" w:cs="Times New Roman"/>
                <w:bCs/>
                <w:color w:val="auto"/>
                <w:spacing w:val="0"/>
                <w:sz w:val="24"/>
                <w:highlight w:val="none"/>
              </w:rPr>
              <w:t>保护措施</w:t>
            </w:r>
          </w:p>
          <w:p w14:paraId="5177F2B6">
            <w:pPr>
              <w:keepNext w:val="0"/>
              <w:keepLines w:val="0"/>
              <w:pageBreakBefore w:val="0"/>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过程中应确定水域施工范围，严禁越界施工；严禁在岸边、河道内清洗车辆；禁止将生活污水、垃圾排入水体，做好施工人员的管理教育工作；认真贯彻落实《中华人民共和国渔业法》和《中华人民共和国水产资源繁殖保护条例》有关规定，禁止随意捕杀鱼类和其它水生生物。严格落实水土保持方案提出的措施，防止陆域施工散落的物料、扰动地表产生的泥沙及废水等污染物通过地表径流进入河流。施工废水、生活污水和生活垃圾不得随意排入河流。有害的施工材料尤其是散装材料的堆放要远离水体，防止随暴雨径流进入水体，影响水质，各类材料应备有防雨遮雨设施。</w:t>
            </w:r>
          </w:p>
          <w:p w14:paraId="04BC3F3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本工程治理河段内鱼类的种类和数量较少，有少量的常见鱼类，不涉及珍稀鱼类的产卵场、索饵场、越冬场以及洄游通道。施工尽量避开7、8月汛期施工。对河边生长的藻类、昆虫、寡毛类、软体动物、甲壳动物的影响很小。河中鱼的种类和数量较少，鱼类游泳的速度快，反应灵敏，施工时，设备运转，车辆运输，噪声较大，会把鱼类吓跑，因此，施工区域内鱼类数量会很少，但施工结束后声环境恢复平静，鱼类会慢慢得到恢复。</w:t>
            </w:r>
          </w:p>
          <w:p w14:paraId="2F8B6E39">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（5）防火措施</w:t>
            </w:r>
          </w:p>
          <w:p w14:paraId="6AC9481C">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施工人员野外作业必须把火的管理放在首要位置，常抓不懈，杜绝一切隐患。积极贯彻《森林防火条例》，加强防火宣传教育，时时敲响防火警钟，禁止在区域内附近吸烟和生火，做好生活和生产用火的火源管理，建立施工区域内防火及火警警报系统管理制度，明确责任制，最大程度避免发生火灾。</w:t>
            </w:r>
          </w:p>
          <w:p w14:paraId="723A44A1">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eastAsia="宋体" w:cs="Times New Roman"/>
                <w:bCs/>
                <w:color w:val="auto"/>
                <w:spacing w:val="0"/>
                <w:sz w:val="24"/>
                <w:highlight w:val="none"/>
                <w:lang w:val="en-US" w:eastAsia="zh-CN"/>
              </w:rPr>
              <w:t>（6）管理措施</w:t>
            </w:r>
          </w:p>
          <w:p w14:paraId="05358E75">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加强施工期环境保护监理工作，严格落实有关动、植物保护的法律、法规、条例，并加强对施工人员的培训和教育，保护动植物资源，将环境保护条款纳入环保监理合同中。</w:t>
            </w:r>
          </w:p>
          <w:p w14:paraId="7FE9379A">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对于占地的恢复以及水土保持措施中的植物措施都要有专人负责看护，发现死苗、伤苗及时补种、更新。</w:t>
            </w:r>
          </w:p>
          <w:p w14:paraId="5BDABB36">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要求本工程施工运输车辆按照指定运输道路路线行驶，禁止加开新路肆意碾压耕地，减少对地表植被的破坏；同时注意做好路面洒水等防尘工作，减少扬尘影响。临时用地应尽量缩短使用时间，使用后及时恢复土地原来的功能。施工结束后对破坏植被而造成裸露的土地进行植被恢复，使土壤自然疏松，遵循生态学原理采取具体的植被恢复措施。土地开挖时，应将表层土与下层土分开，分层单独收集并保存，暂时堆放于</w:t>
            </w:r>
            <w:r>
              <w:rPr>
                <w:rFonts w:hint="default" w:ascii="Times New Roman" w:hAnsi="Times New Roman" w:eastAsia="宋体" w:cs="Times New Roman"/>
                <w:color w:val="auto"/>
                <w:sz w:val="24"/>
                <w:highlight w:val="none"/>
              </w:rPr>
              <w:t>表土</w:t>
            </w:r>
            <w:r>
              <w:rPr>
                <w:rFonts w:hint="default" w:ascii="Times New Roman" w:hAnsi="Times New Roman" w:eastAsia="宋体" w:cs="Times New Roman"/>
                <w:color w:val="auto"/>
                <w:sz w:val="24"/>
                <w:highlight w:val="none"/>
                <w:lang w:val="en-US" w:eastAsia="zh-CN"/>
              </w:rPr>
              <w:t>堆置区，施工结束后分层进行植被的恢复覆土，临时表土堆场采取临时防护措施，设置</w:t>
            </w:r>
            <w:r>
              <w:rPr>
                <w:rFonts w:hint="default" w:ascii="Times New Roman" w:hAnsi="Times New Roman" w:eastAsia="宋体" w:cs="Times New Roman"/>
                <w:color w:val="auto"/>
                <w:sz w:val="24"/>
                <w:highlight w:val="none"/>
              </w:rPr>
              <w:t>密目网</w:t>
            </w:r>
            <w:r>
              <w:rPr>
                <w:rFonts w:hint="default" w:ascii="Times New Roman" w:hAnsi="Times New Roman" w:eastAsia="宋体" w:cs="Times New Roman"/>
                <w:color w:val="auto"/>
                <w:sz w:val="24"/>
                <w:highlight w:val="none"/>
                <w:lang w:val="en-US" w:eastAsia="zh-CN"/>
              </w:rPr>
              <w:t>覆盖。</w:t>
            </w:r>
          </w:p>
          <w:p w14:paraId="71F557F5">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rPr>
              <w:t>本工程严格落实黑土地保护利用的相关法律法规、规章制度，做好黑土地保护利用工作。应当节约、集约使用黑土地，按照有关标准、规范和管理规定剥离表土，做好表土保护，避免破坏黑土地生态环境。表土剥离、运输、存储过程中，应采取水土保持和扬尘防治措施、必要的工程防护和保育措施，防止土壤和环境污染，防止出现水土流失、土壤质量退化和安全隐患。</w:t>
            </w:r>
          </w:p>
          <w:p w14:paraId="42B6C4A2">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eastAsia="宋体" w:cs="Times New Roman"/>
                <w:b w:val="0"/>
                <w:bCs w:val="0"/>
                <w:color w:val="auto"/>
                <w:spacing w:val="10"/>
                <w:sz w:val="24"/>
                <w:highlight w:val="yellow"/>
                <w:lang w:val="en-US" w:eastAsia="zh-CN"/>
              </w:rPr>
            </w:pPr>
            <w:r>
              <w:rPr>
                <w:rFonts w:hint="eastAsia" w:cs="Times New Roman"/>
                <w:b w:val="0"/>
                <w:bCs w:val="0"/>
                <w:color w:val="auto"/>
                <w:spacing w:val="10"/>
                <w:sz w:val="24"/>
                <w:highlight w:val="yellow"/>
                <w:lang w:eastAsia="zh-CN"/>
              </w:rPr>
              <w:t>（</w:t>
            </w:r>
            <w:r>
              <w:rPr>
                <w:rFonts w:hint="eastAsia" w:cs="Times New Roman"/>
                <w:b w:val="0"/>
                <w:bCs w:val="0"/>
                <w:color w:val="auto"/>
                <w:spacing w:val="10"/>
                <w:sz w:val="24"/>
                <w:highlight w:val="yellow"/>
                <w:lang w:val="en-US" w:eastAsia="zh-CN"/>
              </w:rPr>
              <w:t>8</w:t>
            </w:r>
            <w:r>
              <w:rPr>
                <w:rFonts w:hint="eastAsia" w:cs="Times New Roman"/>
                <w:b w:val="0"/>
                <w:bCs w:val="0"/>
                <w:color w:val="auto"/>
                <w:spacing w:val="10"/>
                <w:sz w:val="24"/>
                <w:highlight w:val="yellow"/>
                <w:lang w:eastAsia="zh-CN"/>
              </w:rPr>
              <w:t>）</w:t>
            </w:r>
            <w:r>
              <w:rPr>
                <w:rFonts w:hint="eastAsia" w:cs="Times New Roman"/>
                <w:b w:val="0"/>
                <w:bCs w:val="0"/>
                <w:color w:val="auto"/>
                <w:spacing w:val="10"/>
                <w:sz w:val="24"/>
                <w:highlight w:val="yellow"/>
                <w:lang w:val="en-US" w:eastAsia="zh-CN"/>
              </w:rPr>
              <w:t>生态恢复措施</w:t>
            </w:r>
          </w:p>
          <w:p w14:paraId="06B05E03">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yellow"/>
              </w:rPr>
            </w:pPr>
            <w:r>
              <w:rPr>
                <w:rFonts w:hint="default" w:ascii="Times New Roman" w:hAnsi="Times New Roman" w:cs="Times New Roman"/>
                <w:b w:val="0"/>
                <w:bCs w:val="0"/>
                <w:color w:val="auto"/>
                <w:spacing w:val="10"/>
                <w:sz w:val="24"/>
                <w:highlight w:val="yellow"/>
              </w:rPr>
              <w:t>避让:加强施工期间的环境管理，严格按征地进行占地，临时占地尽量少占，减少植被破坏；在施工期间，要禁止捕鱼、破坏占地外的植被；避开鱼类产卵期进行施工，施工采用低噪声设备。</w:t>
            </w:r>
          </w:p>
          <w:p w14:paraId="7C134D0D">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yellow"/>
              </w:rPr>
            </w:pPr>
            <w:r>
              <w:rPr>
                <w:rFonts w:hint="default" w:ascii="Times New Roman" w:hAnsi="Times New Roman" w:cs="Times New Roman"/>
                <w:b w:val="0"/>
                <w:bCs w:val="0"/>
                <w:color w:val="auto"/>
                <w:spacing w:val="10"/>
                <w:sz w:val="24"/>
                <w:highlight w:val="yellow"/>
              </w:rPr>
              <w:t>减缓:优化施工工艺，缩短施工工期；施工开始前，进行表土剥离，耕地剥离厚度30cm，草地和林地剥离厚度30cm，周边设置排水沟，堆置表土外表面采取密目网覆盖措施，布置编织袋土埂拦挡，施工结束后表土回填。施工结束后，临时占地全部恢复为原地类。施工中凡是土石方开采量大的项目应该避开暴雨期，减少暴雨冲刷，减轻水土流失。</w:t>
            </w:r>
          </w:p>
          <w:p w14:paraId="64CF2DD2">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yellow"/>
              </w:rPr>
            </w:pPr>
            <w:r>
              <w:rPr>
                <w:rFonts w:hint="default" w:ascii="Times New Roman" w:hAnsi="Times New Roman" w:cs="Times New Roman"/>
                <w:b w:val="0"/>
                <w:bCs w:val="0"/>
                <w:color w:val="auto"/>
                <w:spacing w:val="10"/>
                <w:sz w:val="24"/>
                <w:highlight w:val="yellow"/>
              </w:rPr>
              <w:t>补偿:对于项目临时所占的耕地缴纳土地复垦费、林地缴纳林地补偿费、植被缴纳植被恢复费。</w:t>
            </w:r>
          </w:p>
          <w:p w14:paraId="11FE180C">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yellow"/>
              </w:rPr>
            </w:pPr>
            <w:r>
              <w:rPr>
                <w:rFonts w:hint="default" w:ascii="Times New Roman" w:hAnsi="Times New Roman" w:cs="Times New Roman"/>
                <w:b w:val="0"/>
                <w:bCs w:val="0"/>
                <w:color w:val="auto"/>
                <w:spacing w:val="10"/>
                <w:sz w:val="24"/>
                <w:highlight w:val="yellow"/>
              </w:rPr>
              <w:t>恢复:施工结束后对临时占地进行植被恢复和土地复垦。</w:t>
            </w:r>
          </w:p>
          <w:p w14:paraId="661810C3">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yellow"/>
              </w:rPr>
            </w:pPr>
            <w:r>
              <w:rPr>
                <w:rFonts w:hint="default" w:ascii="Times New Roman" w:hAnsi="Times New Roman" w:cs="Times New Roman"/>
                <w:b w:val="0"/>
                <w:bCs w:val="0"/>
                <w:color w:val="auto"/>
                <w:spacing w:val="10"/>
                <w:sz w:val="24"/>
                <w:highlight w:val="yellow"/>
              </w:rPr>
              <w:t>管理:施工单位应配备专业环保人员，生态恢复主体为建设单位庆安县中小型水利工程建设管理中心。</w:t>
            </w:r>
          </w:p>
          <w:p w14:paraId="0B78C259">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yellow"/>
              </w:rPr>
            </w:pPr>
            <w:r>
              <w:rPr>
                <w:rFonts w:hint="default" w:ascii="Times New Roman" w:hAnsi="Times New Roman" w:cs="Times New Roman"/>
                <w:b w:val="0"/>
                <w:bCs w:val="0"/>
                <w:color w:val="auto"/>
                <w:spacing w:val="10"/>
                <w:sz w:val="24"/>
                <w:highlight w:val="yellow"/>
              </w:rPr>
              <w:t>监测:施工结束后一年内进行生态监测，监测植被恢复情况。</w:t>
            </w:r>
          </w:p>
          <w:p w14:paraId="0D2CEB74">
            <w:pPr>
              <w:keepNext w:val="0"/>
              <w:keepLines w:val="0"/>
              <w:pageBreakBefore w:val="0"/>
              <w:kinsoku/>
              <w:wordWrap/>
              <w:overflowPunct/>
              <w:autoSpaceDE/>
              <w:autoSpaceDN/>
              <w:bidi w:val="0"/>
              <w:adjustRightInd w:val="0"/>
              <w:snapToGrid w:val="0"/>
              <w:spacing w:line="500" w:lineRule="exact"/>
              <w:ind w:firstLine="522" w:firstLineChars="200"/>
              <w:textAlignment w:val="auto"/>
              <w:rPr>
                <w:rFonts w:hint="default" w:ascii="Times New Roman" w:hAnsi="Times New Roman" w:cs="Times New Roman"/>
                <w:b/>
                <w:bCs/>
                <w:color w:val="auto"/>
                <w:spacing w:val="10"/>
                <w:sz w:val="24"/>
                <w:highlight w:val="none"/>
              </w:rPr>
            </w:pPr>
            <w:r>
              <w:rPr>
                <w:rFonts w:hint="default" w:ascii="Times New Roman" w:hAnsi="Times New Roman" w:cs="Times New Roman"/>
                <w:b/>
                <w:bCs/>
                <w:color w:val="auto"/>
                <w:spacing w:val="10"/>
                <w:sz w:val="24"/>
                <w:highlight w:val="none"/>
              </w:rPr>
              <w:t>二、水环境保护措施</w:t>
            </w:r>
          </w:p>
          <w:p w14:paraId="3AA0EE99">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根据工程方案及施工工艺分析，施工废水来自施工人员临时生活区产生的生活污水</w:t>
            </w:r>
            <w:r>
              <w:rPr>
                <w:rFonts w:hint="default" w:ascii="Times New Roman" w:hAnsi="Times New Roman" w:cs="Times New Roman"/>
                <w:bCs/>
                <w:color w:val="auto"/>
                <w:sz w:val="24"/>
                <w:highlight w:val="none"/>
                <w:lang w:eastAsia="zh-CN"/>
              </w:rPr>
              <w:t>、混凝土系统拌和废水、基坑废水</w:t>
            </w:r>
            <w:r>
              <w:rPr>
                <w:rFonts w:hint="default" w:ascii="Times New Roman" w:hAnsi="Times New Roman" w:cs="Times New Roman"/>
                <w:bCs/>
                <w:color w:val="auto"/>
                <w:sz w:val="24"/>
                <w:highlight w:val="none"/>
              </w:rPr>
              <w:t>。</w:t>
            </w:r>
          </w:p>
          <w:p w14:paraId="167E04E1">
            <w:pPr>
              <w:keepNext w:val="0"/>
              <w:keepLines w:val="0"/>
              <w:pageBreakBefore w:val="0"/>
              <w:numPr>
                <w:ilvl w:val="0"/>
                <w:numId w:val="0"/>
              </w:numPr>
              <w:kinsoku/>
              <w:wordWrap/>
              <w:overflowPunct/>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lang w:eastAsia="zh-CN"/>
              </w:rPr>
            </w:pPr>
            <w:r>
              <w:rPr>
                <w:rFonts w:hint="default" w:ascii="Times New Roman" w:hAnsi="Times New Roman" w:cs="Times New Roman"/>
                <w:b/>
                <w:bCs w:val="0"/>
                <w:color w:val="auto"/>
                <w:kern w:val="2"/>
                <w:sz w:val="24"/>
                <w:szCs w:val="24"/>
                <w:highlight w:val="none"/>
                <w:lang w:val="en-US" w:eastAsia="zh-CN" w:bidi="ar-SA"/>
              </w:rPr>
              <w:t>1、</w:t>
            </w:r>
            <w:r>
              <w:rPr>
                <w:rFonts w:hint="default" w:ascii="Times New Roman" w:hAnsi="Times New Roman" w:cs="Times New Roman"/>
                <w:b/>
                <w:bCs w:val="0"/>
                <w:color w:val="auto"/>
                <w:sz w:val="24"/>
                <w:highlight w:val="none"/>
                <w:lang w:eastAsia="zh-CN"/>
              </w:rPr>
              <w:t>生活污水</w:t>
            </w:r>
          </w:p>
          <w:p w14:paraId="4B938885">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在施工生产生活区修建防渗旱厕，共设置</w:t>
            </w: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个，每个旱厕的蹲位2</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4个，定期清掏，外运</w:t>
            </w:r>
            <w:r>
              <w:rPr>
                <w:rFonts w:hint="default" w:ascii="Times New Roman" w:hAnsi="Times New Roman" w:cs="Times New Roman"/>
                <w:bCs/>
                <w:color w:val="auto"/>
                <w:sz w:val="24"/>
                <w:highlight w:val="none"/>
                <w:lang w:val="en-US" w:eastAsia="zh-CN"/>
              </w:rPr>
              <w:t>堆肥</w:t>
            </w:r>
            <w:r>
              <w:rPr>
                <w:rFonts w:hint="default" w:ascii="Times New Roman" w:hAnsi="Times New Roman" w:cs="Times New Roman"/>
                <w:bCs/>
                <w:color w:val="auto"/>
                <w:sz w:val="24"/>
                <w:highlight w:val="none"/>
              </w:rPr>
              <w:t>。</w:t>
            </w:r>
          </w:p>
          <w:p w14:paraId="4DE554F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drawing>
                <wp:inline distT="0" distB="0" distL="114300" distR="114300">
                  <wp:extent cx="4330700" cy="1941195"/>
                  <wp:effectExtent l="0" t="0" r="12700" b="1905"/>
                  <wp:docPr id="69" name="IM 90"/>
                  <wp:cNvGraphicFramePr/>
                  <a:graphic xmlns:a="http://schemas.openxmlformats.org/drawingml/2006/main">
                    <a:graphicData uri="http://schemas.openxmlformats.org/drawingml/2006/picture">
                      <pic:pic xmlns:pic="http://schemas.openxmlformats.org/drawingml/2006/picture">
                        <pic:nvPicPr>
                          <pic:cNvPr id="69" name="IM 90"/>
                          <pic:cNvPicPr/>
                        </pic:nvPicPr>
                        <pic:blipFill>
                          <a:blip r:embed="rId18"/>
                          <a:stretch>
                            <a:fillRect/>
                          </a:stretch>
                        </pic:blipFill>
                        <pic:spPr>
                          <a:xfrm>
                            <a:off x="0" y="0"/>
                            <a:ext cx="4330700" cy="1941195"/>
                          </a:xfrm>
                          <a:prstGeom prst="rect">
                            <a:avLst/>
                          </a:prstGeom>
                          <a:noFill/>
                          <a:ln>
                            <a:noFill/>
                          </a:ln>
                        </pic:spPr>
                      </pic:pic>
                    </a:graphicData>
                  </a:graphic>
                </wp:inline>
              </w:drawing>
            </w:r>
          </w:p>
          <w:p w14:paraId="4F1CBEC4">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图5—1  防渗旱厕样例</w:t>
            </w:r>
          </w:p>
          <w:p w14:paraId="753E42EB">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0" w:leftChars="0" w:firstLine="482" w:firstLineChars="200"/>
              <w:textAlignment w:val="auto"/>
              <w:rPr>
                <w:rFonts w:hint="default" w:ascii="Times New Roman" w:hAnsi="Times New Roman" w:cs="Times New Roman"/>
                <w:b/>
                <w:bCs w:val="0"/>
                <w:color w:val="auto"/>
                <w:sz w:val="24"/>
                <w:highlight w:val="none"/>
                <w:lang w:eastAsia="zh-CN"/>
              </w:rPr>
            </w:pPr>
            <w:r>
              <w:rPr>
                <w:rFonts w:hint="default" w:ascii="Times New Roman" w:hAnsi="Times New Roman" w:cs="Times New Roman"/>
                <w:b/>
                <w:bCs w:val="0"/>
                <w:color w:val="auto"/>
                <w:kern w:val="2"/>
                <w:sz w:val="24"/>
                <w:szCs w:val="24"/>
                <w:highlight w:val="none"/>
                <w:lang w:val="en-US" w:eastAsia="zh-CN" w:bidi="ar-SA"/>
              </w:rPr>
              <w:t>2、</w:t>
            </w:r>
            <w:r>
              <w:rPr>
                <w:rFonts w:hint="default" w:ascii="Times New Roman" w:hAnsi="Times New Roman" w:cs="Times New Roman"/>
                <w:b/>
                <w:bCs w:val="0"/>
                <w:color w:val="auto"/>
                <w:sz w:val="24"/>
                <w:highlight w:val="none"/>
                <w:lang w:eastAsia="zh-CN"/>
              </w:rPr>
              <w:t>混凝土拌和废水</w:t>
            </w:r>
          </w:p>
          <w:p w14:paraId="449A4697">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混凝土拌和系统废水主要来源于混凝土转筒和料罐的冲洗，废水含有较高的悬浮物和pH值。本工程在施工场地设置沉淀池。废水采用沉淀池集中收集，经过沉淀及中和后回用，不向外环境排放。</w:t>
            </w:r>
          </w:p>
          <w:p w14:paraId="6D0FFF66">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eastAsia="zh-CN"/>
              </w:rPr>
              <w:t>项目在施工区设置</w:t>
            </w: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lang w:eastAsia="zh-CN"/>
              </w:rPr>
              <w:t>处生产废水处理设施，本次设计拟采取沉淀池、中和池及清水池的组合工艺处理混凝土拌和冲洗废水。沉淀池、中和池及清水池规格为:2m×1.5m×1.5m（长×宽×高）。工程量土方开挖:</w:t>
            </w:r>
            <w:r>
              <w:rPr>
                <w:rFonts w:hint="default" w:ascii="Times New Roman" w:hAnsi="Times New Roman" w:cs="Times New Roman"/>
                <w:bCs/>
                <w:color w:val="auto"/>
                <w:sz w:val="24"/>
                <w:highlight w:val="none"/>
                <w:lang w:val="en-US" w:eastAsia="zh-CN"/>
              </w:rPr>
              <w:t>441.15</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lang w:eastAsia="zh-CN"/>
              </w:rPr>
              <w:t>3</w:t>
            </w:r>
            <w:r>
              <w:rPr>
                <w:rFonts w:hint="default" w:ascii="Times New Roman" w:hAnsi="Times New Roman" w:cs="Times New Roman"/>
                <w:bCs/>
                <w:color w:val="auto"/>
                <w:sz w:val="24"/>
                <w:highlight w:val="none"/>
                <w:lang w:eastAsia="zh-CN"/>
              </w:rPr>
              <w:t>，回填:</w:t>
            </w:r>
            <w:r>
              <w:rPr>
                <w:rFonts w:hint="default" w:ascii="Times New Roman" w:hAnsi="Times New Roman" w:cs="Times New Roman"/>
                <w:bCs/>
                <w:color w:val="auto"/>
                <w:sz w:val="24"/>
                <w:highlight w:val="none"/>
                <w:lang w:val="en-US" w:eastAsia="zh-CN"/>
              </w:rPr>
              <w:t>372.45</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lang w:eastAsia="zh-CN"/>
              </w:rPr>
              <w:t>3</w:t>
            </w:r>
            <w:r>
              <w:rPr>
                <w:rFonts w:hint="default" w:ascii="Times New Roman" w:hAnsi="Times New Roman" w:cs="Times New Roman"/>
                <w:bCs/>
                <w:color w:val="auto"/>
                <w:sz w:val="24"/>
                <w:highlight w:val="none"/>
                <w:lang w:eastAsia="zh-CN"/>
              </w:rPr>
              <w:t>，砖砌体:</w:t>
            </w:r>
            <w:r>
              <w:rPr>
                <w:rFonts w:hint="default" w:ascii="Times New Roman" w:hAnsi="Times New Roman" w:cs="Times New Roman"/>
                <w:bCs/>
                <w:color w:val="auto"/>
                <w:sz w:val="24"/>
                <w:highlight w:val="none"/>
                <w:lang w:val="en-US" w:eastAsia="zh-CN"/>
              </w:rPr>
              <w:t>47.70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lang w:eastAsia="zh-CN"/>
              </w:rPr>
              <w:t>3</w:t>
            </w:r>
            <w:r>
              <w:rPr>
                <w:rFonts w:hint="default" w:ascii="Times New Roman" w:hAnsi="Times New Roman" w:cs="Times New Roman"/>
                <w:bCs/>
                <w:color w:val="auto"/>
                <w:sz w:val="24"/>
                <w:highlight w:val="none"/>
                <w:lang w:eastAsia="zh-CN"/>
              </w:rPr>
              <w:t>。底部采用C30混凝土。垫层采用C20混凝土配钢筋底。</w:t>
            </w:r>
            <w:r>
              <w:rPr>
                <w:rFonts w:hint="default" w:ascii="Times New Roman" w:hAnsi="Times New Roman" w:cs="Times New Roman"/>
                <w:bCs/>
                <w:color w:val="auto"/>
                <w:sz w:val="24"/>
                <w:highlight w:val="none"/>
                <w:lang w:val="en-US" w:eastAsia="zh-CN"/>
              </w:rPr>
              <w:t>施工结束后立即拆除，并清理场地，进行生态恢复。</w:t>
            </w:r>
          </w:p>
          <w:p w14:paraId="0F5694B5">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本项目</w:t>
            </w:r>
            <w:r>
              <w:rPr>
                <w:rFonts w:hint="default" w:ascii="Times New Roman" w:hAnsi="Times New Roman" w:cs="Times New Roman"/>
                <w:bCs/>
                <w:color w:val="auto"/>
                <w:sz w:val="24"/>
                <w:highlight w:val="none"/>
                <w:lang w:val="en-US" w:eastAsia="zh-CN"/>
              </w:rPr>
              <w:t>混凝土拌和冲洗废水产生量为3.6m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lang w:val="en-US" w:eastAsia="zh-CN"/>
              </w:rPr>
              <w:t>/d，216m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lang w:val="en-US" w:eastAsia="zh-CN"/>
              </w:rPr>
              <w:t>。设置的沉淀池、中和池及清水池规格可满足水力停留时间要求。本项目工程长度约39.57km，施工区域宽度为15m，则施工区域面积为593550m</w:t>
            </w:r>
            <w:r>
              <w:rPr>
                <w:rFonts w:hint="default" w:ascii="Times New Roman" w:hAnsi="Times New Roman" w:cs="Times New Roman"/>
                <w:bCs/>
                <w:color w:val="auto"/>
                <w:sz w:val="24"/>
                <w:highlight w:val="none"/>
                <w:vertAlign w:val="superscript"/>
                <w:lang w:val="en-US" w:eastAsia="zh-CN"/>
              </w:rPr>
              <w:t>2</w:t>
            </w:r>
            <w:r>
              <w:rPr>
                <w:rFonts w:hint="default" w:ascii="Times New Roman" w:hAnsi="Times New Roman" w:cs="Times New Roman"/>
                <w:bCs/>
                <w:color w:val="auto"/>
                <w:sz w:val="24"/>
                <w:highlight w:val="none"/>
                <w:lang w:val="en-US" w:eastAsia="zh-CN"/>
              </w:rPr>
              <w:t>，按洒水定额2L/m²，每天四次计算，则洒水需水量为4748.40m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lang w:val="en-US" w:eastAsia="zh-CN"/>
              </w:rPr>
              <w:t>。本项目混凝土拌和废水产生量为216m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lang w:val="en-US" w:eastAsia="zh-CN"/>
              </w:rPr>
              <w:t>，可全部回用不外排。</w:t>
            </w:r>
            <w:r>
              <w:rPr>
                <w:rFonts w:hint="default" w:ascii="Times New Roman" w:hAnsi="Times New Roman" w:cs="Times New Roman"/>
                <w:bCs/>
                <w:color w:val="auto"/>
                <w:sz w:val="24"/>
                <w:highlight w:val="none"/>
                <w:lang w:eastAsia="zh-CN"/>
              </w:rPr>
              <w:t>处理工艺见下图所示。</w:t>
            </w:r>
          </w:p>
          <w:p w14:paraId="180E9EC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drawing>
                <wp:inline distT="0" distB="0" distL="114300" distR="114300">
                  <wp:extent cx="4424045" cy="2225040"/>
                  <wp:effectExtent l="0" t="0" r="14605" b="3810"/>
                  <wp:docPr id="70" name="IM 88"/>
                  <wp:cNvGraphicFramePr/>
                  <a:graphic xmlns:a="http://schemas.openxmlformats.org/drawingml/2006/main">
                    <a:graphicData uri="http://schemas.openxmlformats.org/drawingml/2006/picture">
                      <pic:pic xmlns:pic="http://schemas.openxmlformats.org/drawingml/2006/picture">
                        <pic:nvPicPr>
                          <pic:cNvPr id="70" name="IM 88"/>
                          <pic:cNvPicPr/>
                        </pic:nvPicPr>
                        <pic:blipFill>
                          <a:blip r:embed="rId19"/>
                          <a:stretch>
                            <a:fillRect/>
                          </a:stretch>
                        </pic:blipFill>
                        <pic:spPr>
                          <a:xfrm>
                            <a:off x="0" y="0"/>
                            <a:ext cx="4424045" cy="2225040"/>
                          </a:xfrm>
                          <a:prstGeom prst="rect">
                            <a:avLst/>
                          </a:prstGeom>
                          <a:noFill/>
                          <a:ln>
                            <a:noFill/>
                          </a:ln>
                        </pic:spPr>
                      </pic:pic>
                    </a:graphicData>
                  </a:graphic>
                </wp:inline>
              </w:drawing>
            </w:r>
          </w:p>
          <w:p w14:paraId="67F28F83">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val="0"/>
                <w:color w:val="auto"/>
                <w:sz w:val="24"/>
                <w:highlight w:val="none"/>
                <w:lang w:val="en-US" w:eastAsia="zh-CN"/>
              </w:rPr>
            </w:pPr>
            <w:r>
              <w:rPr>
                <w:rFonts w:hint="default" w:ascii="Times New Roman" w:hAnsi="Times New Roman" w:cs="Times New Roman"/>
                <w:b/>
                <w:bCs w:val="0"/>
                <w:color w:val="auto"/>
                <w:sz w:val="21"/>
                <w:szCs w:val="21"/>
                <w:highlight w:val="none"/>
                <w:lang w:eastAsia="zh-CN"/>
              </w:rPr>
              <w:t>图</w:t>
            </w:r>
            <w:r>
              <w:rPr>
                <w:rFonts w:hint="default" w:ascii="Times New Roman" w:hAnsi="Times New Roman" w:cs="Times New Roman"/>
                <w:b/>
                <w:bCs w:val="0"/>
                <w:color w:val="auto"/>
                <w:sz w:val="21"/>
                <w:szCs w:val="21"/>
                <w:highlight w:val="none"/>
                <w:lang w:val="en-US" w:eastAsia="zh-CN"/>
              </w:rPr>
              <w:t>5—2  混凝土拌和冲洗废水池典型设计图</w:t>
            </w:r>
          </w:p>
          <w:p w14:paraId="0A17F64F">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0" w:leftChars="0" w:firstLine="482" w:firstLineChars="200"/>
              <w:textAlignment w:val="auto"/>
              <w:rPr>
                <w:rFonts w:hint="default" w:ascii="Times New Roman" w:hAnsi="Times New Roman" w:cs="Times New Roman"/>
                <w:b/>
                <w:bCs w:val="0"/>
                <w:color w:val="auto"/>
                <w:sz w:val="24"/>
                <w:highlight w:val="none"/>
                <w:lang w:eastAsia="zh-CN"/>
              </w:rPr>
            </w:pPr>
            <w:r>
              <w:rPr>
                <w:rFonts w:hint="default" w:ascii="Times New Roman" w:hAnsi="Times New Roman" w:cs="Times New Roman"/>
                <w:b/>
                <w:bCs w:val="0"/>
                <w:color w:val="auto"/>
                <w:kern w:val="2"/>
                <w:sz w:val="24"/>
                <w:szCs w:val="24"/>
                <w:highlight w:val="none"/>
                <w:lang w:val="en-US" w:eastAsia="zh-CN" w:bidi="ar-SA"/>
              </w:rPr>
              <w:t>3、</w:t>
            </w:r>
            <w:r>
              <w:rPr>
                <w:rFonts w:hint="default" w:ascii="Times New Roman" w:hAnsi="Times New Roman" w:cs="Times New Roman"/>
                <w:b/>
                <w:bCs w:val="0"/>
                <w:color w:val="auto"/>
                <w:sz w:val="24"/>
                <w:highlight w:val="none"/>
                <w:lang w:eastAsia="zh-CN"/>
              </w:rPr>
              <w:t>基坑废水</w:t>
            </w:r>
          </w:p>
          <w:p w14:paraId="0382275C">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本工程基坑排水主要是施工基础开挖产生的基坑渗水和雨水，其特点为悬浮物含量高，可在围堰基坑处进行简易沉淀处理，让基坑水静止沉淀2h后，在能做施工用水的情况下尽量综合利用，可回用于施工场地洒水降尘，不外排。</w:t>
            </w:r>
          </w:p>
          <w:p w14:paraId="44ADD324">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2" w:firstLineChars="200"/>
              <w:textAlignment w:val="auto"/>
              <w:rPr>
                <w:rFonts w:hint="default" w:ascii="Times New Roman" w:hAnsi="Times New Roman" w:cs="Times New Roman"/>
                <w:b/>
                <w:bCs w:val="0"/>
                <w:color w:val="auto"/>
                <w:sz w:val="24"/>
                <w:highlight w:val="none"/>
                <w:lang w:val="en-US" w:eastAsia="zh-CN"/>
              </w:rPr>
            </w:pPr>
            <w:r>
              <w:rPr>
                <w:rFonts w:hint="default" w:ascii="Times New Roman" w:hAnsi="Times New Roman" w:cs="Times New Roman"/>
                <w:b/>
                <w:bCs w:val="0"/>
                <w:color w:val="auto"/>
                <w:sz w:val="24"/>
                <w:highlight w:val="none"/>
                <w:lang w:val="en-US" w:eastAsia="zh-CN"/>
              </w:rPr>
              <w:t>4、施工水环境保护措施</w:t>
            </w:r>
          </w:p>
          <w:p w14:paraId="26535ECB">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围堰拆除采用机械分段拆除，减少单次扰动范围，尽量缩短工期。所有施工废水必须经处理回用，严禁直接排入河道。裸露土方、表土及时覆盖，设置排水沟，减少水土流失。</w:t>
            </w:r>
          </w:p>
          <w:p w14:paraId="7235F473">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三、环境空气保护措施</w:t>
            </w:r>
          </w:p>
          <w:p w14:paraId="6816624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项目建设单位应强化管理，文明施工。在开挖集中区，土方及时回填，非雨日洒水降尘，每日2次，春季大风日应采取禁止土方开挖或经常洒水降尘的措施，有效防止粉尘及扬尘发生。</w:t>
            </w:r>
          </w:p>
          <w:p w14:paraId="3A680DB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2、</w:t>
            </w:r>
            <w:r>
              <w:rPr>
                <w:rFonts w:hint="default" w:ascii="Times New Roman" w:hAnsi="Times New Roman" w:cs="Times New Roman"/>
                <w:bCs/>
                <w:color w:val="auto"/>
                <w:sz w:val="24"/>
                <w:highlight w:val="none"/>
              </w:rPr>
              <w:t>建筑用粉状材料在运输时应对运输车辆加盖</w:t>
            </w:r>
            <w:r>
              <w:rPr>
                <w:rFonts w:hint="default" w:ascii="Times New Roman" w:hAnsi="Times New Roman" w:cs="Times New Roman"/>
                <w:bCs/>
                <w:color w:val="auto"/>
                <w:sz w:val="24"/>
                <w:highlight w:val="none"/>
                <w:lang w:eastAsia="zh-CN"/>
              </w:rPr>
              <w:t>篷布</w:t>
            </w:r>
            <w:r>
              <w:rPr>
                <w:rFonts w:hint="default" w:ascii="Times New Roman" w:hAnsi="Times New Roman" w:cs="Times New Roman"/>
                <w:bCs/>
                <w:color w:val="auto"/>
                <w:sz w:val="24"/>
                <w:highlight w:val="none"/>
              </w:rPr>
              <w:t>，减速慢行，防止运输过程中的二次扬尘污染。</w:t>
            </w:r>
          </w:p>
          <w:p w14:paraId="383D5AD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3、</w:t>
            </w:r>
            <w:r>
              <w:rPr>
                <w:rFonts w:hint="default" w:ascii="Times New Roman" w:hAnsi="Times New Roman" w:cs="Times New Roman"/>
                <w:bCs/>
                <w:color w:val="auto"/>
                <w:sz w:val="24"/>
                <w:highlight w:val="none"/>
              </w:rPr>
              <w:t>建筑材料必须设固定堆放场，在堆放过程中放入仓库或者用苫布盖好，物料堆放有序，有效减少二次扬尘对环境空气的影响。</w:t>
            </w:r>
          </w:p>
          <w:p w14:paraId="1F51BEB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4、</w:t>
            </w:r>
            <w:r>
              <w:rPr>
                <w:rFonts w:hint="default" w:ascii="Times New Roman" w:hAnsi="Times New Roman" w:cs="Times New Roman"/>
                <w:bCs/>
                <w:color w:val="auto"/>
                <w:sz w:val="24"/>
                <w:highlight w:val="none"/>
              </w:rPr>
              <w:t>施工现场应做好防护工作，通过洒水、</w:t>
            </w:r>
            <w:r>
              <w:rPr>
                <w:rFonts w:hint="default" w:ascii="Times New Roman" w:hAnsi="Times New Roman" w:cs="Times New Roman"/>
                <w:bCs/>
                <w:color w:val="auto"/>
                <w:sz w:val="24"/>
                <w:highlight w:val="none"/>
                <w:lang w:eastAsia="zh-CN"/>
              </w:rPr>
              <w:t>篷布</w:t>
            </w:r>
            <w:r>
              <w:rPr>
                <w:rFonts w:hint="default" w:ascii="Times New Roman" w:hAnsi="Times New Roman" w:cs="Times New Roman"/>
                <w:bCs/>
                <w:color w:val="auto"/>
                <w:sz w:val="24"/>
                <w:highlight w:val="none"/>
              </w:rPr>
              <w:t>遮挡等措施，可有效地防止扬尘的产生，降低对周围环境空气的影响。使用物料应置于密闭仓库中，以减轻粉尘对周围环境空气质量的影响。按照国家有关劳动保护的规定，对产尘量较大的现场作业人员，发放防尘劳保用品如防尘口罩等。</w:t>
            </w:r>
          </w:p>
          <w:p w14:paraId="2F80290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施工机械定期检查、维修，确保施工机械和车辆各项环保指标符合尾气排放要求。运输车辆和施工机械选用优质、污染小的燃油。运输车辆应配备车轮洗刷设备，或在离开施工场地时用软管冲洗。合理安排施工运输车辆行驶时间，缩短道路扬尘影响时段。施工期，对于发动机耗油多、效率低、排放尾气严重超标的老、旧车辆，要及时更新。</w:t>
            </w:r>
          </w:p>
          <w:p w14:paraId="2BBE081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val="en-US" w:eastAsia="zh-CN"/>
              </w:rPr>
              <w:t>6、</w:t>
            </w:r>
            <w:r>
              <w:rPr>
                <w:rFonts w:hint="default" w:ascii="Times New Roman" w:hAnsi="Times New Roman" w:cs="Times New Roman"/>
                <w:bCs/>
                <w:color w:val="auto"/>
                <w:sz w:val="24"/>
                <w:highlight w:val="none"/>
                <w:lang w:eastAsia="zh-CN"/>
              </w:rPr>
              <w:t>本工程不新建大型混凝土搅拌站，根据工程初设，工程施工配置1台0.</w:t>
            </w:r>
            <w:r>
              <w:rPr>
                <w:rFonts w:hint="default" w:ascii="Times New Roman" w:hAnsi="Times New Roman" w:cs="Times New Roman"/>
                <w:bCs/>
                <w:color w:val="auto"/>
                <w:sz w:val="24"/>
                <w:highlight w:val="none"/>
                <w:lang w:val="en-US" w:eastAsia="zh-CN"/>
              </w:rPr>
              <w:t>8</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lang w:eastAsia="zh-CN"/>
              </w:rPr>
              <w:t>3</w:t>
            </w:r>
            <w:r>
              <w:rPr>
                <w:rFonts w:hint="default" w:ascii="Times New Roman" w:hAnsi="Times New Roman" w:cs="Times New Roman"/>
                <w:bCs/>
                <w:color w:val="auto"/>
                <w:sz w:val="24"/>
                <w:highlight w:val="none"/>
                <w:lang w:eastAsia="zh-CN"/>
              </w:rPr>
              <w:t>砼拌和机，其设置应满足以下要求:</w:t>
            </w:r>
          </w:p>
          <w:p w14:paraId="4AFC975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①避开环境敏感区，远离居民点，布局在当地主导风向的下风向；拌和机应设置在罩棚内，不应露天作业，并配备除尘设施处理非常，周边配备洒水车或移动式雾炮机。</w:t>
            </w:r>
          </w:p>
          <w:p w14:paraId="11D7CCF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②落实人员和措施保持道路及场地清洁，车辆行驶时无明显扬尘。各类混凝土生产需用的骨料堆场，均应分类加装控制扬尘的封闭式库房，确保骨料堆置于库房之中；</w:t>
            </w:r>
          </w:p>
          <w:p w14:paraId="29AE0DC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lang w:eastAsia="zh-CN"/>
              </w:rPr>
              <w:t>③搅拌车装料后，或从工地卸料后均应保持车辆外观清洁，严禁带泥上路、杜绝"跑、冒、滴、漏"现象的发生。</w:t>
            </w:r>
          </w:p>
          <w:p w14:paraId="284C229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7、</w:t>
            </w:r>
            <w:r>
              <w:rPr>
                <w:rFonts w:hint="default" w:ascii="Times New Roman" w:hAnsi="Times New Roman" w:eastAsia="宋体" w:cs="Times New Roman"/>
                <w:bCs/>
                <w:color w:val="auto"/>
                <w:spacing w:val="0"/>
                <w:sz w:val="24"/>
                <w:highlight w:val="none"/>
              </w:rPr>
              <w:t>按照国家有关劳动保护的规定，对产尘量较大的现场作业人员，发放防尘劳保用品如防尘口罩等。</w:t>
            </w:r>
          </w:p>
          <w:p w14:paraId="3BFC3921">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snapToGrid w:val="0"/>
                <w:color w:val="auto"/>
                <w:sz w:val="24"/>
                <w:highlight w:val="none"/>
              </w:rPr>
            </w:pPr>
            <w:r>
              <w:rPr>
                <w:rFonts w:hint="default" w:ascii="Times New Roman" w:hAnsi="Times New Roman" w:cs="Times New Roman"/>
                <w:color w:val="auto"/>
                <w:sz w:val="24"/>
                <w:highlight w:val="none"/>
              </w:rPr>
              <w:t>采取以上措施后能有效减少施工期大气污染，施工期无组织颗粒物满足</w:t>
            </w:r>
            <w:r>
              <w:rPr>
                <w:rFonts w:hint="default" w:ascii="Times New Roman" w:hAnsi="Times New Roman" w:cs="Times New Roman"/>
                <w:color w:val="auto"/>
                <w:kern w:val="0"/>
                <w:sz w:val="24"/>
                <w:highlight w:val="none"/>
              </w:rPr>
              <w:t>《大气污染物综合排放标准》（GB16297</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1996）表2中无组织排放监控浓度限值要求</w:t>
            </w:r>
            <w:r>
              <w:rPr>
                <w:rFonts w:hint="default" w:ascii="Times New Roman" w:hAnsi="Times New Roman" w:cs="Times New Roman"/>
                <w:color w:val="auto"/>
                <w:sz w:val="24"/>
                <w:highlight w:val="none"/>
                <w:lang w:eastAsia="zh-CN"/>
              </w:rPr>
              <w:t>；柴油发电机以无组织形式排放可以满足</w:t>
            </w:r>
            <w:r>
              <w:rPr>
                <w:rFonts w:hint="default" w:ascii="Times New Roman" w:hAnsi="Times New Roman" w:cs="Times New Roman"/>
                <w:color w:val="auto"/>
                <w:sz w:val="24"/>
                <w:highlight w:val="none"/>
                <w:lang w:val="en-US" w:eastAsia="zh-CN"/>
              </w:rPr>
              <w:t>《非道路移动机械用柴油机排气污染物排放限值及测量方法（中国第三、四阶段）》（GB20891—2014）中表2相关标准限值要求，</w:t>
            </w:r>
            <w:r>
              <w:rPr>
                <w:rFonts w:hint="default" w:ascii="Times New Roman" w:hAnsi="Times New Roman" w:cs="Times New Roman"/>
                <w:color w:val="auto"/>
                <w:sz w:val="24"/>
                <w:highlight w:val="none"/>
              </w:rPr>
              <w:t>具有可行性</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施工期对大气环境的影响暂时的，随着施工活动结束，影响消失。</w:t>
            </w:r>
          </w:p>
          <w:p w14:paraId="6110AB0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8、</w:t>
            </w:r>
            <w:r>
              <w:rPr>
                <w:rFonts w:hint="default" w:ascii="Times New Roman" w:hAnsi="Times New Roman" w:cs="Times New Roman"/>
                <w:bCs/>
                <w:color w:val="auto"/>
                <w:sz w:val="24"/>
                <w:highlight w:val="none"/>
              </w:rPr>
              <w:t>对敏感目标的保护措施</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优化运输路线，避开或远离居民区，无法避让情况下运输车辆途经环境空气敏感目标时，实行限速管理，时速应小于20k</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/h</w:t>
            </w:r>
            <w:r>
              <w:rPr>
                <w:rFonts w:hint="default"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rPr>
              <w:t>干旱、多风季节，路段每天洒水不少于两次。运输土方、垃圾等易产生扬尘污染的车辆，进出施工现场必须封闭，严禁撒漏。临时堆放的土方等应进行覆盖，以防尘土飞扬对居民的影响。加快施工进度，遇四级风以上天气不得进行土方回填及转运等可能产生扬尘污染的施工作业。通过采取以上措施后，可</w:t>
            </w:r>
            <w:r>
              <w:rPr>
                <w:rFonts w:hint="default" w:ascii="Times New Roman" w:hAnsi="Times New Roman" w:cs="Times New Roman"/>
                <w:bCs/>
                <w:color w:val="auto"/>
                <w:sz w:val="24"/>
                <w:highlight w:val="none"/>
                <w:lang w:eastAsia="zh-CN"/>
              </w:rPr>
              <w:t>将</w:t>
            </w:r>
            <w:r>
              <w:rPr>
                <w:rFonts w:hint="default" w:ascii="Times New Roman" w:hAnsi="Times New Roman" w:cs="Times New Roman"/>
                <w:bCs/>
                <w:color w:val="auto"/>
                <w:sz w:val="24"/>
                <w:highlight w:val="none"/>
              </w:rPr>
              <w:t>敏感目标的影响降到最低，影响可接受。</w:t>
            </w:r>
          </w:p>
          <w:p w14:paraId="6CD517D9">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四、声环境保护措施</w:t>
            </w:r>
          </w:p>
          <w:p w14:paraId="3F6D385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1、</w:t>
            </w:r>
            <w:r>
              <w:rPr>
                <w:rFonts w:hint="default" w:ascii="Times New Roman" w:hAnsi="Times New Roman" w:eastAsia="宋体" w:cs="Times New Roman"/>
                <w:bCs/>
                <w:color w:val="auto"/>
                <w:spacing w:val="0"/>
                <w:sz w:val="24"/>
                <w:highlight w:val="none"/>
              </w:rPr>
              <w:t>在满足施工需要的前提下，尽可能选取噪声低、振动小、能耗小的先进设备，加强对施工机械的维护保养，避免由于设备性能差而使机械噪声增大的现象发生；</w:t>
            </w:r>
          </w:p>
          <w:p w14:paraId="1436014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cs="Times New Roman"/>
                <w:bCs/>
                <w:color w:val="auto"/>
                <w:spacing w:val="0"/>
                <w:sz w:val="24"/>
                <w:highlight w:val="none"/>
                <w:lang w:val="en-US" w:eastAsia="zh-CN"/>
              </w:rPr>
              <w:t>2、</w:t>
            </w:r>
            <w:r>
              <w:rPr>
                <w:rFonts w:hint="default" w:ascii="Times New Roman" w:hAnsi="Times New Roman" w:eastAsia="宋体" w:cs="Times New Roman"/>
                <w:bCs/>
                <w:color w:val="auto"/>
                <w:spacing w:val="0"/>
                <w:sz w:val="24"/>
                <w:highlight w:val="none"/>
              </w:rPr>
              <w:t>合理规划施工平面，将高噪设备设置在远离敏感点处并设围挡，对主要施工机械采取加防振垫和隔声罩等有效措施减轻噪声污染；在敏感目标前设置移动隔声屏障，移动隔声屏障高度为3</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，长度能够覆盖敏感目标（长度超出敏感目标两侧各10</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w:t>
            </w:r>
            <w:r>
              <w:rPr>
                <w:rFonts w:hint="default" w:ascii="Times New Roman" w:hAnsi="Times New Roman" w:eastAsia="宋体" w:cs="Times New Roman"/>
                <w:bCs/>
                <w:color w:val="auto"/>
                <w:spacing w:val="0"/>
                <w:sz w:val="24"/>
                <w:highlight w:val="none"/>
                <w:lang w:eastAsia="zh-CN"/>
              </w:rPr>
              <w:t>。</w:t>
            </w:r>
          </w:p>
          <w:p w14:paraId="6A4BCB0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3、</w:t>
            </w:r>
            <w:r>
              <w:rPr>
                <w:rFonts w:hint="default" w:ascii="Times New Roman" w:hAnsi="Times New Roman" w:eastAsia="宋体" w:cs="Times New Roman"/>
                <w:bCs/>
                <w:color w:val="auto"/>
                <w:spacing w:val="0"/>
                <w:sz w:val="24"/>
                <w:highlight w:val="none"/>
              </w:rPr>
              <w:t>施工现场</w:t>
            </w:r>
            <w:r>
              <w:rPr>
                <w:rFonts w:hint="default" w:ascii="Times New Roman" w:hAnsi="Times New Roman" w:eastAsia="宋体" w:cs="Times New Roman"/>
                <w:bCs/>
                <w:color w:val="auto"/>
                <w:spacing w:val="0"/>
                <w:sz w:val="24"/>
                <w:highlight w:val="none"/>
                <w:lang w:val="en-US" w:eastAsia="zh-CN"/>
              </w:rPr>
              <w:t>四周设置</w:t>
            </w:r>
            <w:r>
              <w:rPr>
                <w:rFonts w:hint="default" w:ascii="Times New Roman" w:hAnsi="Times New Roman" w:eastAsia="宋体" w:cs="Times New Roman"/>
                <w:bCs/>
                <w:color w:val="auto"/>
                <w:spacing w:val="0"/>
                <w:sz w:val="24"/>
                <w:highlight w:val="none"/>
              </w:rPr>
              <w:t>围挡，围挡高度不低于2</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w:t>
            </w:r>
          </w:p>
          <w:p w14:paraId="29E0176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4、</w:t>
            </w:r>
            <w:r>
              <w:rPr>
                <w:rFonts w:hint="default" w:ascii="Times New Roman" w:hAnsi="Times New Roman" w:eastAsia="宋体" w:cs="Times New Roman"/>
                <w:bCs/>
                <w:color w:val="auto"/>
                <w:spacing w:val="0"/>
                <w:sz w:val="24"/>
                <w:highlight w:val="none"/>
              </w:rPr>
              <w:t>施工部门应统筹安排好施工时间，根据施工作业各阶段的具体情况，尽量避免高噪声机械设备集中使用或几台声功率相同的设备同时、同点作业，以减少作业时的</w:t>
            </w:r>
            <w:r>
              <w:rPr>
                <w:rFonts w:hint="default" w:ascii="Times New Roman" w:hAnsi="Times New Roman" w:eastAsia="宋体" w:cs="Times New Roman"/>
                <w:bCs/>
                <w:color w:val="auto"/>
                <w:spacing w:val="0"/>
                <w:sz w:val="24"/>
                <w:highlight w:val="none"/>
                <w:lang w:eastAsia="zh-CN"/>
              </w:rPr>
              <w:t>噪声</w:t>
            </w:r>
            <w:r>
              <w:rPr>
                <w:rFonts w:hint="default" w:ascii="Times New Roman" w:hAnsi="Times New Roman" w:eastAsia="宋体" w:cs="Times New Roman"/>
                <w:bCs/>
                <w:color w:val="auto"/>
                <w:spacing w:val="0"/>
                <w:sz w:val="24"/>
                <w:highlight w:val="none"/>
              </w:rPr>
              <w:t>；在保证施工进度的前提下，合理安排作业时间，把排放噪声强度大的应尽量安排在白天施工，禁止夜间（22</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00</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6</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00）施工。</w:t>
            </w:r>
          </w:p>
          <w:p w14:paraId="1150469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5、</w:t>
            </w:r>
            <w:r>
              <w:rPr>
                <w:rFonts w:hint="default" w:ascii="Times New Roman" w:hAnsi="Times New Roman" w:eastAsia="宋体" w:cs="Times New Roman"/>
                <w:bCs/>
                <w:color w:val="auto"/>
                <w:spacing w:val="0"/>
                <w:sz w:val="24"/>
                <w:highlight w:val="none"/>
              </w:rPr>
              <w:t>加强施工期管理，运输车辆进入现场应减速，并禁止鸣笛；</w:t>
            </w:r>
          </w:p>
          <w:p w14:paraId="2FCB1AF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cs="Times New Roman"/>
                <w:bCs/>
                <w:color w:val="auto"/>
                <w:spacing w:val="0"/>
                <w:sz w:val="24"/>
                <w:highlight w:val="none"/>
                <w:lang w:val="en-US" w:eastAsia="zh-CN"/>
              </w:rPr>
              <w:t>6、</w:t>
            </w:r>
            <w:r>
              <w:rPr>
                <w:rFonts w:hint="default" w:ascii="Times New Roman" w:hAnsi="Times New Roman" w:eastAsia="宋体" w:cs="Times New Roman"/>
                <w:bCs/>
                <w:color w:val="auto"/>
                <w:spacing w:val="0"/>
                <w:sz w:val="24"/>
                <w:highlight w:val="none"/>
                <w:lang w:val="en-US" w:eastAsia="zh-CN"/>
              </w:rPr>
              <w:t>原料运输过程中，合理安排运输时间，减速慢行，</w:t>
            </w:r>
            <w:r>
              <w:rPr>
                <w:rFonts w:hint="default" w:ascii="Times New Roman" w:hAnsi="Times New Roman" w:eastAsia="宋体" w:cs="Times New Roman"/>
                <w:bCs/>
                <w:color w:val="auto"/>
                <w:spacing w:val="0"/>
                <w:sz w:val="24"/>
                <w:highlight w:val="none"/>
              </w:rPr>
              <w:t>并禁止鸣笛；</w:t>
            </w:r>
          </w:p>
          <w:p w14:paraId="4DF69CD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7、</w:t>
            </w:r>
            <w:r>
              <w:rPr>
                <w:rFonts w:hint="default" w:ascii="Times New Roman" w:hAnsi="Times New Roman" w:eastAsia="宋体" w:cs="Times New Roman"/>
                <w:bCs/>
                <w:color w:val="auto"/>
                <w:spacing w:val="0"/>
                <w:sz w:val="24"/>
                <w:highlight w:val="none"/>
              </w:rPr>
              <w:t>加快施工进度，合理安排工期，施工期间精心组织施工，禁止高噪声设备夜间施工。</w:t>
            </w:r>
          </w:p>
          <w:p w14:paraId="53AD64A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rPr>
              <w:t>在施工前张贴施工公告，并</w:t>
            </w:r>
            <w:r>
              <w:rPr>
                <w:rFonts w:hint="default" w:ascii="Times New Roman" w:hAnsi="Times New Roman" w:cs="Times New Roman"/>
                <w:color w:val="auto"/>
                <w:sz w:val="24"/>
                <w:highlight w:val="none"/>
                <w:lang w:eastAsia="zh-CN"/>
              </w:rPr>
              <w:t>与</w:t>
            </w:r>
            <w:r>
              <w:rPr>
                <w:rFonts w:hint="default" w:ascii="Times New Roman" w:hAnsi="Times New Roman" w:cs="Times New Roman"/>
                <w:color w:val="auto"/>
                <w:sz w:val="24"/>
                <w:highlight w:val="none"/>
              </w:rPr>
              <w:t>周边居民协调好关系；加强施工单位的宣传教育工作，</w:t>
            </w:r>
            <w:r>
              <w:rPr>
                <w:rFonts w:hint="default" w:ascii="Times New Roman" w:hAnsi="Times New Roman" w:cs="Times New Roman"/>
                <w:color w:val="auto"/>
                <w:sz w:val="24"/>
                <w:highlight w:val="none"/>
                <w:lang w:eastAsia="zh-CN"/>
              </w:rPr>
              <w:t>增强</w:t>
            </w:r>
            <w:r>
              <w:rPr>
                <w:rFonts w:hint="default" w:ascii="Times New Roman" w:hAnsi="Times New Roman" w:cs="Times New Roman"/>
                <w:color w:val="auto"/>
                <w:sz w:val="24"/>
                <w:highlight w:val="none"/>
              </w:rPr>
              <w:t>施工单位的环保意识；及时淘汰落后的施工机械设备，改进施工工艺和技术，以最小噪声工艺和机械设备替换传统的大噪</w:t>
            </w:r>
            <w:r>
              <w:rPr>
                <w:rFonts w:hint="default" w:ascii="Times New Roman" w:hAnsi="Times New Roman" w:cs="Times New Roman"/>
                <w:color w:val="auto"/>
                <w:sz w:val="24"/>
                <w:highlight w:val="none"/>
                <w:lang w:val="en-US" w:eastAsia="zh-CN"/>
              </w:rPr>
              <w:t>声</w:t>
            </w:r>
            <w:r>
              <w:rPr>
                <w:rFonts w:hint="default" w:ascii="Times New Roman" w:hAnsi="Times New Roman" w:cs="Times New Roman"/>
                <w:color w:val="auto"/>
                <w:sz w:val="24"/>
                <w:highlight w:val="none"/>
              </w:rPr>
              <w:t>型机械设备</w:t>
            </w:r>
            <w:r>
              <w:rPr>
                <w:rFonts w:hint="default" w:ascii="Times New Roman" w:hAnsi="Times New Roman" w:cs="Times New Roman"/>
                <w:color w:val="auto"/>
                <w:sz w:val="24"/>
                <w:highlight w:val="none"/>
                <w:lang w:eastAsia="zh-CN"/>
              </w:rPr>
              <w:t>，选用列入国家低噪声施工设备指导名录的机械设备</w:t>
            </w:r>
            <w:r>
              <w:rPr>
                <w:rFonts w:hint="default" w:ascii="Times New Roman" w:hAnsi="Times New Roman" w:cs="Times New Roman"/>
                <w:color w:val="auto"/>
                <w:sz w:val="24"/>
                <w:highlight w:val="none"/>
              </w:rPr>
              <w:t>。禁止夜间施工，</w:t>
            </w:r>
            <w:r>
              <w:rPr>
                <w:rFonts w:hint="default" w:ascii="Times New Roman" w:hAnsi="Times New Roman" w:cs="Times New Roman"/>
                <w:color w:val="auto"/>
                <w:sz w:val="24"/>
                <w:highlight w:val="none"/>
                <w:lang w:val="en-US" w:eastAsia="zh-CN"/>
              </w:rPr>
              <w:t>对</w:t>
            </w:r>
            <w:r>
              <w:rPr>
                <w:rFonts w:hint="default" w:ascii="Times New Roman" w:hAnsi="Times New Roman" w:cs="Times New Roman"/>
                <w:color w:val="auto"/>
                <w:sz w:val="24"/>
                <w:highlight w:val="none"/>
              </w:rPr>
              <w:t>高噪声设备（如空压机、发电机、混凝土泵车）设置独立的隔声房或隔声棚</w:t>
            </w:r>
            <w:r>
              <w:rPr>
                <w:rFonts w:hint="default" w:ascii="Times New Roman" w:hAnsi="Times New Roman" w:cs="Times New Roman"/>
                <w:color w:val="auto"/>
                <w:sz w:val="24"/>
                <w:highlight w:val="none"/>
                <w:lang w:eastAsia="zh-CN"/>
              </w:rPr>
              <w:t>，对固定设备基础进行隔振处理，</w:t>
            </w:r>
            <w:r>
              <w:rPr>
                <w:rFonts w:hint="default" w:ascii="Times New Roman" w:hAnsi="Times New Roman" w:cs="Times New Roman"/>
                <w:color w:val="auto"/>
                <w:sz w:val="24"/>
                <w:highlight w:val="none"/>
              </w:rPr>
              <w:t>高噪声机械设置在远离居民点一侧，加强设备维护，确保设备处于正常运行状态，避免因故障产生额外噪声</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综上所述，</w:t>
            </w:r>
            <w:r>
              <w:rPr>
                <w:rFonts w:hint="default" w:ascii="Times New Roman" w:hAnsi="Times New Roman" w:cs="Times New Roman"/>
                <w:color w:val="auto"/>
                <w:sz w:val="24"/>
                <w:highlight w:val="none"/>
              </w:rPr>
              <w:t>尽可能采取</w:t>
            </w:r>
            <w:r>
              <w:rPr>
                <w:rFonts w:hint="default" w:ascii="Times New Roman" w:hAnsi="Times New Roman" w:cs="Times New Roman"/>
                <w:color w:val="auto"/>
                <w:sz w:val="24"/>
                <w:highlight w:val="none"/>
                <w:lang w:val="en-US" w:eastAsia="zh-CN"/>
              </w:rPr>
              <w:t>低噪设备、</w:t>
            </w:r>
            <w:r>
              <w:rPr>
                <w:rFonts w:hint="default" w:ascii="Times New Roman" w:hAnsi="Times New Roman" w:cs="Times New Roman"/>
                <w:color w:val="auto"/>
                <w:sz w:val="24"/>
                <w:highlight w:val="none"/>
              </w:rPr>
              <w:t>隔</w:t>
            </w:r>
            <w:r>
              <w:rPr>
                <w:rFonts w:hint="default" w:ascii="Times New Roman" w:hAnsi="Times New Roman" w:cs="Times New Roman"/>
                <w:color w:val="auto"/>
                <w:sz w:val="24"/>
                <w:highlight w:val="none"/>
                <w:lang w:val="en-US" w:eastAsia="zh-CN"/>
              </w:rPr>
              <w:t>声</w:t>
            </w:r>
            <w:r>
              <w:rPr>
                <w:rFonts w:hint="default" w:ascii="Times New Roman" w:hAnsi="Times New Roman" w:cs="Times New Roman"/>
                <w:color w:val="auto"/>
                <w:sz w:val="24"/>
                <w:highlight w:val="none"/>
              </w:rPr>
              <w:t>、减</w:t>
            </w:r>
            <w:r>
              <w:rPr>
                <w:rFonts w:hint="default" w:ascii="Times New Roman" w:hAnsi="Times New Roman" w:cs="Times New Roman"/>
                <w:color w:val="auto"/>
                <w:sz w:val="24"/>
                <w:highlight w:val="none"/>
                <w:lang w:val="en-US" w:eastAsia="zh-CN"/>
              </w:rPr>
              <w:t>振</w:t>
            </w:r>
            <w:r>
              <w:rPr>
                <w:rFonts w:hint="default" w:ascii="Times New Roman" w:hAnsi="Times New Roman" w:cs="Times New Roman"/>
                <w:color w:val="auto"/>
                <w:sz w:val="24"/>
                <w:highlight w:val="none"/>
              </w:rPr>
              <w:t>、消声等措施，</w:t>
            </w:r>
            <w:r>
              <w:rPr>
                <w:rFonts w:hint="default" w:ascii="Times New Roman" w:hAnsi="Times New Roman" w:cs="Times New Roman"/>
                <w:color w:val="auto"/>
                <w:sz w:val="24"/>
                <w:highlight w:val="none"/>
                <w:lang w:val="en-US" w:eastAsia="zh-CN"/>
              </w:rPr>
              <w:t>采用成熟施工技术和有效管理措施，</w:t>
            </w:r>
            <w:r>
              <w:rPr>
                <w:rFonts w:hint="default" w:ascii="Times New Roman" w:hAnsi="Times New Roman" w:cs="Times New Roman"/>
                <w:color w:val="auto"/>
                <w:sz w:val="24"/>
                <w:highlight w:val="none"/>
              </w:rPr>
              <w:t>可使附近居民点处的声环境满足《声环境质量标准》（GB3096</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2008）1类标准。</w:t>
            </w:r>
          </w:p>
          <w:p w14:paraId="2D738E48">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
                <w:bCs/>
                <w:color w:val="auto"/>
                <w:sz w:val="24"/>
                <w:highlight w:val="none"/>
              </w:rPr>
              <w:t>五、固体废物处置措施</w:t>
            </w:r>
          </w:p>
          <w:p w14:paraId="69DA0BF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（1）</w:t>
            </w:r>
            <w:r>
              <w:rPr>
                <w:rFonts w:hint="default" w:ascii="Times New Roman" w:hAnsi="Times New Roman" w:cs="Times New Roman"/>
                <w:color w:val="auto"/>
                <w:sz w:val="24"/>
                <w:szCs w:val="24"/>
                <w:highlight w:val="none"/>
              </w:rPr>
              <w:t>工程产生弃</w:t>
            </w:r>
            <w:r>
              <w:rPr>
                <w:rFonts w:hint="default" w:ascii="Times New Roman" w:hAnsi="Times New Roman" w:cs="Times New Roman"/>
                <w:color w:val="auto"/>
                <w:sz w:val="24"/>
                <w:szCs w:val="24"/>
                <w:highlight w:val="none"/>
                <w:lang w:val="en-US" w:eastAsia="zh-CN"/>
              </w:rPr>
              <w:t>方68668</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其中土方余方10977m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就近填塘；表土57691m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临时堆存在表土暂存场，</w:t>
            </w:r>
            <w:r>
              <w:rPr>
                <w:rFonts w:hint="default" w:ascii="Times New Roman" w:hAnsi="Times New Roman" w:cs="Times New Roman"/>
                <w:color w:val="auto"/>
                <w:sz w:val="24"/>
                <w:szCs w:val="24"/>
                <w:highlight w:val="none"/>
              </w:rPr>
              <w:t>全部由</w:t>
            </w:r>
            <w:r>
              <w:rPr>
                <w:rFonts w:hint="default" w:ascii="Times New Roman" w:hAnsi="Times New Roman" w:cs="Times New Roman"/>
                <w:color w:val="auto"/>
                <w:sz w:val="24"/>
                <w:szCs w:val="24"/>
                <w:highlight w:val="none"/>
                <w:lang w:val="en-US" w:eastAsia="zh-CN"/>
              </w:rPr>
              <w:t>庆安县庆禾农业发展有限公司</w:t>
            </w:r>
            <w:r>
              <w:rPr>
                <w:rFonts w:hint="default" w:ascii="Times New Roman" w:hAnsi="Times New Roman" w:cs="Times New Roman"/>
                <w:color w:val="auto"/>
                <w:sz w:val="24"/>
                <w:szCs w:val="24"/>
                <w:highlight w:val="none"/>
              </w:rPr>
              <w:t>外运并进行综合利用，重点用于</w:t>
            </w:r>
            <w:r>
              <w:rPr>
                <w:rFonts w:hint="default" w:ascii="Times New Roman" w:hAnsi="Times New Roman" w:cs="Times New Roman"/>
                <w:color w:val="auto"/>
                <w:sz w:val="24"/>
                <w:szCs w:val="24"/>
                <w:highlight w:val="none"/>
                <w:lang w:val="en-US" w:eastAsia="zh-CN"/>
              </w:rPr>
              <w:t>土地改良。</w:t>
            </w:r>
            <w:r>
              <w:rPr>
                <w:rFonts w:hint="default" w:ascii="Times New Roman" w:hAnsi="Times New Roman" w:cs="Times New Roman"/>
                <w:bCs/>
                <w:color w:val="auto"/>
                <w:sz w:val="24"/>
                <w:szCs w:val="24"/>
                <w:highlight w:val="none"/>
              </w:rPr>
              <w:t>临时堆土</w:t>
            </w:r>
            <w:r>
              <w:rPr>
                <w:rFonts w:hint="default" w:ascii="Times New Roman" w:hAnsi="Times New Roman" w:cs="Times New Roman"/>
                <w:bCs/>
                <w:color w:val="auto"/>
                <w:sz w:val="24"/>
                <w:szCs w:val="24"/>
                <w:highlight w:val="none"/>
                <w:lang w:val="en-US" w:eastAsia="zh-CN"/>
              </w:rPr>
              <w:t>时</w:t>
            </w:r>
            <w:r>
              <w:rPr>
                <w:rFonts w:hint="default" w:ascii="Times New Roman" w:hAnsi="Times New Roman" w:cs="Times New Roman"/>
                <w:bCs/>
                <w:color w:val="auto"/>
                <w:sz w:val="24"/>
                <w:szCs w:val="24"/>
                <w:highlight w:val="none"/>
              </w:rPr>
              <w:t>周边利用编织袋或土埂拦挡，限制堆高及整形。</w:t>
            </w:r>
            <w:r>
              <w:rPr>
                <w:rFonts w:hint="default" w:ascii="Times New Roman" w:hAnsi="Times New Roman" w:cs="Times New Roman"/>
                <w:bCs/>
                <w:color w:val="auto"/>
                <w:sz w:val="24"/>
                <w:szCs w:val="24"/>
                <w:highlight w:val="none"/>
                <w:lang w:val="en-US" w:eastAsia="zh-CN"/>
              </w:rPr>
              <w:t>沉淀池污泥施工结束后统一清出与弃土一同处置。</w:t>
            </w:r>
          </w:p>
          <w:p w14:paraId="3C33AB5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lang w:val="en-US" w:eastAsia="zh-CN"/>
              </w:rPr>
              <w:t>根据《黑龙江省水利工程绿色施工规程》（DB23/T 2995—2021）的规定，可</w:t>
            </w:r>
            <w:r>
              <w:rPr>
                <w:rFonts w:hint="default" w:ascii="Times New Roman" w:hAnsi="Times New Roman" w:cs="Times New Roman"/>
                <w:bCs/>
                <w:color w:val="auto"/>
                <w:sz w:val="24"/>
                <w:highlight w:val="none"/>
              </w:rPr>
              <w:t>结合当地建设规划，宜将弃料用于填堰塘、固河堤、修当地机耕道、修屋基等。</w:t>
            </w:r>
            <w:r>
              <w:rPr>
                <w:rFonts w:hint="default" w:ascii="Times New Roman" w:hAnsi="Times New Roman" w:cs="Times New Roman"/>
                <w:bCs/>
                <w:color w:val="auto"/>
                <w:sz w:val="24"/>
                <w:highlight w:val="none"/>
                <w:lang w:val="en-US" w:eastAsia="zh-CN"/>
              </w:rPr>
              <w:t>表土</w:t>
            </w:r>
            <w:r>
              <w:rPr>
                <w:rFonts w:hint="default" w:ascii="Times New Roman" w:hAnsi="Times New Roman" w:cs="Times New Roman"/>
                <w:bCs/>
                <w:color w:val="auto"/>
                <w:sz w:val="24"/>
                <w:highlight w:val="none"/>
              </w:rPr>
              <w:t>的运输、储存、利用等环节的安全、环保及水土保持由</w:t>
            </w:r>
            <w:r>
              <w:rPr>
                <w:rFonts w:hint="default" w:ascii="Times New Roman" w:hAnsi="Times New Roman" w:cs="Times New Roman"/>
                <w:color w:val="auto"/>
                <w:sz w:val="21"/>
                <w:szCs w:val="21"/>
                <w:highlight w:val="none"/>
                <w:lang w:val="en-US" w:eastAsia="zh-CN"/>
              </w:rPr>
              <w:t>庆安县庆禾农业发展有限公司</w:t>
            </w:r>
            <w:r>
              <w:rPr>
                <w:rFonts w:hint="default" w:ascii="Times New Roman" w:hAnsi="Times New Roman" w:cs="Times New Roman"/>
                <w:bCs/>
                <w:color w:val="auto"/>
                <w:sz w:val="24"/>
                <w:highlight w:val="none"/>
              </w:rPr>
              <w:t>承担</w:t>
            </w:r>
            <w:r>
              <w:rPr>
                <w:rFonts w:hint="default" w:ascii="Times New Roman" w:hAnsi="Times New Roman" w:cs="Times New Roman"/>
                <w:bCs/>
                <w:color w:val="auto"/>
                <w:sz w:val="24"/>
                <w:highlight w:val="none"/>
                <w:lang w:eastAsia="zh-CN"/>
              </w:rPr>
              <w:t>。</w:t>
            </w:r>
          </w:p>
          <w:p w14:paraId="51BFBB7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（2）建筑垃圾</w:t>
            </w:r>
            <w:r>
              <w:rPr>
                <w:rFonts w:hint="default" w:ascii="Times New Roman" w:hAnsi="Times New Roman" w:cs="Times New Roman"/>
                <w:bCs/>
                <w:color w:val="auto"/>
                <w:sz w:val="24"/>
                <w:highlight w:val="none"/>
                <w:lang w:eastAsia="zh-CN"/>
              </w:rPr>
              <w:t>中</w:t>
            </w:r>
            <w:r>
              <w:rPr>
                <w:rFonts w:hint="default" w:ascii="Times New Roman" w:hAnsi="Times New Roman" w:cs="Times New Roman"/>
                <w:bCs/>
                <w:color w:val="auto"/>
                <w:sz w:val="24"/>
                <w:highlight w:val="none"/>
              </w:rPr>
              <w:t>可回收建筑材料送交废旧物资回收站处理，无法回收利用的采用运输车运至市政指定地点堆存。工程施工单位施工前与各地的市容行政管理部门委托、协调解决，禁止就近随意堆放，影响景观；本工程施工监理单位要加强监督，使建筑垃圾得到妥善处理，不得污染周边环境。</w:t>
            </w:r>
          </w:p>
          <w:p w14:paraId="4409431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（3）在生产生活区布设垃圾箱，规格2000*1500*1000</w:t>
            </w:r>
            <w:r>
              <w:rPr>
                <w:rFonts w:hint="default" w:ascii="Times New Roman" w:hAnsi="Times New Roman" w:cs="Times New Roman"/>
                <w:bCs/>
                <w:color w:val="auto"/>
                <w:sz w:val="24"/>
                <w:highlight w:val="none"/>
                <w:lang w:eastAsia="zh-CN"/>
              </w:rPr>
              <w:t>mm</w:t>
            </w:r>
            <w:r>
              <w:rPr>
                <w:rFonts w:hint="default" w:ascii="Times New Roman" w:hAnsi="Times New Roman" w:cs="Times New Roman"/>
                <w:bCs/>
                <w:color w:val="auto"/>
                <w:sz w:val="24"/>
                <w:highlight w:val="none"/>
              </w:rPr>
              <w:t>，数量为</w:t>
            </w: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个，运输垃圾的设施要</w:t>
            </w:r>
            <w:r>
              <w:rPr>
                <w:rFonts w:hint="default" w:ascii="Times New Roman" w:hAnsi="Times New Roman" w:cs="Times New Roman"/>
                <w:bCs/>
                <w:color w:val="auto"/>
                <w:sz w:val="24"/>
                <w:highlight w:val="none"/>
                <w:lang w:eastAsia="zh-CN"/>
              </w:rPr>
              <w:t>密闭</w:t>
            </w:r>
            <w:r>
              <w:rPr>
                <w:rFonts w:hint="default" w:ascii="Times New Roman" w:hAnsi="Times New Roman" w:cs="Times New Roman"/>
                <w:bCs/>
                <w:color w:val="auto"/>
                <w:sz w:val="24"/>
                <w:highlight w:val="none"/>
              </w:rPr>
              <w:t>，以免对环境造成二次污染，定期运往指定地点统一进行集中处理。</w:t>
            </w:r>
          </w:p>
          <w:p w14:paraId="25925DDF">
            <w:pPr>
              <w:pStyle w:val="84"/>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六、环境风险保护措施</w:t>
            </w:r>
          </w:p>
          <w:p w14:paraId="4666362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本项目不设置储油库，涉及危险物质主要</w:t>
            </w:r>
            <w:r>
              <w:rPr>
                <w:rFonts w:hint="default" w:ascii="Times New Roman" w:hAnsi="Times New Roman" w:cs="Times New Roman"/>
                <w:color w:val="auto"/>
                <w:highlight w:val="none"/>
                <w:lang w:val="en-US" w:eastAsia="zh-CN"/>
              </w:rPr>
              <w:t>是</w:t>
            </w:r>
            <w:r>
              <w:rPr>
                <w:rFonts w:hint="default" w:ascii="Times New Roman" w:hAnsi="Times New Roman" w:cs="Times New Roman"/>
                <w:color w:val="auto"/>
                <w:highlight w:val="none"/>
              </w:rPr>
              <w:t>柴油，存在于机械和柴油发电机油箱中，由于柴油的特性，任何泄漏的燃油都可能导致潜在的火灾</w:t>
            </w:r>
            <w:r>
              <w:rPr>
                <w:rFonts w:hint="default" w:ascii="Times New Roman" w:hAnsi="Times New Roman" w:cs="Times New Roman"/>
                <w:color w:val="auto"/>
                <w:highlight w:val="none"/>
                <w:lang w:val="en-US" w:eastAsia="zh-CN"/>
              </w:rPr>
              <w:t>暴</w:t>
            </w:r>
            <w:r>
              <w:rPr>
                <w:rFonts w:hint="default" w:ascii="Times New Roman" w:hAnsi="Times New Roman" w:cs="Times New Roman"/>
                <w:color w:val="auto"/>
                <w:highlight w:val="none"/>
              </w:rPr>
              <w:t>发。每天检查机器是否有燃油泄漏，并迅速清理任何溢出物。油桶附近禁止烟火。本工程施工过程中，运输车辆和机械应在指定运输路线行驶；在进出口加设限速、</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谨慎驾驶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等标识牌，提醒工程周边社会车辆降低车速安全通行，减小交通事故发生概率；加强工程运输车安全管理，定期检修相关车辆，保证上路车辆车况良好。</w:t>
            </w:r>
          </w:p>
          <w:p w14:paraId="2820BE1A">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八、环境管理与监测计划</w:t>
            </w:r>
          </w:p>
          <w:p w14:paraId="4BC5691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（1）环境管理</w:t>
            </w:r>
          </w:p>
          <w:p w14:paraId="02125B3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根据《建设项目环境保护管理条例》规定</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建设项目的环境保护设施，必须与主体工程同时设计、同时施工、同时投产使用。</w:t>
            </w:r>
            <w:r>
              <w:rPr>
                <w:rFonts w:hint="default" w:ascii="Times New Roman" w:hAnsi="Times New Roman" w:cs="Times New Roman"/>
                <w:bCs/>
                <w:color w:val="auto"/>
                <w:sz w:val="24"/>
                <w:highlight w:val="none"/>
                <w:lang w:eastAsia="zh-CN"/>
              </w:rPr>
              <w:t>"</w:t>
            </w:r>
          </w:p>
          <w:p w14:paraId="148136FB">
            <w:pPr>
              <w:keepNext w:val="0"/>
              <w:keepLines w:val="0"/>
              <w:pageBreakBefore w:val="0"/>
              <w:widowControl w:val="0"/>
              <w:pBdr>
                <w:bottom w:val="single" w:color="FFFFFF" w:sz="4" w:space="1"/>
              </w:pBd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项目建设全面贯彻执行</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四制</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eastAsia="zh-CN"/>
              </w:rPr>
              <w:t>"庆安县中小型水利工程建设管理中心"</w:t>
            </w:r>
            <w:r>
              <w:rPr>
                <w:rFonts w:hint="default" w:ascii="Times New Roman" w:hAnsi="Times New Roman" w:cs="Times New Roman"/>
                <w:bCs/>
                <w:color w:val="auto"/>
                <w:sz w:val="24"/>
                <w:highlight w:val="none"/>
              </w:rPr>
              <w:t>为项目法人单位，对工程建设负总责和资金筹措管理，选择施工队伍。落实质量监督和组织初步验收，并安排专人负责施工中的环境管理工作。参与工程建设的各专业施工单位应配置专业环保人员1人，配合建设单位设置的环境保护机构</w:t>
            </w:r>
            <w:r>
              <w:rPr>
                <w:rFonts w:hint="default" w:ascii="Times New Roman" w:hAnsi="Times New Roman" w:cs="Times New Roman"/>
                <w:bCs/>
                <w:color w:val="auto"/>
                <w:sz w:val="24"/>
                <w:highlight w:val="none"/>
                <w:lang w:eastAsia="zh-CN"/>
              </w:rPr>
              <w:t>做好</w:t>
            </w:r>
            <w:r>
              <w:rPr>
                <w:rFonts w:hint="default" w:ascii="Times New Roman" w:hAnsi="Times New Roman" w:cs="Times New Roman"/>
                <w:bCs/>
                <w:color w:val="auto"/>
                <w:sz w:val="24"/>
                <w:highlight w:val="none"/>
              </w:rPr>
              <w:t>施工中的环境保护工作。</w:t>
            </w:r>
          </w:p>
          <w:p w14:paraId="3E1AA54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工程施工期设立环境监理，在工程施工期设立环境监理1名，根据国家法律、法规和政策及施工合同中的环保条款，通过日常巡视，下发指令性文件等方式，监督、审查和评估施工环境保护措施的执行情况，及时发现和指正施工单位的违反环境保护政策行为，及时将监理情况反馈给工程监理和工程建设管理部门。</w:t>
            </w:r>
          </w:p>
          <w:p w14:paraId="2226A5F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（2）环境监测</w:t>
            </w:r>
          </w:p>
          <w:p w14:paraId="4E98653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根据工程施工期环境影响分析，工程施工期大气污染和噪声影响较轻，生产废水的处理主要在于加强管理和监督。因此，施工期环境监测主要是对</w:t>
            </w:r>
            <w:r>
              <w:rPr>
                <w:rFonts w:hint="default" w:ascii="Times New Roman" w:hAnsi="Times New Roman" w:cs="Times New Roman"/>
                <w:color w:val="auto"/>
                <w:sz w:val="24"/>
                <w:highlight w:val="none"/>
                <w:lang w:val="en-US" w:eastAsia="zh-CN"/>
              </w:rPr>
              <w:t>噪声、</w:t>
            </w:r>
            <w:r>
              <w:rPr>
                <w:rFonts w:hint="default" w:ascii="Times New Roman" w:hAnsi="Times New Roman" w:cs="Times New Roman"/>
                <w:color w:val="auto"/>
                <w:sz w:val="24"/>
                <w:highlight w:val="none"/>
              </w:rPr>
              <w:t>大气环境进行监测。实施主体为建设单位，由建设单位委托具有相应资质的监测单位监测，监测</w:t>
            </w:r>
            <w:r>
              <w:rPr>
                <w:rFonts w:hint="default" w:ascii="Times New Roman" w:hAnsi="Times New Roman" w:cs="Times New Roman"/>
                <w:color w:val="auto"/>
                <w:sz w:val="24"/>
                <w:szCs w:val="22"/>
                <w:highlight w:val="none"/>
              </w:rPr>
              <w:t>分析方法采用国家环境保护部规定的方法。</w:t>
            </w:r>
            <w:r>
              <w:rPr>
                <w:rFonts w:hint="default" w:ascii="Times New Roman" w:hAnsi="Times New Roman" w:cs="Times New Roman"/>
                <w:color w:val="auto"/>
                <w:sz w:val="24"/>
                <w:highlight w:val="none"/>
              </w:rPr>
              <w:t>具体监测计划如下</w:t>
            </w:r>
            <w:r>
              <w:rPr>
                <w:rFonts w:hint="default" w:ascii="Times New Roman" w:hAnsi="Times New Roman" w:cs="Times New Roman"/>
                <w:color w:val="auto"/>
                <w:sz w:val="24"/>
                <w:highlight w:val="none"/>
                <w:lang w:eastAsia="zh-CN"/>
              </w:rPr>
              <w:t>:</w:t>
            </w:r>
          </w:p>
          <w:p w14:paraId="26129969">
            <w:pPr>
              <w:keepNext w:val="0"/>
              <w:keepLines w:val="0"/>
              <w:pageBreakBefore w:val="0"/>
              <w:widowControl w:val="0"/>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1"/>
                <w:szCs w:val="21"/>
                <w:highlight w:val="none"/>
              </w:rPr>
              <w:t>表5</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 xml:space="preserve">3  </w:t>
            </w:r>
            <w:r>
              <w:rPr>
                <w:rFonts w:hint="default" w:ascii="Times New Roman" w:hAnsi="Times New Roman" w:cs="Times New Roman"/>
                <w:b/>
                <w:color w:val="auto"/>
                <w:sz w:val="21"/>
                <w:szCs w:val="21"/>
                <w:highlight w:val="none"/>
              </w:rPr>
              <w:t>施工期</w:t>
            </w:r>
            <w:r>
              <w:rPr>
                <w:rFonts w:hint="default" w:ascii="Times New Roman" w:hAnsi="Times New Roman" w:cs="Times New Roman"/>
                <w:b/>
                <w:color w:val="auto"/>
                <w:sz w:val="21"/>
                <w:szCs w:val="21"/>
                <w:highlight w:val="none"/>
                <w:lang w:val="en-US" w:eastAsia="zh-CN"/>
              </w:rPr>
              <w:t>和运行期</w:t>
            </w:r>
            <w:r>
              <w:rPr>
                <w:rFonts w:hint="default" w:ascii="Times New Roman" w:hAnsi="Times New Roman" w:cs="Times New Roman"/>
                <w:b/>
                <w:color w:val="auto"/>
                <w:sz w:val="21"/>
                <w:szCs w:val="21"/>
                <w:highlight w:val="none"/>
              </w:rPr>
              <w:t>监测计划</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6"/>
              <w:gridCol w:w="1276"/>
              <w:gridCol w:w="1806"/>
              <w:gridCol w:w="1560"/>
              <w:gridCol w:w="1358"/>
              <w:gridCol w:w="1006"/>
            </w:tblGrid>
            <w:tr w14:paraId="107B03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noWrap w:val="0"/>
                  <w:vAlign w:val="center"/>
                </w:tcPr>
                <w:p w14:paraId="0F85E261">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w:t>
                  </w:r>
                </w:p>
                <w:p w14:paraId="16E7ECC4">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要素</w:t>
                  </w:r>
                </w:p>
              </w:tc>
              <w:tc>
                <w:tcPr>
                  <w:tcW w:w="1276" w:type="dxa"/>
                  <w:noWrap w:val="0"/>
                  <w:vAlign w:val="center"/>
                </w:tcPr>
                <w:p w14:paraId="13F4A5A5">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监测地点</w:t>
                  </w:r>
                </w:p>
              </w:tc>
              <w:tc>
                <w:tcPr>
                  <w:tcW w:w="1806" w:type="dxa"/>
                  <w:noWrap w:val="0"/>
                  <w:vAlign w:val="center"/>
                </w:tcPr>
                <w:p w14:paraId="58D8CF24">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1560" w:type="dxa"/>
                  <w:noWrap w:val="0"/>
                  <w:vAlign w:val="center"/>
                </w:tcPr>
                <w:p w14:paraId="68E2A1C9">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监测时间</w:t>
                  </w:r>
                </w:p>
                <w:p w14:paraId="5C038D35">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及频次</w:t>
                  </w:r>
                </w:p>
              </w:tc>
              <w:tc>
                <w:tcPr>
                  <w:tcW w:w="1358" w:type="dxa"/>
                  <w:noWrap w:val="0"/>
                  <w:vAlign w:val="center"/>
                </w:tcPr>
                <w:p w14:paraId="50ACE0D3">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实施机构</w:t>
                  </w:r>
                </w:p>
              </w:tc>
              <w:tc>
                <w:tcPr>
                  <w:tcW w:w="1006" w:type="dxa"/>
                  <w:noWrap w:val="0"/>
                  <w:vAlign w:val="center"/>
                </w:tcPr>
                <w:p w14:paraId="0B26037B">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监督</w:t>
                  </w:r>
                </w:p>
                <w:p w14:paraId="57C4D43D">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机构</w:t>
                  </w:r>
                </w:p>
              </w:tc>
            </w:tr>
            <w:tr w14:paraId="1BEFD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hidden/>
              </w:trPr>
              <w:tc>
                <w:tcPr>
                  <w:tcW w:w="536" w:type="dxa"/>
                  <w:noWrap w:val="0"/>
                  <w:vAlign w:val="center"/>
                </w:tcPr>
                <w:p w14:paraId="14DE8678">
                  <w:pPr>
                    <w:pStyle w:val="89"/>
                    <w:jc w:val="cente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pPr>
                  <w: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大气</w:t>
                  </w:r>
                </w:p>
              </w:tc>
              <w:tc>
                <w:tcPr>
                  <w:tcW w:w="1276" w:type="dxa"/>
                  <w:noWrap w:val="0"/>
                  <w:vAlign w:val="center"/>
                </w:tcPr>
                <w:p w14:paraId="6D0A468A">
                  <w:pPr>
                    <w:pStyle w:val="89"/>
                    <w:jc w:val="cente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pPr>
                  <w:r>
                    <w:rPr>
                      <w:rFonts w:hint="default" w:ascii="Times New Roman" w:hAnsi="Times New Roman"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奶牛场居民区</w:t>
                  </w:r>
                </w:p>
              </w:tc>
              <w:tc>
                <w:tcPr>
                  <w:tcW w:w="1806" w:type="dxa"/>
                  <w:noWrap w:val="0"/>
                  <w:vAlign w:val="center"/>
                </w:tcPr>
                <w:p w14:paraId="388B0B74">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TSP</w:t>
                  </w:r>
                </w:p>
              </w:tc>
              <w:tc>
                <w:tcPr>
                  <w:tcW w:w="1560" w:type="dxa"/>
                  <w:noWrap w:val="0"/>
                  <w:vAlign w:val="center"/>
                </w:tcPr>
                <w:p w14:paraId="4E430850">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施工期高峰期监测1次，连续监测3天。</w:t>
                  </w:r>
                </w:p>
              </w:tc>
              <w:tc>
                <w:tcPr>
                  <w:tcW w:w="1358" w:type="dxa"/>
                  <w:vMerge w:val="restart"/>
                  <w:noWrap w:val="0"/>
                  <w:vAlign w:val="center"/>
                </w:tcPr>
                <w:p w14:paraId="19B3911F">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委托具有相应资质的单位承担监测工作</w:t>
                  </w:r>
                </w:p>
              </w:tc>
              <w:tc>
                <w:tcPr>
                  <w:tcW w:w="1006" w:type="dxa"/>
                  <w:vMerge w:val="restart"/>
                  <w:noWrap w:val="0"/>
                  <w:vAlign w:val="center"/>
                </w:tcPr>
                <w:p w14:paraId="506E49D6">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绥化</w:t>
                  </w:r>
                  <w:r>
                    <w:rPr>
                      <w:rFonts w:hint="default" w:ascii="Times New Roman" w:hAnsi="Times New Roman" w:cs="Times New Roman"/>
                      <w:color w:val="auto"/>
                      <w:highlight w:val="none"/>
                    </w:rPr>
                    <w:t>市生态环境局</w:t>
                  </w:r>
                </w:p>
              </w:tc>
            </w:tr>
            <w:tr w14:paraId="4BD44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noWrap w:val="0"/>
                  <w:vAlign w:val="center"/>
                </w:tcPr>
                <w:p w14:paraId="37C23AEA">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噪声</w:t>
                  </w:r>
                </w:p>
              </w:tc>
              <w:tc>
                <w:tcPr>
                  <w:tcW w:w="1276" w:type="dxa"/>
                  <w:noWrap w:val="0"/>
                  <w:vAlign w:val="center"/>
                </w:tcPr>
                <w:p w14:paraId="28E0DBF9">
                  <w:pPr>
                    <w:pStyle w:val="89"/>
                    <w:jc w:val="cente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pPr>
                  <w:r>
                    <w:rPr>
                      <w:rFonts w:hint="default" w:ascii="Times New Roman" w:hAnsi="Times New Roman" w:cs="Times New Roman"/>
                      <w:caps w:val="0"/>
                      <w:smallCaps w:val="0"/>
                      <w:strike w:val="0"/>
                      <w:dstrike w:val="0"/>
                      <w:snapToGrid/>
                      <w:vanish w:val="0"/>
                      <w:color w:val="auto"/>
                      <w:spacing w:val="0"/>
                      <w:w w:val="100"/>
                      <w:kern w:val="0"/>
                      <w:position w:val="0"/>
                      <w:sz w:val="21"/>
                      <w:szCs w:val="24"/>
                      <w:highlight w:val="none"/>
                      <w:vertAlign w:val="baseline"/>
                      <w:lang w:val="en-US" w:eastAsia="zh-CN" w:bidi="ar-SA"/>
                    </w:rPr>
                    <w:t>奶牛场居民区</w:t>
                  </w:r>
                </w:p>
              </w:tc>
              <w:tc>
                <w:tcPr>
                  <w:tcW w:w="1806" w:type="dxa"/>
                  <w:noWrap w:val="0"/>
                  <w:vAlign w:val="center"/>
                </w:tcPr>
                <w:p w14:paraId="102F9491">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等效连续A声级</w:t>
                  </w:r>
                </w:p>
              </w:tc>
              <w:tc>
                <w:tcPr>
                  <w:tcW w:w="1560" w:type="dxa"/>
                  <w:noWrap w:val="0"/>
                  <w:vAlign w:val="center"/>
                </w:tcPr>
                <w:p w14:paraId="13D89B76">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施工期高峰期监测1次，连续监测2天。</w:t>
                  </w:r>
                </w:p>
              </w:tc>
              <w:tc>
                <w:tcPr>
                  <w:tcW w:w="1358" w:type="dxa"/>
                  <w:vMerge w:val="continue"/>
                  <w:noWrap w:val="0"/>
                  <w:vAlign w:val="center"/>
                </w:tcPr>
                <w:p w14:paraId="20C4792E">
                  <w:pPr>
                    <w:pStyle w:val="89"/>
                    <w:jc w:val="center"/>
                    <w:rPr>
                      <w:rFonts w:hint="default" w:ascii="Times New Roman" w:hAnsi="Times New Roman" w:cs="Times New Roman"/>
                      <w:color w:val="auto"/>
                      <w:highlight w:val="none"/>
                    </w:rPr>
                  </w:pPr>
                </w:p>
              </w:tc>
              <w:tc>
                <w:tcPr>
                  <w:tcW w:w="1006" w:type="dxa"/>
                  <w:vMerge w:val="continue"/>
                  <w:noWrap w:val="0"/>
                  <w:vAlign w:val="center"/>
                </w:tcPr>
                <w:p w14:paraId="627575BC">
                  <w:pPr>
                    <w:pStyle w:val="89"/>
                    <w:jc w:val="center"/>
                    <w:rPr>
                      <w:rFonts w:hint="default" w:ascii="Times New Roman" w:hAnsi="Times New Roman" w:cs="Times New Roman"/>
                      <w:color w:val="auto"/>
                      <w:highlight w:val="none"/>
                    </w:rPr>
                  </w:pPr>
                </w:p>
              </w:tc>
            </w:tr>
            <w:tr w14:paraId="3FE64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noWrap w:val="0"/>
                  <w:vAlign w:val="center"/>
                </w:tcPr>
                <w:p w14:paraId="34E93235">
                  <w:pPr>
                    <w:pStyle w:val="89"/>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水质</w:t>
                  </w:r>
                </w:p>
              </w:tc>
              <w:tc>
                <w:tcPr>
                  <w:tcW w:w="1276" w:type="dxa"/>
                  <w:noWrap w:val="0"/>
                  <w:vAlign w:val="center"/>
                </w:tcPr>
                <w:p w14:paraId="546863F6">
                  <w:pPr>
                    <w:pStyle w:val="89"/>
                    <w:jc w:val="cente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pPr>
                  <w: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工程上游500</w:t>
                  </w:r>
                  <w:r>
                    <w:rPr>
                      <w:rFonts w:hint="default" w:ascii="Times New Roman" w:hAnsi="Times New Roman"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m</w:t>
                  </w:r>
                  <w: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、下游1000</w:t>
                  </w:r>
                  <w:r>
                    <w:rPr>
                      <w:rFonts w:hint="default" w:ascii="Times New Roman" w:hAnsi="Times New Roman"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m</w:t>
                  </w:r>
                </w:p>
              </w:tc>
              <w:tc>
                <w:tcPr>
                  <w:tcW w:w="1806" w:type="dxa"/>
                  <w:noWrap w:val="0"/>
                  <w:vAlign w:val="center"/>
                </w:tcPr>
                <w:p w14:paraId="4C056C26">
                  <w:pPr>
                    <w:pStyle w:val="89"/>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溶解氧、</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氨氮、悬浮物（SS）</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石油类等</w:t>
                  </w:r>
                </w:p>
              </w:tc>
              <w:tc>
                <w:tcPr>
                  <w:tcW w:w="1560" w:type="dxa"/>
                  <w:noWrap w:val="0"/>
                  <w:vAlign w:val="center"/>
                </w:tcPr>
                <w:p w14:paraId="03D5103E">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施工期高峰期监测1次，连续监测</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天。</w:t>
                  </w:r>
                </w:p>
              </w:tc>
              <w:tc>
                <w:tcPr>
                  <w:tcW w:w="1358" w:type="dxa"/>
                  <w:vMerge w:val="continue"/>
                  <w:noWrap w:val="0"/>
                  <w:vAlign w:val="center"/>
                </w:tcPr>
                <w:p w14:paraId="67BE00A2">
                  <w:pPr>
                    <w:pStyle w:val="89"/>
                    <w:jc w:val="center"/>
                    <w:rPr>
                      <w:rFonts w:hint="default" w:ascii="Times New Roman" w:hAnsi="Times New Roman" w:cs="Times New Roman"/>
                      <w:color w:val="auto"/>
                      <w:highlight w:val="none"/>
                    </w:rPr>
                  </w:pPr>
                </w:p>
              </w:tc>
              <w:tc>
                <w:tcPr>
                  <w:tcW w:w="1006" w:type="dxa"/>
                  <w:vMerge w:val="continue"/>
                  <w:noWrap w:val="0"/>
                  <w:vAlign w:val="center"/>
                </w:tcPr>
                <w:p w14:paraId="07DD8457">
                  <w:pPr>
                    <w:pStyle w:val="89"/>
                    <w:jc w:val="center"/>
                    <w:rPr>
                      <w:rFonts w:hint="default" w:ascii="Times New Roman" w:hAnsi="Times New Roman" w:cs="Times New Roman"/>
                      <w:color w:val="auto"/>
                      <w:highlight w:val="none"/>
                    </w:rPr>
                  </w:pPr>
                </w:p>
              </w:tc>
            </w:tr>
          </w:tbl>
          <w:p w14:paraId="7883ABC8">
            <w:pPr>
              <w:adjustRightInd w:val="0"/>
              <w:snapToGrid w:val="0"/>
              <w:spacing w:line="360" w:lineRule="auto"/>
              <w:ind w:firstLine="520" w:firstLineChars="200"/>
              <w:rPr>
                <w:rFonts w:hint="default" w:ascii="Times New Roman" w:hAnsi="Times New Roman" w:cs="Times New Roman"/>
                <w:bCs/>
                <w:color w:val="auto"/>
                <w:spacing w:val="10"/>
                <w:sz w:val="24"/>
                <w:highlight w:val="none"/>
              </w:rPr>
            </w:pPr>
          </w:p>
        </w:tc>
      </w:tr>
      <w:tr w14:paraId="4F3FDA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9" w:type="pct"/>
            <w:tcBorders>
              <w:top w:val="single" w:color="auto" w:sz="4" w:space="0"/>
              <w:left w:val="single" w:color="auto" w:sz="8" w:space="0"/>
              <w:bottom w:val="single" w:color="auto" w:sz="4" w:space="0"/>
              <w:right w:val="single" w:color="auto" w:sz="4" w:space="0"/>
            </w:tcBorders>
            <w:noWrap w:val="0"/>
            <w:tcMar>
              <w:top w:w="0" w:type="dxa"/>
              <w:left w:w="28" w:type="dxa"/>
              <w:bottom w:w="0" w:type="dxa"/>
              <w:right w:w="28" w:type="dxa"/>
            </w:tcMar>
            <w:vAlign w:val="center"/>
          </w:tcPr>
          <w:p w14:paraId="28EE1D1F">
            <w:pPr>
              <w:adjustRightInd w:val="0"/>
              <w:snapToGrid w:val="0"/>
              <w:jc w:val="center"/>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pacing w:val="10"/>
                <w:sz w:val="24"/>
                <w:highlight w:val="none"/>
                <w:lang w:eastAsia="zh-CN"/>
              </w:rPr>
              <w:t>运行期</w:t>
            </w:r>
            <w:r>
              <w:rPr>
                <w:rFonts w:hint="default" w:ascii="Times New Roman" w:hAnsi="Times New Roman" w:cs="Times New Roman"/>
                <w:bCs/>
                <w:color w:val="auto"/>
                <w:spacing w:val="10"/>
                <w:sz w:val="24"/>
                <w:highlight w:val="none"/>
              </w:rPr>
              <w:t>生态环境保护措施</w:t>
            </w:r>
          </w:p>
        </w:tc>
        <w:tc>
          <w:tcPr>
            <w:tcW w:w="4591" w:type="pct"/>
            <w:tcBorders>
              <w:top w:val="single" w:color="auto" w:sz="4" w:space="0"/>
              <w:left w:val="single" w:color="auto" w:sz="4" w:space="0"/>
              <w:bottom w:val="single" w:color="auto" w:sz="4" w:space="0"/>
              <w:right w:val="single" w:color="auto" w:sz="8" w:space="0"/>
            </w:tcBorders>
            <w:noWrap w:val="0"/>
            <w:vAlign w:val="top"/>
          </w:tcPr>
          <w:p w14:paraId="42E31E56">
            <w:pPr>
              <w:adjustRightInd w:val="0"/>
              <w:snapToGrid w:val="0"/>
              <w:spacing w:line="500" w:lineRule="atLeast"/>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本项目为防洪除涝工程，属非污染生态影响型项目，运行期间项目本身不会产生水、气、声、固废等污染物。但应加强管理，</w:t>
            </w:r>
            <w:r>
              <w:rPr>
                <w:rFonts w:hint="default" w:ascii="Times New Roman" w:hAnsi="Times New Roman" w:cs="Times New Roman"/>
                <w:color w:val="auto"/>
                <w:sz w:val="24"/>
                <w:highlight w:val="none"/>
              </w:rPr>
              <w:t>定期巡查、检修，</w:t>
            </w:r>
            <w:r>
              <w:rPr>
                <w:rFonts w:hint="default" w:ascii="Times New Roman" w:hAnsi="Times New Roman" w:cs="Times New Roman"/>
                <w:bCs/>
                <w:color w:val="auto"/>
                <w:sz w:val="24"/>
                <w:highlight w:val="none"/>
              </w:rPr>
              <w:t>发现问题及时上报</w:t>
            </w:r>
            <w:r>
              <w:rPr>
                <w:rFonts w:hint="default" w:ascii="Times New Roman" w:hAnsi="Times New Roman" w:cs="Times New Roman"/>
                <w:color w:val="auto"/>
                <w:sz w:val="24"/>
                <w:highlight w:val="none"/>
              </w:rPr>
              <w:t>修复。</w:t>
            </w:r>
          </w:p>
        </w:tc>
      </w:tr>
      <w:tr w14:paraId="62A7EB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9" w:type="pct"/>
            <w:tcBorders>
              <w:top w:val="single" w:color="auto" w:sz="4" w:space="0"/>
              <w:left w:val="single" w:color="auto" w:sz="8" w:space="0"/>
              <w:bottom w:val="single" w:color="auto" w:sz="4" w:space="0"/>
              <w:right w:val="single" w:color="auto" w:sz="4" w:space="0"/>
            </w:tcBorders>
            <w:noWrap w:val="0"/>
            <w:vAlign w:val="center"/>
          </w:tcPr>
          <w:p w14:paraId="4BFFE95C">
            <w:pPr>
              <w:adjustRightInd w:val="0"/>
              <w:snapToGrid w:val="0"/>
              <w:jc w:val="center"/>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z w:val="24"/>
                <w:highlight w:val="none"/>
              </w:rPr>
              <w:t>其他</w:t>
            </w:r>
          </w:p>
        </w:tc>
        <w:tc>
          <w:tcPr>
            <w:tcW w:w="4591" w:type="pct"/>
            <w:tcBorders>
              <w:top w:val="single" w:color="auto" w:sz="4" w:space="0"/>
              <w:left w:val="single" w:color="auto" w:sz="4" w:space="0"/>
              <w:bottom w:val="single" w:color="auto" w:sz="4" w:space="0"/>
              <w:right w:val="single" w:color="auto" w:sz="8" w:space="0"/>
            </w:tcBorders>
            <w:noWrap w:val="0"/>
            <w:vAlign w:val="top"/>
          </w:tcPr>
          <w:p w14:paraId="02FE0160">
            <w:pPr>
              <w:adjustRightInd w:val="0"/>
              <w:snapToGrid w:val="0"/>
              <w:spacing w:line="500" w:lineRule="atLeas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加强本工程施工期</w:t>
            </w:r>
            <w:r>
              <w:rPr>
                <w:rFonts w:hint="default" w:ascii="Times New Roman" w:hAnsi="Times New Roman" w:cs="Times New Roman"/>
                <w:bCs/>
                <w:color w:val="auto"/>
                <w:sz w:val="24"/>
                <w:highlight w:val="none"/>
                <w:lang w:val="en-US" w:eastAsia="zh-CN"/>
              </w:rPr>
              <w:t>间</w:t>
            </w:r>
            <w:r>
              <w:rPr>
                <w:rFonts w:hint="default" w:ascii="Times New Roman" w:hAnsi="Times New Roman" w:cs="Times New Roman"/>
                <w:bCs/>
                <w:color w:val="auto"/>
                <w:sz w:val="24"/>
                <w:highlight w:val="none"/>
              </w:rPr>
              <w:t>的环境管理及施工监理工作。建立健全的环境管理机构和环境监理档案。在项目招投标承包合同中应明确环境保护与治理条款，承包商应明确承诺他们在施工过程中以及施工结束时的环境义务。</w:t>
            </w:r>
          </w:p>
          <w:p w14:paraId="7DC36F55">
            <w:pPr>
              <w:adjustRightInd w:val="0"/>
              <w:snapToGrid w:val="0"/>
              <w:spacing w:line="500" w:lineRule="atLeas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做好对施工人员环境保护宣传教育培训工作。施工单位在施工期间应认真贯彻环评报告表及其生态环境部门批复意见中所提</w:t>
            </w:r>
            <w:r>
              <w:rPr>
                <w:rFonts w:hint="default" w:ascii="Times New Roman" w:hAnsi="Times New Roman" w:cs="Times New Roman"/>
                <w:bCs/>
                <w:color w:val="auto"/>
                <w:sz w:val="24"/>
                <w:highlight w:val="none"/>
                <w:lang w:val="en-US" w:eastAsia="zh-CN"/>
              </w:rPr>
              <w:t>出</w:t>
            </w:r>
            <w:r>
              <w:rPr>
                <w:rFonts w:hint="default" w:ascii="Times New Roman" w:hAnsi="Times New Roman" w:cs="Times New Roman"/>
                <w:bCs/>
                <w:color w:val="auto"/>
                <w:sz w:val="24"/>
                <w:highlight w:val="none"/>
              </w:rPr>
              <w:t>的各项环境保护措施和要求，把环境保护工作真正落到实处。</w:t>
            </w:r>
          </w:p>
        </w:tc>
      </w:tr>
      <w:tr w14:paraId="71E1B0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9" w:type="pct"/>
            <w:tcBorders>
              <w:top w:val="single" w:color="auto" w:sz="4" w:space="0"/>
              <w:left w:val="single" w:color="auto" w:sz="8" w:space="0"/>
              <w:bottom w:val="single" w:color="auto" w:sz="8" w:space="0"/>
              <w:right w:val="single" w:color="auto" w:sz="4" w:space="0"/>
            </w:tcBorders>
            <w:noWrap w:val="0"/>
            <w:vAlign w:val="center"/>
          </w:tcPr>
          <w:p w14:paraId="37EAAA94">
            <w:pPr>
              <w:adjustRightInd w:val="0"/>
              <w:snapToGrid w:val="0"/>
              <w:jc w:val="center"/>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z w:val="24"/>
                <w:highlight w:val="none"/>
              </w:rPr>
              <w:t>环保投资</w:t>
            </w:r>
          </w:p>
        </w:tc>
        <w:tc>
          <w:tcPr>
            <w:tcW w:w="4591" w:type="pct"/>
            <w:tcBorders>
              <w:top w:val="single" w:color="auto" w:sz="4" w:space="0"/>
              <w:left w:val="single" w:color="auto" w:sz="4" w:space="0"/>
              <w:bottom w:val="single" w:color="auto" w:sz="8" w:space="0"/>
              <w:right w:val="single" w:color="auto" w:sz="8" w:space="0"/>
            </w:tcBorders>
            <w:noWrap w:val="0"/>
            <w:vAlign w:val="top"/>
          </w:tcPr>
          <w:p w14:paraId="4B587B86">
            <w:pPr>
              <w:adjustRightInd w:val="0"/>
              <w:snapToGrid w:val="0"/>
              <w:spacing w:line="500" w:lineRule="atLeast"/>
              <w:ind w:firstLine="520" w:firstLineChars="200"/>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pacing w:val="10"/>
                <w:sz w:val="24"/>
                <w:highlight w:val="none"/>
                <w:lang w:val="en-US" w:eastAsia="zh-CN"/>
              </w:rPr>
              <w:t>根据</w:t>
            </w:r>
            <w:r>
              <w:rPr>
                <w:rFonts w:hint="default" w:ascii="Times New Roman" w:hAnsi="Times New Roman" w:cs="Times New Roman"/>
                <w:bCs/>
                <w:color w:val="auto"/>
                <w:spacing w:val="10"/>
                <w:sz w:val="24"/>
                <w:highlight w:val="none"/>
              </w:rPr>
              <w:t>《中华人民共和国水利部水利工程设计概（估）算编制规定</w:t>
            </w:r>
            <w:r>
              <w:rPr>
                <w:rFonts w:hint="default" w:ascii="Times New Roman" w:hAnsi="Times New Roman" w:cs="Times New Roman"/>
                <w:bCs/>
                <w:color w:val="auto"/>
                <w:spacing w:val="10"/>
                <w:sz w:val="24"/>
                <w:highlight w:val="none"/>
                <w:lang w:val="en-US" w:eastAsia="zh-CN"/>
              </w:rPr>
              <w:t xml:space="preserve"> </w:t>
            </w:r>
            <w:r>
              <w:rPr>
                <w:rFonts w:hint="default" w:ascii="Times New Roman" w:hAnsi="Times New Roman" w:cs="Times New Roman"/>
                <w:bCs/>
                <w:color w:val="auto"/>
                <w:spacing w:val="10"/>
                <w:sz w:val="24"/>
                <w:highlight w:val="none"/>
              </w:rPr>
              <w:t>环境保护工程》（水总</w:t>
            </w:r>
            <w:r>
              <w:rPr>
                <w:rFonts w:hint="default" w:ascii="Times New Roman" w:hAnsi="Times New Roman" w:cs="Times New Roman"/>
                <w:bCs/>
                <w:color w:val="auto"/>
                <w:spacing w:val="10"/>
                <w:sz w:val="24"/>
                <w:highlight w:val="none"/>
                <w:lang w:val="en-US" w:eastAsia="zh-CN"/>
              </w:rPr>
              <w:t>[</w:t>
            </w:r>
            <w:r>
              <w:rPr>
                <w:rFonts w:hint="default" w:ascii="Times New Roman" w:hAnsi="Times New Roman" w:cs="Times New Roman"/>
                <w:bCs/>
                <w:color w:val="auto"/>
                <w:spacing w:val="10"/>
                <w:sz w:val="24"/>
                <w:highlight w:val="none"/>
              </w:rPr>
              <w:t>2024</w:t>
            </w:r>
            <w:r>
              <w:rPr>
                <w:rFonts w:hint="default" w:ascii="Times New Roman" w:hAnsi="Times New Roman" w:cs="Times New Roman"/>
                <w:bCs/>
                <w:color w:val="auto"/>
                <w:spacing w:val="10"/>
                <w:sz w:val="24"/>
                <w:highlight w:val="none"/>
                <w:lang w:val="en-US" w:eastAsia="zh-CN"/>
              </w:rPr>
              <w:t>]</w:t>
            </w:r>
            <w:r>
              <w:rPr>
                <w:rFonts w:hint="default" w:ascii="Times New Roman" w:hAnsi="Times New Roman" w:cs="Times New Roman"/>
                <w:bCs/>
                <w:color w:val="auto"/>
                <w:spacing w:val="10"/>
                <w:sz w:val="24"/>
                <w:highlight w:val="none"/>
              </w:rPr>
              <w:t>323号）</w:t>
            </w:r>
            <w:r>
              <w:rPr>
                <w:rFonts w:hint="default" w:ascii="Times New Roman" w:hAnsi="Times New Roman" w:cs="Times New Roman"/>
                <w:bCs/>
                <w:color w:val="auto"/>
                <w:spacing w:val="10"/>
                <w:sz w:val="24"/>
                <w:highlight w:val="none"/>
                <w:lang w:eastAsia="zh-CN"/>
              </w:rPr>
              <w:t>，</w:t>
            </w:r>
            <w:r>
              <w:rPr>
                <w:rFonts w:hint="default" w:ascii="Times New Roman" w:hAnsi="Times New Roman" w:cs="Times New Roman"/>
                <w:bCs/>
                <w:color w:val="auto"/>
                <w:spacing w:val="10"/>
                <w:sz w:val="24"/>
                <w:highlight w:val="none"/>
              </w:rPr>
              <w:t>本工程环境保护设计总投资为</w:t>
            </w:r>
            <w:r>
              <w:rPr>
                <w:rFonts w:hint="default" w:ascii="Times New Roman" w:hAnsi="Times New Roman" w:cs="Times New Roman"/>
                <w:bCs/>
                <w:color w:val="auto"/>
                <w:spacing w:val="10"/>
                <w:sz w:val="24"/>
                <w:highlight w:val="none"/>
                <w:lang w:val="en-US" w:eastAsia="zh-CN"/>
              </w:rPr>
              <w:t>202.75</w:t>
            </w:r>
            <w:r>
              <w:rPr>
                <w:rFonts w:hint="default" w:ascii="Times New Roman" w:hAnsi="Times New Roman" w:cs="Times New Roman"/>
                <w:bCs/>
                <w:color w:val="auto"/>
                <w:spacing w:val="10"/>
                <w:sz w:val="24"/>
                <w:highlight w:val="none"/>
              </w:rPr>
              <w:t>万元。工程总投资</w:t>
            </w:r>
            <w:r>
              <w:rPr>
                <w:rFonts w:hint="default" w:ascii="Times New Roman" w:hAnsi="Times New Roman" w:cs="Times New Roman"/>
                <w:bCs/>
                <w:color w:val="auto"/>
                <w:spacing w:val="10"/>
                <w:sz w:val="24"/>
                <w:highlight w:val="none"/>
                <w:lang w:val="en-US" w:eastAsia="zh-CN"/>
              </w:rPr>
              <w:t>18680.89</w:t>
            </w:r>
            <w:r>
              <w:rPr>
                <w:rFonts w:hint="default" w:ascii="Times New Roman" w:hAnsi="Times New Roman" w:cs="Times New Roman"/>
                <w:bCs/>
                <w:color w:val="auto"/>
                <w:spacing w:val="10"/>
                <w:sz w:val="24"/>
                <w:highlight w:val="none"/>
              </w:rPr>
              <w:t>万元，环保投资占比</w:t>
            </w:r>
            <w:r>
              <w:rPr>
                <w:rFonts w:hint="default" w:ascii="Times New Roman" w:hAnsi="Times New Roman" w:cs="Times New Roman"/>
                <w:bCs/>
                <w:color w:val="auto"/>
                <w:spacing w:val="10"/>
                <w:sz w:val="24"/>
                <w:highlight w:val="none"/>
                <w:lang w:val="en-US" w:eastAsia="zh-CN"/>
              </w:rPr>
              <w:t>1.09</w:t>
            </w:r>
            <w:r>
              <w:rPr>
                <w:rFonts w:hint="default" w:ascii="Times New Roman" w:hAnsi="Times New Roman" w:cs="Times New Roman"/>
                <w:bCs/>
                <w:color w:val="auto"/>
                <w:spacing w:val="10"/>
                <w:sz w:val="24"/>
                <w:highlight w:val="none"/>
              </w:rPr>
              <w:t>%。环保投资估算情况详见下表。</w:t>
            </w:r>
          </w:p>
          <w:p w14:paraId="4CC0D5A6">
            <w:pPr>
              <w:adjustRightInd w:val="0"/>
              <w:snapToGrid w:val="0"/>
              <w:spacing w:line="500" w:lineRule="atLeast"/>
              <w:ind w:firstLine="422" w:firstLineChars="20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表5</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lang w:val="en-US" w:eastAsia="zh-CN"/>
              </w:rPr>
              <w:t xml:space="preserve">4  </w:t>
            </w:r>
            <w:r>
              <w:rPr>
                <w:rFonts w:hint="default" w:ascii="Times New Roman" w:hAnsi="Times New Roman" w:cs="Times New Roman"/>
                <w:b/>
                <w:bCs/>
                <w:color w:val="auto"/>
                <w:sz w:val="21"/>
                <w:szCs w:val="21"/>
                <w:highlight w:val="none"/>
              </w:rPr>
              <w:t>环保投资计算表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1"/>
              <w:gridCol w:w="2682"/>
              <w:gridCol w:w="905"/>
              <w:gridCol w:w="721"/>
              <w:gridCol w:w="1044"/>
              <w:gridCol w:w="1226"/>
            </w:tblGrid>
            <w:tr w14:paraId="296CD6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42685E2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序号</w:t>
                  </w:r>
                </w:p>
              </w:tc>
              <w:tc>
                <w:tcPr>
                  <w:tcW w:w="1778" w:type="pct"/>
                  <w:noWrap w:val="0"/>
                  <w:vAlign w:val="center"/>
                </w:tcPr>
                <w:p w14:paraId="142EBE6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项目名称</w:t>
                  </w:r>
                </w:p>
              </w:tc>
              <w:tc>
                <w:tcPr>
                  <w:tcW w:w="600" w:type="pct"/>
                  <w:noWrap w:val="0"/>
                  <w:vAlign w:val="center"/>
                </w:tcPr>
                <w:p w14:paraId="4556019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单位</w:t>
                  </w:r>
                </w:p>
              </w:tc>
              <w:tc>
                <w:tcPr>
                  <w:tcW w:w="478" w:type="pct"/>
                  <w:noWrap w:val="0"/>
                  <w:vAlign w:val="center"/>
                </w:tcPr>
                <w:p w14:paraId="41E2E4B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数量</w:t>
                  </w:r>
                </w:p>
              </w:tc>
              <w:tc>
                <w:tcPr>
                  <w:tcW w:w="692" w:type="pct"/>
                  <w:noWrap w:val="0"/>
                  <w:vAlign w:val="center"/>
                </w:tcPr>
                <w:p w14:paraId="0214D95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单价（元）</w:t>
                  </w:r>
                </w:p>
              </w:tc>
              <w:tc>
                <w:tcPr>
                  <w:tcW w:w="813" w:type="pct"/>
                  <w:noWrap w:val="0"/>
                  <w:vAlign w:val="center"/>
                </w:tcPr>
                <w:p w14:paraId="4F1B5CC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投资（万元）</w:t>
                  </w:r>
                </w:p>
              </w:tc>
            </w:tr>
            <w:tr w14:paraId="2E661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59B36CC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第一部分</w:t>
                  </w:r>
                </w:p>
              </w:tc>
              <w:tc>
                <w:tcPr>
                  <w:tcW w:w="1778" w:type="pct"/>
                  <w:noWrap w:val="0"/>
                  <w:vAlign w:val="center"/>
                </w:tcPr>
                <w:p w14:paraId="0EEC6C1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环境保护措施投资</w:t>
                  </w:r>
                </w:p>
              </w:tc>
              <w:tc>
                <w:tcPr>
                  <w:tcW w:w="600" w:type="pct"/>
                  <w:noWrap w:val="0"/>
                  <w:vAlign w:val="center"/>
                </w:tcPr>
                <w:p w14:paraId="2736E17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5361643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68AD460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3C077D4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108.85 </w:t>
                  </w:r>
                </w:p>
              </w:tc>
            </w:tr>
            <w:tr w14:paraId="7513B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5D6F1BB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一</w:t>
                  </w:r>
                </w:p>
              </w:tc>
              <w:tc>
                <w:tcPr>
                  <w:tcW w:w="1778" w:type="pct"/>
                  <w:noWrap w:val="0"/>
                  <w:vAlign w:val="center"/>
                </w:tcPr>
                <w:p w14:paraId="191BB57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生态流量保障</w:t>
                  </w:r>
                </w:p>
              </w:tc>
              <w:tc>
                <w:tcPr>
                  <w:tcW w:w="600" w:type="pct"/>
                  <w:noWrap w:val="0"/>
                  <w:vAlign w:val="center"/>
                </w:tcPr>
                <w:p w14:paraId="2823FD1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0BF06DE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0CBA220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0A56101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r>
            <w:tr w14:paraId="315F9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256A225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二</w:t>
                  </w:r>
                </w:p>
              </w:tc>
              <w:tc>
                <w:tcPr>
                  <w:tcW w:w="1778" w:type="pct"/>
                  <w:noWrap w:val="0"/>
                  <w:vAlign w:val="center"/>
                </w:tcPr>
                <w:p w14:paraId="472699E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水环境保护</w:t>
                  </w:r>
                </w:p>
              </w:tc>
              <w:tc>
                <w:tcPr>
                  <w:tcW w:w="600" w:type="pct"/>
                  <w:noWrap w:val="0"/>
                  <w:vAlign w:val="center"/>
                </w:tcPr>
                <w:p w14:paraId="776170F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6BF725E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5AA671A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527FE4C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69.10 </w:t>
                  </w:r>
                </w:p>
              </w:tc>
            </w:tr>
            <w:tr w14:paraId="31E2A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467ACBF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（一）</w:t>
                  </w:r>
                </w:p>
              </w:tc>
              <w:tc>
                <w:tcPr>
                  <w:tcW w:w="1778" w:type="pct"/>
                  <w:noWrap w:val="0"/>
                  <w:vAlign w:val="center"/>
                </w:tcPr>
                <w:p w14:paraId="00BB3FA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工程施工废污水处理</w:t>
                  </w:r>
                </w:p>
              </w:tc>
              <w:tc>
                <w:tcPr>
                  <w:tcW w:w="600" w:type="pct"/>
                  <w:noWrap w:val="0"/>
                  <w:vAlign w:val="center"/>
                </w:tcPr>
                <w:p w14:paraId="259B95C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6B4320C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081B2A4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4CB871F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69.10 </w:t>
                  </w:r>
                </w:p>
              </w:tc>
            </w:tr>
            <w:tr w14:paraId="5C3BE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4901DF6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w:t>
                  </w:r>
                </w:p>
              </w:tc>
              <w:tc>
                <w:tcPr>
                  <w:tcW w:w="1778" w:type="pct"/>
                  <w:noWrap w:val="0"/>
                  <w:vAlign w:val="center"/>
                </w:tcPr>
                <w:p w14:paraId="5363D51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混凝土拌和系统废水处理</w:t>
                  </w:r>
                </w:p>
              </w:tc>
              <w:tc>
                <w:tcPr>
                  <w:tcW w:w="600" w:type="pct"/>
                  <w:noWrap w:val="0"/>
                  <w:vAlign w:val="center"/>
                </w:tcPr>
                <w:p w14:paraId="6C8D99A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6E9BEEE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1235E0B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598D749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29.10 </w:t>
                  </w:r>
                </w:p>
              </w:tc>
            </w:tr>
            <w:tr w14:paraId="46D25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FC4CE3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1983EA3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油水分离器</w:t>
                  </w:r>
                </w:p>
              </w:tc>
              <w:tc>
                <w:tcPr>
                  <w:tcW w:w="600" w:type="pct"/>
                  <w:noWrap w:val="0"/>
                  <w:vAlign w:val="center"/>
                </w:tcPr>
                <w:p w14:paraId="6181630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台</w:t>
                  </w:r>
                </w:p>
              </w:tc>
              <w:tc>
                <w:tcPr>
                  <w:tcW w:w="478" w:type="pct"/>
                  <w:noWrap w:val="0"/>
                  <w:vAlign w:val="center"/>
                </w:tcPr>
                <w:p w14:paraId="66C3E06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6C36AAB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15000</w:t>
                  </w:r>
                </w:p>
              </w:tc>
              <w:tc>
                <w:tcPr>
                  <w:tcW w:w="813" w:type="pct"/>
                  <w:noWrap w:val="0"/>
                  <w:vAlign w:val="center"/>
                </w:tcPr>
                <w:p w14:paraId="40DC94E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7.50 </w:t>
                  </w:r>
                </w:p>
              </w:tc>
            </w:tr>
            <w:tr w14:paraId="5C4256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F8C1F1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0C82396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调节池</w:t>
                  </w:r>
                </w:p>
              </w:tc>
              <w:tc>
                <w:tcPr>
                  <w:tcW w:w="600" w:type="pct"/>
                  <w:noWrap w:val="0"/>
                  <w:vAlign w:val="center"/>
                </w:tcPr>
                <w:p w14:paraId="2FF1DCA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3B70622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4BAF97D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12000</w:t>
                  </w:r>
                </w:p>
              </w:tc>
              <w:tc>
                <w:tcPr>
                  <w:tcW w:w="813" w:type="pct"/>
                  <w:noWrap w:val="0"/>
                  <w:vAlign w:val="center"/>
                </w:tcPr>
                <w:p w14:paraId="6273079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6.00 </w:t>
                  </w:r>
                </w:p>
              </w:tc>
            </w:tr>
            <w:tr w14:paraId="598A9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3608D91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1ECB57C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清水池</w:t>
                  </w:r>
                </w:p>
              </w:tc>
              <w:tc>
                <w:tcPr>
                  <w:tcW w:w="600" w:type="pct"/>
                  <w:noWrap w:val="0"/>
                  <w:vAlign w:val="center"/>
                </w:tcPr>
                <w:p w14:paraId="5FE9FBF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0A8BB8E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1265AEC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10000</w:t>
                  </w:r>
                </w:p>
              </w:tc>
              <w:tc>
                <w:tcPr>
                  <w:tcW w:w="813" w:type="pct"/>
                  <w:noWrap w:val="0"/>
                  <w:vAlign w:val="center"/>
                </w:tcPr>
                <w:p w14:paraId="495DB70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5.00 </w:t>
                  </w:r>
                </w:p>
              </w:tc>
            </w:tr>
            <w:tr w14:paraId="0E6BC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20B6DDE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48F7E3A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清水泵（回用泵）</w:t>
                  </w:r>
                </w:p>
              </w:tc>
              <w:tc>
                <w:tcPr>
                  <w:tcW w:w="600" w:type="pct"/>
                  <w:noWrap w:val="0"/>
                  <w:vAlign w:val="center"/>
                </w:tcPr>
                <w:p w14:paraId="2FCE300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74DCEF6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6BD0865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6000</w:t>
                  </w:r>
                </w:p>
              </w:tc>
              <w:tc>
                <w:tcPr>
                  <w:tcW w:w="813" w:type="pct"/>
                  <w:noWrap w:val="0"/>
                  <w:vAlign w:val="center"/>
                </w:tcPr>
                <w:p w14:paraId="3F813B5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3.00 </w:t>
                  </w:r>
                </w:p>
              </w:tc>
            </w:tr>
            <w:tr w14:paraId="344928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25F471A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29DAFFD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潜污泵</w:t>
                  </w:r>
                </w:p>
              </w:tc>
              <w:tc>
                <w:tcPr>
                  <w:tcW w:w="600" w:type="pct"/>
                  <w:noWrap w:val="0"/>
                  <w:vAlign w:val="center"/>
                </w:tcPr>
                <w:p w14:paraId="4B33E1B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71FB186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w:t>
                  </w:r>
                </w:p>
              </w:tc>
              <w:tc>
                <w:tcPr>
                  <w:tcW w:w="692" w:type="pct"/>
                  <w:noWrap w:val="0"/>
                  <w:vAlign w:val="center"/>
                </w:tcPr>
                <w:p w14:paraId="747D652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6000</w:t>
                  </w:r>
                </w:p>
              </w:tc>
              <w:tc>
                <w:tcPr>
                  <w:tcW w:w="813" w:type="pct"/>
                  <w:noWrap w:val="0"/>
                  <w:vAlign w:val="center"/>
                </w:tcPr>
                <w:p w14:paraId="272E5D1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6.00 </w:t>
                  </w:r>
                </w:p>
              </w:tc>
            </w:tr>
            <w:tr w14:paraId="3E105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5C44F12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559A27B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运行管理费用</w:t>
                  </w:r>
                </w:p>
              </w:tc>
              <w:tc>
                <w:tcPr>
                  <w:tcW w:w="600" w:type="pct"/>
                  <w:noWrap w:val="0"/>
                  <w:vAlign w:val="center"/>
                </w:tcPr>
                <w:p w14:paraId="1442F50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年</w:t>
                  </w:r>
                </w:p>
              </w:tc>
              <w:tc>
                <w:tcPr>
                  <w:tcW w:w="478" w:type="pct"/>
                  <w:noWrap w:val="0"/>
                  <w:vAlign w:val="center"/>
                </w:tcPr>
                <w:p w14:paraId="4D9393F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692" w:type="pct"/>
                  <w:noWrap w:val="0"/>
                  <w:vAlign w:val="center"/>
                </w:tcPr>
                <w:p w14:paraId="633A9E4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8000</w:t>
                  </w:r>
                </w:p>
              </w:tc>
              <w:tc>
                <w:tcPr>
                  <w:tcW w:w="813" w:type="pct"/>
                  <w:noWrap w:val="0"/>
                  <w:vAlign w:val="center"/>
                </w:tcPr>
                <w:p w14:paraId="4296094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1.60 </w:t>
                  </w:r>
                </w:p>
              </w:tc>
            </w:tr>
            <w:tr w14:paraId="25BED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3934A99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1778" w:type="pct"/>
                  <w:noWrap w:val="0"/>
                  <w:vAlign w:val="center"/>
                </w:tcPr>
                <w:p w14:paraId="701A712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含油废水处理</w:t>
                  </w:r>
                </w:p>
              </w:tc>
              <w:tc>
                <w:tcPr>
                  <w:tcW w:w="600" w:type="pct"/>
                  <w:noWrap w:val="0"/>
                  <w:vAlign w:val="center"/>
                </w:tcPr>
                <w:p w14:paraId="2FF2643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3C0E52C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4215D23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78B6B17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29.10 </w:t>
                  </w:r>
                </w:p>
              </w:tc>
            </w:tr>
            <w:tr w14:paraId="081E0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37B9CA2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5CDA8C5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沉淀池</w:t>
                  </w:r>
                </w:p>
              </w:tc>
              <w:tc>
                <w:tcPr>
                  <w:tcW w:w="600" w:type="pct"/>
                  <w:noWrap w:val="0"/>
                  <w:vAlign w:val="center"/>
                </w:tcPr>
                <w:p w14:paraId="3C464CB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3635F27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50926C2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15000</w:t>
                  </w:r>
                </w:p>
              </w:tc>
              <w:tc>
                <w:tcPr>
                  <w:tcW w:w="813" w:type="pct"/>
                  <w:noWrap w:val="0"/>
                  <w:vAlign w:val="center"/>
                </w:tcPr>
                <w:p w14:paraId="7C54DE3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7.50 </w:t>
                  </w:r>
                </w:p>
              </w:tc>
            </w:tr>
            <w:tr w14:paraId="5A828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5F78567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510DA4E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中和池</w:t>
                  </w:r>
                </w:p>
              </w:tc>
              <w:tc>
                <w:tcPr>
                  <w:tcW w:w="600" w:type="pct"/>
                  <w:noWrap w:val="0"/>
                  <w:vAlign w:val="center"/>
                </w:tcPr>
                <w:p w14:paraId="5008D67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454493A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18965AE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12000</w:t>
                  </w:r>
                </w:p>
              </w:tc>
              <w:tc>
                <w:tcPr>
                  <w:tcW w:w="813" w:type="pct"/>
                  <w:noWrap w:val="0"/>
                  <w:vAlign w:val="center"/>
                </w:tcPr>
                <w:p w14:paraId="37250AB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6.00 </w:t>
                  </w:r>
                </w:p>
              </w:tc>
            </w:tr>
            <w:tr w14:paraId="2A39E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DDF305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28CAFF4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清水池</w:t>
                  </w:r>
                </w:p>
              </w:tc>
              <w:tc>
                <w:tcPr>
                  <w:tcW w:w="600" w:type="pct"/>
                  <w:noWrap w:val="0"/>
                  <w:vAlign w:val="center"/>
                </w:tcPr>
                <w:p w14:paraId="72EB1CD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4EF1D51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0D646F1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10000</w:t>
                  </w:r>
                </w:p>
              </w:tc>
              <w:tc>
                <w:tcPr>
                  <w:tcW w:w="813" w:type="pct"/>
                  <w:noWrap w:val="0"/>
                  <w:vAlign w:val="center"/>
                </w:tcPr>
                <w:p w14:paraId="3660188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5.00 </w:t>
                  </w:r>
                </w:p>
              </w:tc>
            </w:tr>
            <w:tr w14:paraId="5D460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0165604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645CC30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清水泵（回用泵）</w:t>
                  </w:r>
                </w:p>
              </w:tc>
              <w:tc>
                <w:tcPr>
                  <w:tcW w:w="600" w:type="pct"/>
                  <w:noWrap w:val="0"/>
                  <w:vAlign w:val="center"/>
                </w:tcPr>
                <w:p w14:paraId="155CF1D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0189DC7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6BA411C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6000</w:t>
                  </w:r>
                </w:p>
              </w:tc>
              <w:tc>
                <w:tcPr>
                  <w:tcW w:w="813" w:type="pct"/>
                  <w:noWrap w:val="0"/>
                  <w:vAlign w:val="center"/>
                </w:tcPr>
                <w:p w14:paraId="652780F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3.00 </w:t>
                  </w:r>
                </w:p>
              </w:tc>
            </w:tr>
            <w:tr w14:paraId="4F6C7B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0589B5F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2388F2B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潜污泵</w:t>
                  </w:r>
                </w:p>
              </w:tc>
              <w:tc>
                <w:tcPr>
                  <w:tcW w:w="600" w:type="pct"/>
                  <w:noWrap w:val="0"/>
                  <w:vAlign w:val="center"/>
                </w:tcPr>
                <w:p w14:paraId="487D07B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01C6EEB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w:t>
                  </w:r>
                </w:p>
              </w:tc>
              <w:tc>
                <w:tcPr>
                  <w:tcW w:w="692" w:type="pct"/>
                  <w:noWrap w:val="0"/>
                  <w:vAlign w:val="center"/>
                </w:tcPr>
                <w:p w14:paraId="675B9F8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6000</w:t>
                  </w:r>
                </w:p>
              </w:tc>
              <w:tc>
                <w:tcPr>
                  <w:tcW w:w="813" w:type="pct"/>
                  <w:noWrap w:val="0"/>
                  <w:vAlign w:val="center"/>
                </w:tcPr>
                <w:p w14:paraId="00425D6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6.00 </w:t>
                  </w:r>
                </w:p>
              </w:tc>
            </w:tr>
            <w:tr w14:paraId="0BBEC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50802B5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3C6B13F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运行管理费用</w:t>
                  </w:r>
                </w:p>
              </w:tc>
              <w:tc>
                <w:tcPr>
                  <w:tcW w:w="600" w:type="pct"/>
                  <w:noWrap w:val="0"/>
                  <w:vAlign w:val="center"/>
                </w:tcPr>
                <w:p w14:paraId="3E22F99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年</w:t>
                  </w:r>
                </w:p>
              </w:tc>
              <w:tc>
                <w:tcPr>
                  <w:tcW w:w="478" w:type="pct"/>
                  <w:noWrap w:val="0"/>
                  <w:vAlign w:val="center"/>
                </w:tcPr>
                <w:p w14:paraId="5204F9C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692" w:type="pct"/>
                  <w:noWrap w:val="0"/>
                  <w:vAlign w:val="center"/>
                </w:tcPr>
                <w:p w14:paraId="40944AF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8000</w:t>
                  </w:r>
                </w:p>
              </w:tc>
              <w:tc>
                <w:tcPr>
                  <w:tcW w:w="813" w:type="pct"/>
                  <w:noWrap w:val="0"/>
                  <w:vAlign w:val="center"/>
                </w:tcPr>
                <w:p w14:paraId="5F64A85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1.60 </w:t>
                  </w:r>
                </w:p>
              </w:tc>
            </w:tr>
            <w:tr w14:paraId="61881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E5A5DF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3</w:t>
                  </w:r>
                </w:p>
              </w:tc>
              <w:tc>
                <w:tcPr>
                  <w:tcW w:w="1778" w:type="pct"/>
                  <w:noWrap w:val="0"/>
                  <w:vAlign w:val="center"/>
                </w:tcPr>
                <w:p w14:paraId="1DF3B7C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生活污水处理</w:t>
                  </w:r>
                </w:p>
              </w:tc>
              <w:tc>
                <w:tcPr>
                  <w:tcW w:w="600" w:type="pct"/>
                  <w:noWrap w:val="0"/>
                  <w:vAlign w:val="center"/>
                </w:tcPr>
                <w:p w14:paraId="5A9F9F8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1704F2E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761F987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7D75F66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10.90 </w:t>
                  </w:r>
                </w:p>
              </w:tc>
            </w:tr>
            <w:tr w14:paraId="522A2A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21A3428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7D61756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防渗旱厕</w:t>
                  </w:r>
                </w:p>
              </w:tc>
              <w:tc>
                <w:tcPr>
                  <w:tcW w:w="600" w:type="pct"/>
                  <w:noWrap w:val="0"/>
                  <w:vAlign w:val="center"/>
                </w:tcPr>
                <w:p w14:paraId="4A684A8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1B850D7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6504A15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9000</w:t>
                  </w:r>
                </w:p>
              </w:tc>
              <w:tc>
                <w:tcPr>
                  <w:tcW w:w="813" w:type="pct"/>
                  <w:noWrap w:val="0"/>
                  <w:vAlign w:val="center"/>
                </w:tcPr>
                <w:p w14:paraId="7EF1681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4.50 </w:t>
                  </w:r>
                </w:p>
              </w:tc>
            </w:tr>
            <w:tr w14:paraId="1D083B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BE31F9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2430BA6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化粪池</w:t>
                  </w:r>
                </w:p>
              </w:tc>
              <w:tc>
                <w:tcPr>
                  <w:tcW w:w="600" w:type="pct"/>
                  <w:noWrap w:val="0"/>
                  <w:vAlign w:val="center"/>
                </w:tcPr>
                <w:p w14:paraId="6084149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4AFFFE4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w:t>
                  </w:r>
                </w:p>
              </w:tc>
              <w:tc>
                <w:tcPr>
                  <w:tcW w:w="692" w:type="pct"/>
                  <w:noWrap w:val="0"/>
                  <w:vAlign w:val="center"/>
                </w:tcPr>
                <w:p w14:paraId="3539EFE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10000</w:t>
                  </w:r>
                </w:p>
              </w:tc>
              <w:tc>
                <w:tcPr>
                  <w:tcW w:w="813" w:type="pct"/>
                  <w:noWrap w:val="0"/>
                  <w:vAlign w:val="center"/>
                </w:tcPr>
                <w:p w14:paraId="50A5246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5.00 </w:t>
                  </w:r>
                </w:p>
              </w:tc>
            </w:tr>
            <w:tr w14:paraId="74C8B1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5322E7E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1778" w:type="pct"/>
                  <w:noWrap w:val="0"/>
                  <w:vAlign w:val="center"/>
                </w:tcPr>
                <w:p w14:paraId="4FDBD7D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运行管理费用</w:t>
                  </w:r>
                </w:p>
              </w:tc>
              <w:tc>
                <w:tcPr>
                  <w:tcW w:w="600" w:type="pct"/>
                  <w:noWrap w:val="0"/>
                  <w:vAlign w:val="center"/>
                </w:tcPr>
                <w:p w14:paraId="7492978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年</w:t>
                  </w:r>
                </w:p>
              </w:tc>
              <w:tc>
                <w:tcPr>
                  <w:tcW w:w="478" w:type="pct"/>
                  <w:noWrap w:val="0"/>
                  <w:vAlign w:val="center"/>
                </w:tcPr>
                <w:p w14:paraId="07F2E12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692" w:type="pct"/>
                  <w:noWrap w:val="0"/>
                  <w:vAlign w:val="center"/>
                </w:tcPr>
                <w:p w14:paraId="0E324CA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7000</w:t>
                  </w:r>
                </w:p>
              </w:tc>
              <w:tc>
                <w:tcPr>
                  <w:tcW w:w="813" w:type="pct"/>
                  <w:noWrap w:val="0"/>
                  <w:vAlign w:val="center"/>
                </w:tcPr>
                <w:p w14:paraId="552E275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1.40 </w:t>
                  </w:r>
                </w:p>
              </w:tc>
            </w:tr>
            <w:tr w14:paraId="016AAE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312C29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三</w:t>
                  </w:r>
                </w:p>
              </w:tc>
              <w:tc>
                <w:tcPr>
                  <w:tcW w:w="1778" w:type="pct"/>
                  <w:noWrap w:val="0"/>
                  <w:vAlign w:val="center"/>
                </w:tcPr>
                <w:p w14:paraId="4753DD6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生态环境保护</w:t>
                  </w:r>
                </w:p>
              </w:tc>
              <w:tc>
                <w:tcPr>
                  <w:tcW w:w="600" w:type="pct"/>
                  <w:noWrap w:val="0"/>
                  <w:vAlign w:val="center"/>
                </w:tcPr>
                <w:p w14:paraId="58BD023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3917EB5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3C452A9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44C1666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r>
            <w:tr w14:paraId="5F360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8F7B29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四</w:t>
                  </w:r>
                </w:p>
              </w:tc>
              <w:tc>
                <w:tcPr>
                  <w:tcW w:w="1778" w:type="pct"/>
                  <w:noWrap w:val="0"/>
                  <w:vAlign w:val="center"/>
                </w:tcPr>
                <w:p w14:paraId="4016D72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大气环境保护</w:t>
                  </w:r>
                </w:p>
              </w:tc>
              <w:tc>
                <w:tcPr>
                  <w:tcW w:w="600" w:type="pct"/>
                  <w:noWrap w:val="0"/>
                  <w:vAlign w:val="center"/>
                </w:tcPr>
                <w:p w14:paraId="03D5F0F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2A2F4A7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287EB3C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1060CC2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5.57 </w:t>
                  </w:r>
                </w:p>
              </w:tc>
            </w:tr>
            <w:tr w14:paraId="595C1C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79ECBD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（一）</w:t>
                  </w:r>
                </w:p>
              </w:tc>
              <w:tc>
                <w:tcPr>
                  <w:tcW w:w="1778" w:type="pct"/>
                  <w:noWrap w:val="0"/>
                  <w:vAlign w:val="center"/>
                </w:tcPr>
                <w:p w14:paraId="3FC6BA7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粉尘污染防治</w:t>
                  </w:r>
                </w:p>
              </w:tc>
              <w:tc>
                <w:tcPr>
                  <w:tcW w:w="600" w:type="pct"/>
                  <w:noWrap w:val="0"/>
                  <w:vAlign w:val="center"/>
                </w:tcPr>
                <w:p w14:paraId="6668BAF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5A4EA7A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338F7A5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1086E05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5.57 </w:t>
                  </w:r>
                </w:p>
              </w:tc>
            </w:tr>
            <w:tr w14:paraId="28609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74865C9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w:t>
                  </w:r>
                </w:p>
              </w:tc>
              <w:tc>
                <w:tcPr>
                  <w:tcW w:w="1778" w:type="pct"/>
                  <w:noWrap w:val="0"/>
                  <w:vAlign w:val="center"/>
                </w:tcPr>
                <w:p w14:paraId="3B6802D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洒水降尘</w:t>
                  </w:r>
                </w:p>
              </w:tc>
              <w:tc>
                <w:tcPr>
                  <w:tcW w:w="600" w:type="pct"/>
                  <w:noWrap w:val="0"/>
                  <w:vAlign w:val="center"/>
                </w:tcPr>
                <w:p w14:paraId="246BF4D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年</w:t>
                  </w:r>
                </w:p>
              </w:tc>
              <w:tc>
                <w:tcPr>
                  <w:tcW w:w="478" w:type="pct"/>
                  <w:noWrap w:val="0"/>
                  <w:vAlign w:val="center"/>
                </w:tcPr>
                <w:p w14:paraId="055A1F9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692" w:type="pct"/>
                  <w:noWrap w:val="0"/>
                  <w:vAlign w:val="center"/>
                </w:tcPr>
                <w:p w14:paraId="6899361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15000</w:t>
                  </w:r>
                </w:p>
              </w:tc>
              <w:tc>
                <w:tcPr>
                  <w:tcW w:w="813" w:type="pct"/>
                  <w:noWrap w:val="0"/>
                  <w:vAlign w:val="center"/>
                </w:tcPr>
                <w:p w14:paraId="0A8A889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3.00 </w:t>
                  </w:r>
                </w:p>
              </w:tc>
            </w:tr>
            <w:tr w14:paraId="7CA92B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5F4A292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1778" w:type="pct"/>
                  <w:noWrap w:val="0"/>
                  <w:vAlign w:val="center"/>
                </w:tcPr>
                <w:p w14:paraId="175AF72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防尘口罩</w:t>
                  </w:r>
                </w:p>
              </w:tc>
              <w:tc>
                <w:tcPr>
                  <w:tcW w:w="600" w:type="pct"/>
                  <w:noWrap w:val="0"/>
                  <w:vAlign w:val="center"/>
                </w:tcPr>
                <w:p w14:paraId="21C7A76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14ACA71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736 </w:t>
                  </w:r>
                </w:p>
              </w:tc>
              <w:tc>
                <w:tcPr>
                  <w:tcW w:w="692" w:type="pct"/>
                  <w:noWrap w:val="0"/>
                  <w:vAlign w:val="center"/>
                </w:tcPr>
                <w:p w14:paraId="4C397D2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35</w:t>
                  </w:r>
                </w:p>
              </w:tc>
              <w:tc>
                <w:tcPr>
                  <w:tcW w:w="813" w:type="pct"/>
                  <w:noWrap w:val="0"/>
                  <w:vAlign w:val="center"/>
                </w:tcPr>
                <w:p w14:paraId="48B0F8E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2.57 </w:t>
                  </w:r>
                </w:p>
              </w:tc>
            </w:tr>
            <w:tr w14:paraId="1CF1B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7667499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五</w:t>
                  </w:r>
                </w:p>
              </w:tc>
              <w:tc>
                <w:tcPr>
                  <w:tcW w:w="1778" w:type="pct"/>
                  <w:noWrap w:val="0"/>
                  <w:vAlign w:val="center"/>
                </w:tcPr>
                <w:p w14:paraId="08ADBF4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声环境保护</w:t>
                  </w:r>
                </w:p>
              </w:tc>
              <w:tc>
                <w:tcPr>
                  <w:tcW w:w="600" w:type="pct"/>
                  <w:noWrap w:val="0"/>
                  <w:vAlign w:val="center"/>
                </w:tcPr>
                <w:p w14:paraId="5F54286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7B699C6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734F293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54CC48D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10.74 </w:t>
                  </w:r>
                </w:p>
              </w:tc>
            </w:tr>
            <w:tr w14:paraId="0017E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2796A8B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（一）</w:t>
                  </w:r>
                </w:p>
              </w:tc>
              <w:tc>
                <w:tcPr>
                  <w:tcW w:w="1778" w:type="pct"/>
                  <w:noWrap w:val="0"/>
                  <w:vAlign w:val="center"/>
                </w:tcPr>
                <w:p w14:paraId="299DFB3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声源控制</w:t>
                  </w:r>
                </w:p>
              </w:tc>
              <w:tc>
                <w:tcPr>
                  <w:tcW w:w="600" w:type="pct"/>
                  <w:noWrap w:val="0"/>
                  <w:vAlign w:val="center"/>
                </w:tcPr>
                <w:p w14:paraId="27E1E6A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139DBC5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578E592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442CEEE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10.74 </w:t>
                  </w:r>
                </w:p>
              </w:tc>
            </w:tr>
            <w:tr w14:paraId="6B2CC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61D9DD0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w:t>
                  </w:r>
                </w:p>
              </w:tc>
              <w:tc>
                <w:tcPr>
                  <w:tcW w:w="1778" w:type="pct"/>
                  <w:noWrap w:val="0"/>
                  <w:vAlign w:val="center"/>
                </w:tcPr>
                <w:p w14:paraId="08A2DD4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移动声屏障</w:t>
                  </w:r>
                </w:p>
              </w:tc>
              <w:tc>
                <w:tcPr>
                  <w:tcW w:w="600" w:type="pct"/>
                  <w:noWrap w:val="0"/>
                  <w:vAlign w:val="center"/>
                </w:tcPr>
                <w:p w14:paraId="5590AD9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m</w:t>
                  </w:r>
                </w:p>
              </w:tc>
              <w:tc>
                <w:tcPr>
                  <w:tcW w:w="478" w:type="pct"/>
                  <w:noWrap w:val="0"/>
                  <w:vAlign w:val="center"/>
                </w:tcPr>
                <w:p w14:paraId="5DB5804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100</w:t>
                  </w:r>
                </w:p>
              </w:tc>
              <w:tc>
                <w:tcPr>
                  <w:tcW w:w="692" w:type="pct"/>
                  <w:noWrap w:val="0"/>
                  <w:vAlign w:val="center"/>
                </w:tcPr>
                <w:p w14:paraId="47F8C4D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1000</w:t>
                  </w:r>
                </w:p>
              </w:tc>
              <w:tc>
                <w:tcPr>
                  <w:tcW w:w="813" w:type="pct"/>
                  <w:noWrap w:val="0"/>
                  <w:vAlign w:val="center"/>
                </w:tcPr>
                <w:p w14:paraId="3A96D55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10.00 </w:t>
                  </w:r>
                </w:p>
              </w:tc>
            </w:tr>
            <w:tr w14:paraId="5635B5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637" w:type="pct"/>
                  <w:noWrap w:val="0"/>
                  <w:vAlign w:val="center"/>
                </w:tcPr>
                <w:p w14:paraId="78118F3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1778" w:type="pct"/>
                  <w:noWrap w:val="0"/>
                  <w:vAlign w:val="center"/>
                </w:tcPr>
                <w:p w14:paraId="5B25D31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防噪耳塞</w:t>
                  </w:r>
                </w:p>
              </w:tc>
              <w:tc>
                <w:tcPr>
                  <w:tcW w:w="600" w:type="pct"/>
                  <w:noWrap w:val="0"/>
                  <w:vAlign w:val="center"/>
                </w:tcPr>
                <w:p w14:paraId="24974F2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副</w:t>
                  </w:r>
                </w:p>
              </w:tc>
              <w:tc>
                <w:tcPr>
                  <w:tcW w:w="478" w:type="pct"/>
                  <w:noWrap w:val="0"/>
                  <w:vAlign w:val="center"/>
                </w:tcPr>
                <w:p w14:paraId="644B69A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736 </w:t>
                  </w:r>
                </w:p>
              </w:tc>
              <w:tc>
                <w:tcPr>
                  <w:tcW w:w="692" w:type="pct"/>
                  <w:noWrap w:val="0"/>
                  <w:vAlign w:val="center"/>
                </w:tcPr>
                <w:p w14:paraId="4969F43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w:t>
                  </w:r>
                </w:p>
              </w:tc>
              <w:tc>
                <w:tcPr>
                  <w:tcW w:w="813" w:type="pct"/>
                  <w:noWrap w:val="0"/>
                  <w:vAlign w:val="center"/>
                </w:tcPr>
                <w:p w14:paraId="2412AD7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0.74 </w:t>
                  </w:r>
                </w:p>
              </w:tc>
            </w:tr>
            <w:tr w14:paraId="0492AA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7833C21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六</w:t>
                  </w:r>
                </w:p>
              </w:tc>
              <w:tc>
                <w:tcPr>
                  <w:tcW w:w="1778" w:type="pct"/>
                  <w:noWrap w:val="0"/>
                  <w:vAlign w:val="center"/>
                </w:tcPr>
                <w:p w14:paraId="222A3E2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固体废物处置</w:t>
                  </w:r>
                </w:p>
              </w:tc>
              <w:tc>
                <w:tcPr>
                  <w:tcW w:w="600" w:type="pct"/>
                  <w:noWrap w:val="0"/>
                  <w:vAlign w:val="center"/>
                </w:tcPr>
                <w:p w14:paraId="52FF584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57CBD79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465F01B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59CF0CC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10.40 </w:t>
                  </w:r>
                </w:p>
              </w:tc>
            </w:tr>
            <w:tr w14:paraId="52174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637" w:type="pct"/>
                  <w:noWrap w:val="0"/>
                  <w:vAlign w:val="center"/>
                </w:tcPr>
                <w:p w14:paraId="7689A36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（一）</w:t>
                  </w:r>
                </w:p>
              </w:tc>
              <w:tc>
                <w:tcPr>
                  <w:tcW w:w="1778" w:type="pct"/>
                  <w:noWrap w:val="0"/>
                  <w:vAlign w:val="center"/>
                </w:tcPr>
                <w:p w14:paraId="5B33F78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生活垃圾处置</w:t>
                  </w:r>
                </w:p>
              </w:tc>
              <w:tc>
                <w:tcPr>
                  <w:tcW w:w="600" w:type="pct"/>
                  <w:noWrap w:val="0"/>
                  <w:vAlign w:val="center"/>
                </w:tcPr>
                <w:p w14:paraId="4334848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59CCCC2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5DA15D0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02552B5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10.40 </w:t>
                  </w:r>
                </w:p>
              </w:tc>
            </w:tr>
            <w:tr w14:paraId="69E5B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46E2325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w:t>
                  </w:r>
                </w:p>
              </w:tc>
              <w:tc>
                <w:tcPr>
                  <w:tcW w:w="1778" w:type="pct"/>
                  <w:noWrap w:val="0"/>
                  <w:vAlign w:val="center"/>
                </w:tcPr>
                <w:p w14:paraId="1773613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垃圾桶</w:t>
                  </w:r>
                </w:p>
              </w:tc>
              <w:tc>
                <w:tcPr>
                  <w:tcW w:w="600" w:type="pct"/>
                  <w:noWrap w:val="0"/>
                  <w:vAlign w:val="center"/>
                </w:tcPr>
                <w:p w14:paraId="2AFDAEB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个</w:t>
                  </w:r>
                </w:p>
              </w:tc>
              <w:tc>
                <w:tcPr>
                  <w:tcW w:w="478" w:type="pct"/>
                  <w:noWrap w:val="0"/>
                  <w:vAlign w:val="center"/>
                </w:tcPr>
                <w:p w14:paraId="15D95CC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w:t>
                  </w:r>
                </w:p>
              </w:tc>
              <w:tc>
                <w:tcPr>
                  <w:tcW w:w="692" w:type="pct"/>
                  <w:noWrap w:val="0"/>
                  <w:vAlign w:val="center"/>
                </w:tcPr>
                <w:p w14:paraId="53F7EC7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400</w:t>
                  </w:r>
                </w:p>
              </w:tc>
              <w:tc>
                <w:tcPr>
                  <w:tcW w:w="813" w:type="pct"/>
                  <w:noWrap w:val="0"/>
                  <w:vAlign w:val="center"/>
                </w:tcPr>
                <w:p w14:paraId="55853B8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0.40 </w:t>
                  </w:r>
                </w:p>
              </w:tc>
            </w:tr>
            <w:tr w14:paraId="7A071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37" w:type="pct"/>
                  <w:noWrap w:val="0"/>
                  <w:vAlign w:val="center"/>
                </w:tcPr>
                <w:p w14:paraId="235A417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1778" w:type="pct"/>
                  <w:noWrap w:val="0"/>
                  <w:vAlign w:val="center"/>
                </w:tcPr>
                <w:p w14:paraId="4911A4D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垃圾清运费</w:t>
                  </w:r>
                </w:p>
              </w:tc>
              <w:tc>
                <w:tcPr>
                  <w:tcW w:w="600" w:type="pct"/>
                  <w:noWrap w:val="0"/>
                  <w:vAlign w:val="center"/>
                </w:tcPr>
                <w:p w14:paraId="107D6DE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施工区.年</w:t>
                  </w:r>
                </w:p>
              </w:tc>
              <w:tc>
                <w:tcPr>
                  <w:tcW w:w="478" w:type="pct"/>
                  <w:noWrap w:val="0"/>
                  <w:vAlign w:val="center"/>
                </w:tcPr>
                <w:p w14:paraId="49ADE91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w:t>
                  </w:r>
                </w:p>
              </w:tc>
              <w:tc>
                <w:tcPr>
                  <w:tcW w:w="692" w:type="pct"/>
                  <w:noWrap w:val="0"/>
                  <w:vAlign w:val="center"/>
                </w:tcPr>
                <w:p w14:paraId="55DC0E4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10000</w:t>
                  </w:r>
                </w:p>
              </w:tc>
              <w:tc>
                <w:tcPr>
                  <w:tcW w:w="813" w:type="pct"/>
                  <w:noWrap w:val="0"/>
                  <w:vAlign w:val="center"/>
                </w:tcPr>
                <w:p w14:paraId="3A23D1B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10.00 </w:t>
                  </w:r>
                </w:p>
              </w:tc>
            </w:tr>
            <w:tr w14:paraId="06267A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7CBDF1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七</w:t>
                  </w:r>
                </w:p>
              </w:tc>
              <w:tc>
                <w:tcPr>
                  <w:tcW w:w="1778" w:type="pct"/>
                  <w:noWrap w:val="0"/>
                  <w:vAlign w:val="center"/>
                </w:tcPr>
                <w:p w14:paraId="6F29195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土壤环境保护</w:t>
                  </w:r>
                </w:p>
              </w:tc>
              <w:tc>
                <w:tcPr>
                  <w:tcW w:w="600" w:type="pct"/>
                  <w:noWrap w:val="0"/>
                  <w:vAlign w:val="center"/>
                </w:tcPr>
                <w:p w14:paraId="74D2B10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6CB9AA1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463251C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23AFFFF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r>
            <w:tr w14:paraId="4B6124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5" w:hRule="atLeast"/>
                <w:jc w:val="center"/>
              </w:trPr>
              <w:tc>
                <w:tcPr>
                  <w:tcW w:w="637" w:type="pct"/>
                  <w:noWrap w:val="0"/>
                  <w:vAlign w:val="center"/>
                </w:tcPr>
                <w:p w14:paraId="5B14EB9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八</w:t>
                  </w:r>
                </w:p>
              </w:tc>
              <w:tc>
                <w:tcPr>
                  <w:tcW w:w="1778" w:type="pct"/>
                  <w:noWrap w:val="0"/>
                  <w:vAlign w:val="center"/>
                </w:tcPr>
                <w:p w14:paraId="0B7FA24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景观保护</w:t>
                  </w:r>
                </w:p>
              </w:tc>
              <w:tc>
                <w:tcPr>
                  <w:tcW w:w="600" w:type="pct"/>
                  <w:noWrap w:val="0"/>
                  <w:vAlign w:val="center"/>
                </w:tcPr>
                <w:p w14:paraId="1D40EFE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3E19C06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63D8ED7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66733B2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r>
            <w:tr w14:paraId="2E8EB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5" w:hRule="atLeast"/>
                <w:jc w:val="center"/>
              </w:trPr>
              <w:tc>
                <w:tcPr>
                  <w:tcW w:w="637" w:type="pct"/>
                  <w:noWrap w:val="0"/>
                  <w:vAlign w:val="center"/>
                </w:tcPr>
                <w:p w14:paraId="5846C38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九</w:t>
                  </w:r>
                </w:p>
              </w:tc>
              <w:tc>
                <w:tcPr>
                  <w:tcW w:w="1778" w:type="pct"/>
                  <w:noWrap w:val="0"/>
                  <w:vAlign w:val="center"/>
                </w:tcPr>
                <w:p w14:paraId="6887F56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人群健康保护</w:t>
                  </w:r>
                </w:p>
              </w:tc>
              <w:tc>
                <w:tcPr>
                  <w:tcW w:w="600" w:type="pct"/>
                  <w:noWrap w:val="0"/>
                  <w:vAlign w:val="center"/>
                </w:tcPr>
                <w:p w14:paraId="1FABF07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0DDDD97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3A6419D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1305E10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4.14 </w:t>
                  </w:r>
                </w:p>
              </w:tc>
            </w:tr>
            <w:tr w14:paraId="35582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13CE0CE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（一）</w:t>
                  </w:r>
                </w:p>
              </w:tc>
              <w:tc>
                <w:tcPr>
                  <w:tcW w:w="1778" w:type="pct"/>
                  <w:noWrap w:val="0"/>
                  <w:vAlign w:val="center"/>
                </w:tcPr>
                <w:p w14:paraId="0BBF9A9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检疫防疫</w:t>
                  </w:r>
                </w:p>
              </w:tc>
              <w:tc>
                <w:tcPr>
                  <w:tcW w:w="600" w:type="pct"/>
                  <w:noWrap w:val="0"/>
                  <w:vAlign w:val="center"/>
                </w:tcPr>
                <w:p w14:paraId="4E6C6B5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25E8774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47F54A2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361E9FE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0.90 </w:t>
                  </w:r>
                </w:p>
              </w:tc>
            </w:tr>
            <w:tr w14:paraId="4BC4B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5416EDC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w:t>
                  </w:r>
                </w:p>
              </w:tc>
              <w:tc>
                <w:tcPr>
                  <w:tcW w:w="1778" w:type="pct"/>
                  <w:noWrap w:val="0"/>
                  <w:vAlign w:val="center"/>
                </w:tcPr>
                <w:p w14:paraId="0363C0E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施工区进场前一次性清理和消毒</w:t>
                  </w:r>
                </w:p>
              </w:tc>
              <w:tc>
                <w:tcPr>
                  <w:tcW w:w="600" w:type="pct"/>
                  <w:noWrap w:val="0"/>
                  <w:vAlign w:val="center"/>
                </w:tcPr>
                <w:p w14:paraId="08C010D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m</w:t>
                  </w:r>
                  <w:r>
                    <w:rPr>
                      <w:rFonts w:hint="default" w:ascii="Times New Roman" w:hAnsi="Times New Roman" w:eastAsia="宋体" w:cs="Times New Roman"/>
                      <w:kern w:val="0"/>
                      <w:sz w:val="18"/>
                      <w:szCs w:val="28"/>
                      <w:highlight w:val="none"/>
                      <w:vertAlign w:val="superscript"/>
                      <w:lang w:val="en-US" w:eastAsia="zh-CN"/>
                    </w:rPr>
                    <w:t>2</w:t>
                  </w:r>
                </w:p>
              </w:tc>
              <w:tc>
                <w:tcPr>
                  <w:tcW w:w="478" w:type="pct"/>
                  <w:noWrap w:val="0"/>
                  <w:vAlign w:val="center"/>
                </w:tcPr>
                <w:p w14:paraId="4F222A7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9000</w:t>
                  </w:r>
                </w:p>
              </w:tc>
              <w:tc>
                <w:tcPr>
                  <w:tcW w:w="692" w:type="pct"/>
                  <w:noWrap w:val="0"/>
                  <w:vAlign w:val="center"/>
                </w:tcPr>
                <w:p w14:paraId="6490166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w:t>
                  </w:r>
                </w:p>
              </w:tc>
              <w:tc>
                <w:tcPr>
                  <w:tcW w:w="813" w:type="pct"/>
                  <w:noWrap w:val="0"/>
                  <w:vAlign w:val="center"/>
                </w:tcPr>
                <w:p w14:paraId="700D825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0.90 </w:t>
                  </w:r>
                </w:p>
              </w:tc>
            </w:tr>
            <w:tr w14:paraId="32BA8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2734737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（二）</w:t>
                  </w:r>
                </w:p>
              </w:tc>
              <w:tc>
                <w:tcPr>
                  <w:tcW w:w="1778" w:type="pct"/>
                  <w:noWrap w:val="0"/>
                  <w:vAlign w:val="center"/>
                </w:tcPr>
                <w:p w14:paraId="028E70E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疾病防治</w:t>
                  </w:r>
                </w:p>
              </w:tc>
              <w:tc>
                <w:tcPr>
                  <w:tcW w:w="600" w:type="pct"/>
                  <w:noWrap w:val="0"/>
                  <w:vAlign w:val="center"/>
                </w:tcPr>
                <w:p w14:paraId="7BBDF4E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77B2216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4119B99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731EE1A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3.24 </w:t>
                  </w:r>
                </w:p>
              </w:tc>
            </w:tr>
            <w:tr w14:paraId="59035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37" w:type="pct"/>
                  <w:noWrap w:val="0"/>
                  <w:vAlign w:val="center"/>
                </w:tcPr>
                <w:p w14:paraId="742DD1C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w:t>
                  </w:r>
                </w:p>
              </w:tc>
              <w:tc>
                <w:tcPr>
                  <w:tcW w:w="1778" w:type="pct"/>
                  <w:noWrap w:val="0"/>
                  <w:vAlign w:val="center"/>
                </w:tcPr>
                <w:p w14:paraId="224C65C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生活区卫生消毒</w:t>
                  </w:r>
                </w:p>
              </w:tc>
              <w:tc>
                <w:tcPr>
                  <w:tcW w:w="600" w:type="pct"/>
                  <w:noWrap w:val="0"/>
                  <w:vAlign w:val="center"/>
                </w:tcPr>
                <w:p w14:paraId="6D23330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m</w:t>
                  </w:r>
                  <w:r>
                    <w:rPr>
                      <w:rFonts w:hint="default" w:ascii="Times New Roman" w:hAnsi="Times New Roman" w:eastAsia="宋体" w:cs="Times New Roman"/>
                      <w:kern w:val="0"/>
                      <w:sz w:val="18"/>
                      <w:szCs w:val="28"/>
                      <w:highlight w:val="none"/>
                      <w:vertAlign w:val="superscript"/>
                      <w:lang w:val="en-US" w:eastAsia="zh-CN"/>
                    </w:rPr>
                    <w:t>2</w:t>
                  </w:r>
                </w:p>
              </w:tc>
              <w:tc>
                <w:tcPr>
                  <w:tcW w:w="478" w:type="pct"/>
                  <w:noWrap w:val="0"/>
                  <w:vAlign w:val="center"/>
                </w:tcPr>
                <w:p w14:paraId="2510E94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6620 </w:t>
                  </w:r>
                </w:p>
              </w:tc>
              <w:tc>
                <w:tcPr>
                  <w:tcW w:w="692" w:type="pct"/>
                  <w:noWrap w:val="0"/>
                  <w:vAlign w:val="center"/>
                </w:tcPr>
                <w:p w14:paraId="1406634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w:t>
                  </w:r>
                </w:p>
              </w:tc>
              <w:tc>
                <w:tcPr>
                  <w:tcW w:w="813" w:type="pct"/>
                  <w:noWrap w:val="0"/>
                  <w:vAlign w:val="center"/>
                </w:tcPr>
                <w:p w14:paraId="57C80EF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0.66 </w:t>
                  </w:r>
                </w:p>
              </w:tc>
            </w:tr>
            <w:tr w14:paraId="69A88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7" w:type="pct"/>
                  <w:noWrap w:val="0"/>
                  <w:vAlign w:val="center"/>
                </w:tcPr>
                <w:p w14:paraId="572D419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1778" w:type="pct"/>
                  <w:noWrap w:val="0"/>
                  <w:vAlign w:val="center"/>
                </w:tcPr>
                <w:p w14:paraId="325B960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体检、疫苗</w:t>
                  </w:r>
                </w:p>
              </w:tc>
              <w:tc>
                <w:tcPr>
                  <w:tcW w:w="600" w:type="pct"/>
                  <w:noWrap w:val="0"/>
                  <w:vAlign w:val="center"/>
                </w:tcPr>
                <w:p w14:paraId="6E1285F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人</w:t>
                  </w:r>
                </w:p>
              </w:tc>
              <w:tc>
                <w:tcPr>
                  <w:tcW w:w="478" w:type="pct"/>
                  <w:noWrap w:val="0"/>
                  <w:vAlign w:val="center"/>
                </w:tcPr>
                <w:p w14:paraId="0A174DD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74 </w:t>
                  </w:r>
                </w:p>
              </w:tc>
              <w:tc>
                <w:tcPr>
                  <w:tcW w:w="692" w:type="pct"/>
                  <w:noWrap w:val="0"/>
                  <w:vAlign w:val="center"/>
                </w:tcPr>
                <w:p w14:paraId="07F7F07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350</w:t>
                  </w:r>
                </w:p>
              </w:tc>
              <w:tc>
                <w:tcPr>
                  <w:tcW w:w="813" w:type="pct"/>
                  <w:noWrap w:val="0"/>
                  <w:vAlign w:val="center"/>
                </w:tcPr>
                <w:p w14:paraId="44A0413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2.57 </w:t>
                  </w:r>
                </w:p>
              </w:tc>
            </w:tr>
            <w:tr w14:paraId="1CEE14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4D80446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十</w:t>
                  </w:r>
                </w:p>
              </w:tc>
              <w:tc>
                <w:tcPr>
                  <w:tcW w:w="1778" w:type="pct"/>
                  <w:noWrap w:val="0"/>
                  <w:vAlign w:val="center"/>
                </w:tcPr>
                <w:p w14:paraId="57987C5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环境监测与生态调查</w:t>
                  </w:r>
                </w:p>
              </w:tc>
              <w:tc>
                <w:tcPr>
                  <w:tcW w:w="600" w:type="pct"/>
                  <w:noWrap w:val="0"/>
                  <w:vAlign w:val="center"/>
                </w:tcPr>
                <w:p w14:paraId="0F5A24F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7569664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12CB867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75CBA46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8.90 </w:t>
                  </w:r>
                </w:p>
              </w:tc>
            </w:tr>
            <w:tr w14:paraId="4193F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71A5ACB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（一）</w:t>
                  </w:r>
                </w:p>
              </w:tc>
              <w:tc>
                <w:tcPr>
                  <w:tcW w:w="1778" w:type="pct"/>
                  <w:noWrap w:val="0"/>
                  <w:vAlign w:val="center"/>
                </w:tcPr>
                <w:p w14:paraId="3039CC5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施工期监测与调查</w:t>
                  </w:r>
                </w:p>
              </w:tc>
              <w:tc>
                <w:tcPr>
                  <w:tcW w:w="600" w:type="pct"/>
                  <w:noWrap w:val="0"/>
                  <w:vAlign w:val="center"/>
                </w:tcPr>
                <w:p w14:paraId="381CA72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0831E7E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4A26F2E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4A700BA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8.90 </w:t>
                  </w:r>
                </w:p>
              </w:tc>
            </w:tr>
            <w:tr w14:paraId="164AA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569F9CE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w:t>
                  </w:r>
                </w:p>
              </w:tc>
              <w:tc>
                <w:tcPr>
                  <w:tcW w:w="1778" w:type="pct"/>
                  <w:noWrap w:val="0"/>
                  <w:vAlign w:val="center"/>
                </w:tcPr>
                <w:p w14:paraId="22ECEDE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水质监测</w:t>
                  </w:r>
                </w:p>
              </w:tc>
              <w:tc>
                <w:tcPr>
                  <w:tcW w:w="600" w:type="pct"/>
                  <w:noWrap w:val="0"/>
                  <w:vAlign w:val="center"/>
                </w:tcPr>
                <w:p w14:paraId="7D59008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点次</w:t>
                  </w:r>
                </w:p>
              </w:tc>
              <w:tc>
                <w:tcPr>
                  <w:tcW w:w="478" w:type="pct"/>
                  <w:noWrap w:val="0"/>
                  <w:vAlign w:val="center"/>
                </w:tcPr>
                <w:p w14:paraId="010950E6">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48</w:t>
                  </w:r>
                </w:p>
              </w:tc>
              <w:tc>
                <w:tcPr>
                  <w:tcW w:w="692" w:type="pct"/>
                  <w:noWrap w:val="0"/>
                  <w:vAlign w:val="center"/>
                </w:tcPr>
                <w:p w14:paraId="6EAA833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466.00</w:t>
                  </w:r>
                </w:p>
              </w:tc>
              <w:tc>
                <w:tcPr>
                  <w:tcW w:w="813" w:type="pct"/>
                  <w:noWrap w:val="0"/>
                  <w:vAlign w:val="center"/>
                </w:tcPr>
                <w:p w14:paraId="63780EE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2.24 </w:t>
                  </w:r>
                </w:p>
              </w:tc>
            </w:tr>
            <w:tr w14:paraId="3176C3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7407A1E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2</w:t>
                  </w:r>
                </w:p>
              </w:tc>
              <w:tc>
                <w:tcPr>
                  <w:tcW w:w="1778" w:type="pct"/>
                  <w:noWrap w:val="0"/>
                  <w:vAlign w:val="center"/>
                </w:tcPr>
                <w:p w14:paraId="0D47CEB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环境空气质量监测</w:t>
                  </w:r>
                </w:p>
              </w:tc>
              <w:tc>
                <w:tcPr>
                  <w:tcW w:w="600" w:type="pct"/>
                  <w:noWrap w:val="0"/>
                  <w:vAlign w:val="center"/>
                </w:tcPr>
                <w:p w14:paraId="5088BFF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点次</w:t>
                  </w:r>
                </w:p>
              </w:tc>
              <w:tc>
                <w:tcPr>
                  <w:tcW w:w="478" w:type="pct"/>
                  <w:noWrap w:val="0"/>
                  <w:vAlign w:val="center"/>
                </w:tcPr>
                <w:p w14:paraId="3D76244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48</w:t>
                  </w:r>
                </w:p>
              </w:tc>
              <w:tc>
                <w:tcPr>
                  <w:tcW w:w="692" w:type="pct"/>
                  <w:noWrap w:val="0"/>
                  <w:vAlign w:val="center"/>
                </w:tcPr>
                <w:p w14:paraId="381413F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813.00</w:t>
                  </w:r>
                </w:p>
              </w:tc>
              <w:tc>
                <w:tcPr>
                  <w:tcW w:w="813" w:type="pct"/>
                  <w:noWrap w:val="0"/>
                  <w:vAlign w:val="center"/>
                </w:tcPr>
                <w:p w14:paraId="3878C85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3.90 </w:t>
                  </w:r>
                </w:p>
              </w:tc>
            </w:tr>
            <w:tr w14:paraId="0289B1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7E9E989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3</w:t>
                  </w:r>
                </w:p>
              </w:tc>
              <w:tc>
                <w:tcPr>
                  <w:tcW w:w="1778" w:type="pct"/>
                  <w:noWrap w:val="0"/>
                  <w:vAlign w:val="center"/>
                </w:tcPr>
                <w:p w14:paraId="50537B9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声环境质量监测</w:t>
                  </w:r>
                </w:p>
              </w:tc>
              <w:tc>
                <w:tcPr>
                  <w:tcW w:w="600" w:type="pct"/>
                  <w:noWrap w:val="0"/>
                  <w:vAlign w:val="center"/>
                </w:tcPr>
                <w:p w14:paraId="7EACE74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点次</w:t>
                  </w:r>
                </w:p>
              </w:tc>
              <w:tc>
                <w:tcPr>
                  <w:tcW w:w="478" w:type="pct"/>
                  <w:noWrap w:val="0"/>
                  <w:vAlign w:val="center"/>
                </w:tcPr>
                <w:p w14:paraId="30E54D9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48</w:t>
                  </w:r>
                </w:p>
              </w:tc>
              <w:tc>
                <w:tcPr>
                  <w:tcW w:w="692" w:type="pct"/>
                  <w:noWrap w:val="0"/>
                  <w:vAlign w:val="center"/>
                </w:tcPr>
                <w:p w14:paraId="261EDEB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575.00</w:t>
                  </w:r>
                </w:p>
              </w:tc>
              <w:tc>
                <w:tcPr>
                  <w:tcW w:w="813" w:type="pct"/>
                  <w:noWrap w:val="0"/>
                  <w:vAlign w:val="center"/>
                </w:tcPr>
                <w:p w14:paraId="229F1F2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2.76 </w:t>
                  </w:r>
                </w:p>
              </w:tc>
            </w:tr>
            <w:tr w14:paraId="79A3D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7489E26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第二部分</w:t>
                  </w:r>
                </w:p>
              </w:tc>
              <w:tc>
                <w:tcPr>
                  <w:tcW w:w="1778" w:type="pct"/>
                  <w:noWrap w:val="0"/>
                  <w:vAlign w:val="center"/>
                </w:tcPr>
                <w:p w14:paraId="2D055EA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独立费用</w:t>
                  </w:r>
                </w:p>
              </w:tc>
              <w:tc>
                <w:tcPr>
                  <w:tcW w:w="600" w:type="pct"/>
                  <w:noWrap w:val="0"/>
                  <w:vAlign w:val="center"/>
                </w:tcPr>
                <w:p w14:paraId="6E22D85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36EEC75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1C21546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675EF6F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84.25 </w:t>
                  </w:r>
                </w:p>
              </w:tc>
            </w:tr>
            <w:tr w14:paraId="5C109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3717A55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一</w:t>
                  </w:r>
                </w:p>
              </w:tc>
              <w:tc>
                <w:tcPr>
                  <w:tcW w:w="1778" w:type="pct"/>
                  <w:noWrap w:val="0"/>
                  <w:vAlign w:val="center"/>
                </w:tcPr>
                <w:p w14:paraId="0E54B80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环境管理费</w:t>
                  </w:r>
                </w:p>
              </w:tc>
              <w:tc>
                <w:tcPr>
                  <w:tcW w:w="600" w:type="pct"/>
                  <w:noWrap w:val="0"/>
                  <w:vAlign w:val="center"/>
                </w:tcPr>
                <w:p w14:paraId="51F0A48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656DE70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1F22ABF9">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2A07298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3.27 </w:t>
                  </w:r>
                </w:p>
              </w:tc>
            </w:tr>
            <w:tr w14:paraId="5E5D7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5C77E24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二</w:t>
                  </w:r>
                </w:p>
              </w:tc>
              <w:tc>
                <w:tcPr>
                  <w:tcW w:w="1778" w:type="pct"/>
                  <w:noWrap w:val="0"/>
                  <w:vAlign w:val="center"/>
                </w:tcPr>
                <w:p w14:paraId="41BA09E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环境监理费</w:t>
                  </w:r>
                </w:p>
              </w:tc>
              <w:tc>
                <w:tcPr>
                  <w:tcW w:w="600" w:type="pct"/>
                  <w:noWrap w:val="0"/>
                  <w:vAlign w:val="center"/>
                </w:tcPr>
                <w:p w14:paraId="2FEFF31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66A5A36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580D301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17F5774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20.00 </w:t>
                  </w:r>
                </w:p>
              </w:tc>
            </w:tr>
            <w:tr w14:paraId="5545CF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0D9F106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三</w:t>
                  </w:r>
                </w:p>
              </w:tc>
              <w:tc>
                <w:tcPr>
                  <w:tcW w:w="1778" w:type="pct"/>
                  <w:noWrap w:val="0"/>
                  <w:vAlign w:val="center"/>
                </w:tcPr>
                <w:p w14:paraId="7E64833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生产准备费</w:t>
                  </w:r>
                </w:p>
              </w:tc>
              <w:tc>
                <w:tcPr>
                  <w:tcW w:w="600" w:type="pct"/>
                  <w:noWrap w:val="0"/>
                  <w:vAlign w:val="center"/>
                </w:tcPr>
                <w:p w14:paraId="7201DCF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5C3D644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73E649C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0957DD0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0.54 </w:t>
                  </w:r>
                </w:p>
              </w:tc>
            </w:tr>
            <w:tr w14:paraId="248B9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1D0C790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四</w:t>
                  </w:r>
                </w:p>
              </w:tc>
              <w:tc>
                <w:tcPr>
                  <w:tcW w:w="1778" w:type="pct"/>
                  <w:noWrap w:val="0"/>
                  <w:vAlign w:val="center"/>
                </w:tcPr>
                <w:p w14:paraId="09D74B7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环境影响评价费</w:t>
                  </w:r>
                </w:p>
              </w:tc>
              <w:tc>
                <w:tcPr>
                  <w:tcW w:w="600" w:type="pct"/>
                  <w:noWrap w:val="0"/>
                  <w:vAlign w:val="center"/>
                </w:tcPr>
                <w:p w14:paraId="6AECED3E">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4F3C49E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18A7C4A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5B82A4B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25.00 </w:t>
                  </w:r>
                </w:p>
              </w:tc>
            </w:tr>
            <w:tr w14:paraId="64DFF0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32F630B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五</w:t>
                  </w:r>
                </w:p>
              </w:tc>
              <w:tc>
                <w:tcPr>
                  <w:tcW w:w="1778" w:type="pct"/>
                  <w:noWrap w:val="0"/>
                  <w:vAlign w:val="center"/>
                </w:tcPr>
                <w:p w14:paraId="774A5BD1">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环境保护验收费</w:t>
                  </w:r>
                </w:p>
              </w:tc>
              <w:tc>
                <w:tcPr>
                  <w:tcW w:w="600" w:type="pct"/>
                  <w:noWrap w:val="0"/>
                  <w:vAlign w:val="center"/>
                </w:tcPr>
                <w:p w14:paraId="49E89CD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610395F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2E9E74E0">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61D564B3">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30.00 </w:t>
                  </w:r>
                </w:p>
              </w:tc>
            </w:tr>
            <w:tr w14:paraId="445C5E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295C2AD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六</w:t>
                  </w:r>
                </w:p>
              </w:tc>
              <w:tc>
                <w:tcPr>
                  <w:tcW w:w="1778" w:type="pct"/>
                  <w:noWrap w:val="0"/>
                  <w:vAlign w:val="center"/>
                </w:tcPr>
                <w:p w14:paraId="74CEE1C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科研勘测设计费</w:t>
                  </w:r>
                </w:p>
              </w:tc>
              <w:tc>
                <w:tcPr>
                  <w:tcW w:w="600" w:type="pct"/>
                  <w:noWrap w:val="0"/>
                  <w:vAlign w:val="center"/>
                </w:tcPr>
                <w:p w14:paraId="3022FABA">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08CC523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27C5811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6B2517B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5.44 </w:t>
                  </w:r>
                </w:p>
              </w:tc>
            </w:tr>
            <w:tr w14:paraId="3BF04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1AE5AA19">
                  <w:pPr>
                    <w:pStyle w:val="5"/>
                    <w:widowControl/>
                    <w:shd w:val="clear" w:color="auto" w:fill="auto"/>
                    <w:adjustRightInd/>
                    <w:snapToGrid/>
                    <w:spacing w:line="240" w:lineRule="auto"/>
                    <w:ind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七</w:t>
                  </w:r>
                </w:p>
              </w:tc>
              <w:tc>
                <w:tcPr>
                  <w:tcW w:w="1778" w:type="pct"/>
                  <w:noWrap w:val="0"/>
                  <w:vAlign w:val="center"/>
                </w:tcPr>
                <w:p w14:paraId="58E3402C">
                  <w:pPr>
                    <w:pStyle w:val="5"/>
                    <w:widowControl/>
                    <w:shd w:val="clear" w:color="auto" w:fill="auto"/>
                    <w:adjustRightInd/>
                    <w:snapToGrid/>
                    <w:spacing w:line="240" w:lineRule="auto"/>
                    <w:ind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生态恢复</w:t>
                  </w:r>
                </w:p>
              </w:tc>
              <w:tc>
                <w:tcPr>
                  <w:tcW w:w="600" w:type="pct"/>
                  <w:noWrap w:val="0"/>
                  <w:vAlign w:val="center"/>
                </w:tcPr>
                <w:p w14:paraId="378D200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3E7E5EF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5F34288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5458D990">
                  <w:pPr>
                    <w:pStyle w:val="5"/>
                    <w:widowControl/>
                    <w:shd w:val="clear" w:color="auto" w:fill="auto"/>
                    <w:adjustRightInd/>
                    <w:snapToGrid/>
                    <w:spacing w:line="240" w:lineRule="auto"/>
                    <w:ind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该部分投资已列入水土保持投资中。</w:t>
                  </w:r>
                </w:p>
              </w:tc>
            </w:tr>
            <w:tr w14:paraId="5040C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7F0300B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第三部分</w:t>
                  </w:r>
                </w:p>
              </w:tc>
              <w:tc>
                <w:tcPr>
                  <w:tcW w:w="1778" w:type="pct"/>
                  <w:noWrap w:val="0"/>
                  <w:vAlign w:val="center"/>
                </w:tcPr>
                <w:p w14:paraId="3AB210C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基本预备费</w:t>
                  </w:r>
                </w:p>
              </w:tc>
              <w:tc>
                <w:tcPr>
                  <w:tcW w:w="600" w:type="pct"/>
                  <w:noWrap w:val="0"/>
                  <w:vAlign w:val="center"/>
                </w:tcPr>
                <w:p w14:paraId="32524E85">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443804FF">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1AF2CC3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29D9A81B">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9.65 </w:t>
                  </w:r>
                </w:p>
              </w:tc>
            </w:tr>
            <w:tr w14:paraId="17B597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37" w:type="pct"/>
                  <w:noWrap w:val="0"/>
                  <w:vAlign w:val="center"/>
                </w:tcPr>
                <w:p w14:paraId="0683B92D">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第四部分</w:t>
                  </w:r>
                </w:p>
              </w:tc>
              <w:tc>
                <w:tcPr>
                  <w:tcW w:w="1778" w:type="pct"/>
                  <w:noWrap w:val="0"/>
                  <w:vAlign w:val="center"/>
                </w:tcPr>
                <w:p w14:paraId="380B49B2">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环境保护静态投资</w:t>
                  </w:r>
                </w:p>
              </w:tc>
              <w:tc>
                <w:tcPr>
                  <w:tcW w:w="600" w:type="pct"/>
                  <w:noWrap w:val="0"/>
                  <w:vAlign w:val="center"/>
                </w:tcPr>
                <w:p w14:paraId="3ED20CD8">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478" w:type="pct"/>
                  <w:noWrap w:val="0"/>
                  <w:vAlign w:val="center"/>
                </w:tcPr>
                <w:p w14:paraId="665014B7">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692" w:type="pct"/>
                  <w:noWrap w:val="0"/>
                  <w:vAlign w:val="center"/>
                </w:tcPr>
                <w:p w14:paraId="347FDD94">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p>
              </w:tc>
              <w:tc>
                <w:tcPr>
                  <w:tcW w:w="813" w:type="pct"/>
                  <w:noWrap w:val="0"/>
                  <w:vAlign w:val="center"/>
                </w:tcPr>
                <w:p w14:paraId="427605FC">
                  <w:pPr>
                    <w:pStyle w:val="5"/>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 xml:space="preserve">202.75 </w:t>
                  </w:r>
                </w:p>
              </w:tc>
            </w:tr>
          </w:tbl>
          <w:p w14:paraId="232AD0D2">
            <w:pPr>
              <w:adjustRightInd w:val="0"/>
              <w:snapToGrid w:val="0"/>
              <w:ind w:firstLine="520"/>
              <w:rPr>
                <w:rFonts w:hint="default" w:ascii="Times New Roman" w:hAnsi="Times New Roman" w:cs="Times New Roman"/>
                <w:bCs/>
                <w:color w:val="auto"/>
                <w:spacing w:val="10"/>
                <w:sz w:val="24"/>
                <w:highlight w:val="none"/>
              </w:rPr>
            </w:pPr>
          </w:p>
          <w:p w14:paraId="43751A20">
            <w:pPr>
              <w:adjustRightInd w:val="0"/>
              <w:snapToGrid w:val="0"/>
              <w:ind w:firstLine="520"/>
              <w:rPr>
                <w:rFonts w:hint="default" w:ascii="Times New Roman" w:hAnsi="Times New Roman" w:cs="Times New Roman"/>
                <w:bCs/>
                <w:color w:val="auto"/>
                <w:spacing w:val="10"/>
                <w:sz w:val="24"/>
                <w:highlight w:val="none"/>
              </w:rPr>
            </w:pPr>
          </w:p>
          <w:p w14:paraId="36EE3BD8">
            <w:pPr>
              <w:adjustRightInd w:val="0"/>
              <w:snapToGrid w:val="0"/>
              <w:ind w:firstLine="520"/>
              <w:rPr>
                <w:rFonts w:hint="default" w:ascii="Times New Roman" w:hAnsi="Times New Roman" w:cs="Times New Roman"/>
                <w:bCs/>
                <w:color w:val="auto"/>
                <w:spacing w:val="10"/>
                <w:sz w:val="24"/>
                <w:highlight w:val="none"/>
              </w:rPr>
            </w:pPr>
          </w:p>
          <w:p w14:paraId="7320A3D4">
            <w:pPr>
              <w:adjustRightInd w:val="0"/>
              <w:snapToGrid w:val="0"/>
              <w:ind w:firstLine="520"/>
              <w:rPr>
                <w:rFonts w:hint="default" w:ascii="Times New Roman" w:hAnsi="Times New Roman" w:cs="Times New Roman"/>
                <w:bCs/>
                <w:color w:val="auto"/>
                <w:spacing w:val="10"/>
                <w:sz w:val="24"/>
                <w:highlight w:val="none"/>
              </w:rPr>
            </w:pPr>
          </w:p>
          <w:p w14:paraId="612F2EDB">
            <w:pPr>
              <w:adjustRightInd w:val="0"/>
              <w:snapToGrid w:val="0"/>
              <w:ind w:firstLine="520"/>
              <w:rPr>
                <w:rFonts w:hint="default" w:ascii="Times New Roman" w:hAnsi="Times New Roman" w:cs="Times New Roman"/>
                <w:bCs/>
                <w:color w:val="auto"/>
                <w:spacing w:val="10"/>
                <w:sz w:val="24"/>
                <w:highlight w:val="none"/>
              </w:rPr>
            </w:pPr>
          </w:p>
          <w:p w14:paraId="77D9D035">
            <w:pPr>
              <w:adjustRightInd w:val="0"/>
              <w:snapToGrid w:val="0"/>
              <w:ind w:firstLine="520"/>
              <w:rPr>
                <w:rFonts w:hint="default" w:ascii="Times New Roman" w:hAnsi="Times New Roman" w:cs="Times New Roman"/>
                <w:bCs/>
                <w:color w:val="auto"/>
                <w:spacing w:val="10"/>
                <w:sz w:val="24"/>
                <w:highlight w:val="none"/>
              </w:rPr>
            </w:pPr>
          </w:p>
          <w:p w14:paraId="6EB34118">
            <w:pPr>
              <w:adjustRightInd w:val="0"/>
              <w:snapToGrid w:val="0"/>
              <w:ind w:firstLine="520"/>
              <w:rPr>
                <w:rFonts w:hint="default" w:ascii="Times New Roman" w:hAnsi="Times New Roman" w:cs="Times New Roman"/>
                <w:bCs/>
                <w:color w:val="auto"/>
                <w:spacing w:val="10"/>
                <w:sz w:val="24"/>
                <w:highlight w:val="none"/>
              </w:rPr>
            </w:pPr>
          </w:p>
          <w:p w14:paraId="108734D6">
            <w:pPr>
              <w:adjustRightInd w:val="0"/>
              <w:snapToGrid w:val="0"/>
              <w:ind w:firstLine="520"/>
              <w:rPr>
                <w:rFonts w:hint="default" w:ascii="Times New Roman" w:hAnsi="Times New Roman" w:cs="Times New Roman"/>
                <w:bCs/>
                <w:color w:val="auto"/>
                <w:spacing w:val="10"/>
                <w:sz w:val="24"/>
                <w:highlight w:val="none"/>
              </w:rPr>
            </w:pPr>
          </w:p>
          <w:p w14:paraId="41C2D13E">
            <w:pPr>
              <w:adjustRightInd w:val="0"/>
              <w:snapToGrid w:val="0"/>
              <w:ind w:firstLine="520"/>
              <w:rPr>
                <w:rFonts w:hint="default" w:ascii="Times New Roman" w:hAnsi="Times New Roman" w:cs="Times New Roman"/>
                <w:bCs/>
                <w:color w:val="auto"/>
                <w:spacing w:val="10"/>
                <w:sz w:val="24"/>
                <w:highlight w:val="none"/>
              </w:rPr>
            </w:pPr>
          </w:p>
          <w:p w14:paraId="33FFB354">
            <w:pPr>
              <w:adjustRightInd w:val="0"/>
              <w:snapToGrid w:val="0"/>
              <w:ind w:firstLine="520"/>
              <w:rPr>
                <w:rFonts w:hint="default" w:ascii="Times New Roman" w:hAnsi="Times New Roman" w:cs="Times New Roman"/>
                <w:bCs/>
                <w:color w:val="auto"/>
                <w:spacing w:val="10"/>
                <w:sz w:val="24"/>
                <w:highlight w:val="none"/>
              </w:rPr>
            </w:pPr>
          </w:p>
          <w:p w14:paraId="3EB4BE6E">
            <w:pPr>
              <w:adjustRightInd w:val="0"/>
              <w:snapToGrid w:val="0"/>
              <w:ind w:firstLine="520"/>
              <w:rPr>
                <w:rFonts w:hint="default" w:ascii="Times New Roman" w:hAnsi="Times New Roman" w:cs="Times New Roman"/>
                <w:bCs/>
                <w:color w:val="auto"/>
                <w:spacing w:val="10"/>
                <w:sz w:val="24"/>
                <w:highlight w:val="none"/>
              </w:rPr>
            </w:pPr>
          </w:p>
          <w:p w14:paraId="4F2EC012">
            <w:pPr>
              <w:adjustRightInd w:val="0"/>
              <w:snapToGrid w:val="0"/>
              <w:ind w:firstLine="520"/>
              <w:rPr>
                <w:rFonts w:hint="default" w:ascii="Times New Roman" w:hAnsi="Times New Roman" w:cs="Times New Roman"/>
                <w:bCs/>
                <w:color w:val="auto"/>
                <w:spacing w:val="10"/>
                <w:sz w:val="24"/>
                <w:highlight w:val="none"/>
              </w:rPr>
            </w:pPr>
          </w:p>
          <w:p w14:paraId="02AE019E">
            <w:pPr>
              <w:adjustRightInd w:val="0"/>
              <w:snapToGrid w:val="0"/>
              <w:ind w:firstLine="520"/>
              <w:rPr>
                <w:rFonts w:hint="default" w:ascii="Times New Roman" w:hAnsi="Times New Roman" w:cs="Times New Roman"/>
                <w:bCs/>
                <w:color w:val="auto"/>
                <w:spacing w:val="10"/>
                <w:sz w:val="24"/>
                <w:highlight w:val="none"/>
              </w:rPr>
            </w:pPr>
          </w:p>
          <w:p w14:paraId="672AC64E">
            <w:pPr>
              <w:adjustRightInd w:val="0"/>
              <w:snapToGrid w:val="0"/>
              <w:ind w:firstLine="520"/>
              <w:rPr>
                <w:rFonts w:hint="default" w:ascii="Times New Roman" w:hAnsi="Times New Roman" w:cs="Times New Roman"/>
                <w:bCs/>
                <w:color w:val="auto"/>
                <w:spacing w:val="10"/>
                <w:sz w:val="24"/>
                <w:highlight w:val="none"/>
              </w:rPr>
            </w:pPr>
          </w:p>
          <w:p w14:paraId="45214BDB">
            <w:pPr>
              <w:adjustRightInd w:val="0"/>
              <w:snapToGrid w:val="0"/>
              <w:ind w:firstLine="520"/>
              <w:rPr>
                <w:rFonts w:hint="default" w:ascii="Times New Roman" w:hAnsi="Times New Roman" w:cs="Times New Roman"/>
                <w:bCs/>
                <w:color w:val="auto"/>
                <w:spacing w:val="10"/>
                <w:sz w:val="24"/>
                <w:highlight w:val="none"/>
              </w:rPr>
            </w:pPr>
          </w:p>
          <w:p w14:paraId="32CCCEAA">
            <w:pPr>
              <w:adjustRightInd w:val="0"/>
              <w:snapToGrid w:val="0"/>
              <w:ind w:firstLine="520"/>
              <w:rPr>
                <w:rFonts w:hint="default" w:ascii="Times New Roman" w:hAnsi="Times New Roman" w:cs="Times New Roman"/>
                <w:bCs/>
                <w:color w:val="auto"/>
                <w:spacing w:val="10"/>
                <w:sz w:val="24"/>
                <w:highlight w:val="none"/>
              </w:rPr>
            </w:pPr>
          </w:p>
          <w:p w14:paraId="0C4F8B1C">
            <w:pPr>
              <w:adjustRightInd w:val="0"/>
              <w:snapToGrid w:val="0"/>
              <w:ind w:firstLine="520"/>
              <w:rPr>
                <w:rFonts w:hint="default" w:ascii="Times New Roman" w:hAnsi="Times New Roman" w:cs="Times New Roman"/>
                <w:bCs/>
                <w:color w:val="auto"/>
                <w:spacing w:val="10"/>
                <w:sz w:val="24"/>
                <w:highlight w:val="none"/>
              </w:rPr>
            </w:pPr>
          </w:p>
          <w:p w14:paraId="1454BC4B">
            <w:pPr>
              <w:adjustRightInd w:val="0"/>
              <w:snapToGrid w:val="0"/>
              <w:ind w:firstLine="520"/>
              <w:rPr>
                <w:rFonts w:hint="default" w:ascii="Times New Roman" w:hAnsi="Times New Roman" w:cs="Times New Roman"/>
                <w:bCs/>
                <w:color w:val="auto"/>
                <w:spacing w:val="10"/>
                <w:sz w:val="24"/>
                <w:highlight w:val="none"/>
              </w:rPr>
            </w:pPr>
          </w:p>
          <w:p w14:paraId="3FBC5CFE">
            <w:pPr>
              <w:adjustRightInd w:val="0"/>
              <w:snapToGrid w:val="0"/>
              <w:ind w:firstLine="520"/>
              <w:rPr>
                <w:rFonts w:hint="default" w:ascii="Times New Roman" w:hAnsi="Times New Roman" w:cs="Times New Roman"/>
                <w:bCs/>
                <w:color w:val="auto"/>
                <w:spacing w:val="10"/>
                <w:sz w:val="24"/>
                <w:highlight w:val="none"/>
              </w:rPr>
            </w:pPr>
          </w:p>
          <w:p w14:paraId="6CF9A083">
            <w:pPr>
              <w:adjustRightInd w:val="0"/>
              <w:snapToGrid w:val="0"/>
              <w:ind w:firstLine="520"/>
              <w:rPr>
                <w:rFonts w:hint="default" w:ascii="Times New Roman" w:hAnsi="Times New Roman" w:cs="Times New Roman"/>
                <w:bCs/>
                <w:color w:val="auto"/>
                <w:spacing w:val="10"/>
                <w:sz w:val="24"/>
                <w:highlight w:val="none"/>
              </w:rPr>
            </w:pPr>
          </w:p>
          <w:p w14:paraId="002680F7">
            <w:pPr>
              <w:adjustRightInd w:val="0"/>
              <w:snapToGrid w:val="0"/>
              <w:ind w:firstLine="520"/>
              <w:rPr>
                <w:rFonts w:hint="default" w:ascii="Times New Roman" w:hAnsi="Times New Roman" w:cs="Times New Roman"/>
                <w:bCs/>
                <w:color w:val="auto"/>
                <w:spacing w:val="10"/>
                <w:sz w:val="24"/>
                <w:highlight w:val="none"/>
              </w:rPr>
            </w:pPr>
          </w:p>
          <w:p w14:paraId="2B8234C6">
            <w:pPr>
              <w:adjustRightInd w:val="0"/>
              <w:snapToGrid w:val="0"/>
              <w:ind w:firstLine="520"/>
              <w:rPr>
                <w:rFonts w:hint="default" w:ascii="Times New Roman" w:hAnsi="Times New Roman" w:cs="Times New Roman"/>
                <w:bCs/>
                <w:color w:val="auto"/>
                <w:spacing w:val="10"/>
                <w:sz w:val="24"/>
                <w:highlight w:val="none"/>
              </w:rPr>
            </w:pPr>
          </w:p>
          <w:p w14:paraId="1D75124D">
            <w:pPr>
              <w:adjustRightInd w:val="0"/>
              <w:snapToGrid w:val="0"/>
              <w:ind w:firstLine="520"/>
              <w:rPr>
                <w:rFonts w:hint="default" w:ascii="Times New Roman" w:hAnsi="Times New Roman" w:cs="Times New Roman"/>
                <w:bCs/>
                <w:color w:val="auto"/>
                <w:spacing w:val="10"/>
                <w:sz w:val="24"/>
                <w:highlight w:val="none"/>
              </w:rPr>
            </w:pPr>
          </w:p>
          <w:p w14:paraId="1F553ED1">
            <w:pPr>
              <w:adjustRightInd w:val="0"/>
              <w:snapToGrid w:val="0"/>
              <w:ind w:firstLine="520"/>
              <w:rPr>
                <w:rFonts w:hint="default" w:ascii="Times New Roman" w:hAnsi="Times New Roman" w:cs="Times New Roman"/>
                <w:bCs/>
                <w:color w:val="auto"/>
                <w:spacing w:val="10"/>
                <w:sz w:val="24"/>
                <w:highlight w:val="none"/>
              </w:rPr>
            </w:pPr>
          </w:p>
          <w:p w14:paraId="77E4348F">
            <w:pPr>
              <w:adjustRightInd w:val="0"/>
              <w:snapToGrid w:val="0"/>
              <w:ind w:firstLine="520"/>
              <w:rPr>
                <w:rFonts w:hint="default" w:ascii="Times New Roman" w:hAnsi="Times New Roman" w:cs="Times New Roman"/>
                <w:bCs/>
                <w:color w:val="auto"/>
                <w:spacing w:val="10"/>
                <w:sz w:val="24"/>
                <w:highlight w:val="none"/>
              </w:rPr>
            </w:pPr>
          </w:p>
          <w:p w14:paraId="5DCE5C30">
            <w:pPr>
              <w:adjustRightInd w:val="0"/>
              <w:snapToGrid w:val="0"/>
              <w:ind w:firstLine="520"/>
              <w:rPr>
                <w:rFonts w:hint="default" w:ascii="Times New Roman" w:hAnsi="Times New Roman" w:cs="Times New Roman"/>
                <w:bCs/>
                <w:color w:val="auto"/>
                <w:spacing w:val="10"/>
                <w:sz w:val="24"/>
                <w:highlight w:val="none"/>
              </w:rPr>
            </w:pPr>
          </w:p>
          <w:p w14:paraId="2B882E83">
            <w:pPr>
              <w:adjustRightInd w:val="0"/>
              <w:snapToGrid w:val="0"/>
              <w:ind w:firstLine="520"/>
              <w:rPr>
                <w:rFonts w:hint="default" w:ascii="Times New Roman" w:hAnsi="Times New Roman" w:cs="Times New Roman"/>
                <w:bCs/>
                <w:color w:val="auto"/>
                <w:spacing w:val="10"/>
                <w:sz w:val="24"/>
                <w:highlight w:val="none"/>
              </w:rPr>
            </w:pPr>
          </w:p>
          <w:p w14:paraId="5D1C4ACE">
            <w:pPr>
              <w:adjustRightInd w:val="0"/>
              <w:snapToGrid w:val="0"/>
              <w:ind w:firstLine="520"/>
              <w:rPr>
                <w:rFonts w:hint="default" w:ascii="Times New Roman" w:hAnsi="Times New Roman" w:cs="Times New Roman"/>
                <w:bCs/>
                <w:color w:val="auto"/>
                <w:spacing w:val="10"/>
                <w:sz w:val="24"/>
                <w:highlight w:val="none"/>
              </w:rPr>
            </w:pPr>
          </w:p>
          <w:p w14:paraId="41971744">
            <w:pPr>
              <w:adjustRightInd w:val="0"/>
              <w:snapToGrid w:val="0"/>
              <w:ind w:firstLine="520"/>
              <w:rPr>
                <w:rFonts w:hint="default" w:ascii="Times New Roman" w:hAnsi="Times New Roman" w:cs="Times New Roman"/>
                <w:bCs/>
                <w:color w:val="auto"/>
                <w:spacing w:val="10"/>
                <w:sz w:val="24"/>
                <w:highlight w:val="none"/>
              </w:rPr>
            </w:pPr>
          </w:p>
          <w:p w14:paraId="700AECD7">
            <w:pPr>
              <w:adjustRightInd w:val="0"/>
              <w:snapToGrid w:val="0"/>
              <w:ind w:firstLine="520"/>
              <w:rPr>
                <w:rFonts w:hint="default" w:ascii="Times New Roman" w:hAnsi="Times New Roman" w:cs="Times New Roman"/>
                <w:bCs/>
                <w:color w:val="auto"/>
                <w:spacing w:val="10"/>
                <w:sz w:val="24"/>
                <w:highlight w:val="none"/>
              </w:rPr>
            </w:pPr>
          </w:p>
        </w:tc>
      </w:tr>
    </w:tbl>
    <w:p w14:paraId="6B3BA6E5">
      <w:pPr>
        <w:widowControl/>
        <w:ind w:firstLine="480"/>
        <w:jc w:val="left"/>
        <w:rPr>
          <w:rFonts w:hint="default" w:ascii="Times New Roman" w:hAnsi="Times New Roman" w:cs="Times New Roman"/>
          <w:color w:val="auto"/>
          <w:highlight w:val="none"/>
        </w:rPr>
        <w:sectPr>
          <w:pgSz w:w="11907" w:h="16840"/>
          <w:pgMar w:top="1440" w:right="1797" w:bottom="1440" w:left="1797" w:header="851" w:footer="1077" w:gutter="0"/>
          <w:cols w:space="720" w:num="1"/>
        </w:sectPr>
      </w:pPr>
    </w:p>
    <w:p w14:paraId="136920CA">
      <w:pPr>
        <w:pStyle w:val="2"/>
        <w:bidi w:val="0"/>
        <w:jc w:val="center"/>
        <w:rPr>
          <w:rFonts w:hint="default" w:ascii="Times New Roman" w:hAnsi="Times New Roman" w:eastAsia="宋体" w:cs="Times New Roman"/>
          <w:highlight w:val="none"/>
        </w:rPr>
      </w:pPr>
      <w:bookmarkStart w:id="52" w:name="_Toc32237"/>
      <w:bookmarkStart w:id="53" w:name="_Toc6015"/>
      <w:r>
        <w:rPr>
          <w:rFonts w:hint="default" w:ascii="Times New Roman" w:hAnsi="Times New Roman" w:eastAsia="宋体" w:cs="Times New Roman"/>
          <w:highlight w:val="none"/>
        </w:rPr>
        <w:t>六、生态环境保护措施监督检查清单</w:t>
      </w:r>
      <w:bookmarkEnd w:id="52"/>
      <w:bookmarkEnd w:id="53"/>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3767"/>
        <w:gridCol w:w="2006"/>
        <w:gridCol w:w="769"/>
        <w:gridCol w:w="820"/>
      </w:tblGrid>
      <w:tr w14:paraId="31D770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vMerge w:val="restart"/>
            <w:tcBorders>
              <w:top w:val="single" w:color="auto" w:sz="8" w:space="0"/>
              <w:left w:val="single" w:color="auto" w:sz="8" w:space="0"/>
              <w:bottom w:val="single" w:color="auto" w:sz="4" w:space="0"/>
              <w:right w:val="single" w:color="auto" w:sz="4" w:space="0"/>
              <w:tl2br w:val="single" w:color="auto" w:sz="4" w:space="0"/>
            </w:tcBorders>
            <w:noWrap w:val="0"/>
            <w:vAlign w:val="center"/>
          </w:tcPr>
          <w:p w14:paraId="17517A8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p w14:paraId="07FD5C98">
            <w:pPr>
              <w:adjustRightInd w:val="0"/>
              <w:snapToGrid w:val="0"/>
              <w:spacing w:line="276" w:lineRule="auto"/>
              <w:jc w:val="center"/>
              <w:rPr>
                <w:rFonts w:hint="default" w:ascii="Times New Roman" w:hAnsi="Times New Roman" w:cs="Times New Roman"/>
                <w:color w:val="auto"/>
                <w:szCs w:val="21"/>
                <w:highlight w:val="none"/>
              </w:rPr>
            </w:pPr>
          </w:p>
          <w:p w14:paraId="6C29C30D">
            <w:pPr>
              <w:adjustRightInd w:val="0"/>
              <w:snapToGrid w:val="0"/>
              <w:spacing w:line="276" w:lineRule="auto"/>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要素</w:t>
            </w:r>
          </w:p>
        </w:tc>
        <w:tc>
          <w:tcPr>
            <w:tcW w:w="3387" w:type="pct"/>
            <w:gridSpan w:val="2"/>
            <w:tcBorders>
              <w:top w:val="single" w:color="auto" w:sz="8" w:space="0"/>
              <w:left w:val="single" w:color="auto" w:sz="4" w:space="0"/>
              <w:bottom w:val="single" w:color="auto" w:sz="4" w:space="0"/>
              <w:right w:val="single" w:color="auto" w:sz="4" w:space="0"/>
            </w:tcBorders>
            <w:noWrap w:val="0"/>
            <w:vAlign w:val="center"/>
          </w:tcPr>
          <w:p w14:paraId="093FD8EB">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w:t>
            </w:r>
          </w:p>
        </w:tc>
        <w:tc>
          <w:tcPr>
            <w:tcW w:w="932" w:type="pct"/>
            <w:gridSpan w:val="2"/>
            <w:tcBorders>
              <w:top w:val="single" w:color="auto" w:sz="8" w:space="0"/>
              <w:left w:val="single" w:color="auto" w:sz="4" w:space="0"/>
              <w:bottom w:val="single" w:color="auto" w:sz="4" w:space="0"/>
              <w:right w:val="single" w:color="auto" w:sz="8" w:space="0"/>
            </w:tcBorders>
            <w:noWrap w:val="0"/>
            <w:vAlign w:val="center"/>
          </w:tcPr>
          <w:p w14:paraId="436E78CB">
            <w:pPr>
              <w:adjustRightInd w:val="0"/>
              <w:snapToGrid w:val="0"/>
              <w:spacing w:line="276" w:lineRule="auto"/>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运行期</w:t>
            </w:r>
          </w:p>
        </w:tc>
      </w:tr>
      <w:tr w14:paraId="599882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vMerge w:val="continue"/>
            <w:tcBorders>
              <w:top w:val="single" w:color="auto" w:sz="8" w:space="0"/>
              <w:left w:val="single" w:color="auto" w:sz="8" w:space="0"/>
              <w:bottom w:val="single" w:color="auto" w:sz="4" w:space="0"/>
              <w:right w:val="single" w:color="auto" w:sz="4" w:space="0"/>
            </w:tcBorders>
            <w:noWrap w:val="0"/>
            <w:vAlign w:val="center"/>
          </w:tcPr>
          <w:p w14:paraId="0DD9EFE9">
            <w:pPr>
              <w:widowControl/>
              <w:adjustRightInd w:val="0"/>
              <w:snapToGrid w:val="0"/>
              <w:jc w:val="left"/>
              <w:rPr>
                <w:rFonts w:hint="default" w:ascii="Times New Roman" w:hAnsi="Times New Roman" w:cs="Times New Roman"/>
                <w:color w:val="auto"/>
                <w:szCs w:val="21"/>
                <w:highlight w:val="none"/>
              </w:rPr>
            </w:pPr>
          </w:p>
        </w:tc>
        <w:tc>
          <w:tcPr>
            <w:tcW w:w="2210" w:type="pct"/>
            <w:tcBorders>
              <w:top w:val="single" w:color="auto" w:sz="4" w:space="0"/>
              <w:left w:val="single" w:color="auto" w:sz="4" w:space="0"/>
              <w:bottom w:val="single" w:color="auto" w:sz="4" w:space="0"/>
              <w:right w:val="single" w:color="auto" w:sz="4" w:space="0"/>
            </w:tcBorders>
            <w:noWrap w:val="0"/>
            <w:vAlign w:val="center"/>
          </w:tcPr>
          <w:p w14:paraId="0AB886E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5ED2784C">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验收要求</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6BC38B9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246F569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验收</w:t>
            </w:r>
          </w:p>
          <w:p w14:paraId="31540E0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要求</w:t>
            </w:r>
          </w:p>
        </w:tc>
      </w:tr>
      <w:tr w14:paraId="2F7A8F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6341551D">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陆生生态</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5D2FA065">
            <w:pPr>
              <w:adjustRightInd w:val="0"/>
              <w:snapToGrid w:val="0"/>
              <w:spacing w:line="276" w:lineRule="auto"/>
              <w:rPr>
                <w:rFonts w:hint="default" w:ascii="Times New Roman" w:hAnsi="Times New Roman" w:cs="Times New Roman"/>
                <w:color w:val="auto"/>
                <w:spacing w:val="-4"/>
                <w:szCs w:val="21"/>
                <w:highlight w:val="yellow"/>
              </w:rPr>
            </w:pPr>
            <w:r>
              <w:rPr>
                <w:rFonts w:hint="default" w:ascii="Times New Roman" w:hAnsi="Times New Roman" w:cs="Times New Roman"/>
                <w:color w:val="auto"/>
                <w:spacing w:val="-4"/>
                <w:szCs w:val="21"/>
                <w:highlight w:val="yellow"/>
              </w:rPr>
              <w:t>优化施工工艺，缩短施工工期；施工开始前，进行表土剥离，耕地剥离厚度30cm，草地和林地剥离厚度30cm，周边设置排水沟，堆置表土外表面采取密目网覆盖措施，布置编织袋土埂拦挡，施工结束后表土回填。施工结束后，临时占地全部恢复为原地类。施工中凡是土石方开采量大的项目应该避开暴雨期，减少暴雨冲刷，减轻水土流失。</w:t>
            </w:r>
          </w:p>
          <w:p w14:paraId="1DC38140">
            <w:pPr>
              <w:adjustRightInd w:val="0"/>
              <w:snapToGrid w:val="0"/>
              <w:spacing w:line="276" w:lineRule="auto"/>
              <w:rPr>
                <w:rFonts w:hint="default" w:ascii="Times New Roman" w:hAnsi="Times New Roman" w:cs="Times New Roman"/>
                <w:color w:val="auto"/>
                <w:spacing w:val="-4"/>
                <w:szCs w:val="21"/>
                <w:highlight w:val="none"/>
              </w:rPr>
            </w:pPr>
            <w:r>
              <w:rPr>
                <w:rFonts w:hint="default" w:ascii="Times New Roman" w:hAnsi="Times New Roman" w:cs="Times New Roman"/>
                <w:color w:val="auto"/>
                <w:spacing w:val="-4"/>
                <w:szCs w:val="21"/>
                <w:highlight w:val="none"/>
              </w:rPr>
              <w:t>尽量减少施工临时占用土地，按征地要求，不能超出征地界限；施工中注意保护施工区周围地面植被，禁止砍伐林木，保护施工区可能出现的野生动物。施工中凡是土石方开采量大的项目应该避开暴雨期，减少暴雨冲刷，减轻水土流失。对施工扰动区域采取临时防护措施和植物措施相结合的方式进行综合治理。</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75C53B07">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yellow"/>
              </w:rPr>
              <w:t>临时设施已全部拆除，全部弃土得到有效利用，施工结束后对临时占地进行植被恢复和土地复垦。</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284C851F">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监督和管理工程运行对周围环境的影响变化</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391AACA4">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478916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4CDBC30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水生生态</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05AB5522">
            <w:pPr>
              <w:adjustRightInd w:val="0"/>
              <w:snapToGrid w:val="0"/>
              <w:spacing w:line="276" w:lineRule="auto"/>
              <w:rPr>
                <w:rFonts w:hint="default" w:ascii="Times New Roman" w:hAnsi="Times New Roman" w:cs="Times New Roman"/>
                <w:color w:val="auto"/>
                <w:szCs w:val="21"/>
                <w:highlight w:val="none"/>
                <w:lang w:val="en-US"/>
              </w:rPr>
            </w:pPr>
            <w:r>
              <w:rPr>
                <w:rFonts w:hint="default" w:ascii="Times New Roman" w:hAnsi="Times New Roman" w:cs="Times New Roman"/>
                <w:bCs/>
                <w:color w:val="auto"/>
                <w:spacing w:val="10"/>
                <w:szCs w:val="21"/>
                <w:highlight w:val="none"/>
              </w:rPr>
              <w:t>加强管理，杜绝污染物进入水体中，禁止向河水中排放废水、废渣，</w:t>
            </w:r>
            <w:r>
              <w:rPr>
                <w:rFonts w:hint="default" w:ascii="Times New Roman" w:hAnsi="Times New Roman" w:cs="Times New Roman"/>
                <w:color w:val="auto"/>
                <w:szCs w:val="21"/>
                <w:highlight w:val="none"/>
              </w:rPr>
              <w:t>施工期禁止捕捞鱼类。</w:t>
            </w:r>
            <w:r>
              <w:rPr>
                <w:rFonts w:hint="default" w:ascii="Times New Roman" w:hAnsi="Times New Roman" w:cs="Times New Roman"/>
                <w:color w:val="auto"/>
                <w:szCs w:val="21"/>
                <w:highlight w:val="none"/>
                <w:lang w:val="en-US" w:eastAsia="zh-CN"/>
              </w:rPr>
              <w:t>分段、分区域施工，优化施工工艺，缩短施工工期，避开鱼类产卵期进行施工，施工采用低噪声设备。</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0C8B5097">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0B5D814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295FDC1A">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6F272B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2C9D217D">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419488B5">
            <w:pPr>
              <w:adjustRightInd w:val="0"/>
              <w:snapToGrid w:val="0"/>
              <w:spacing w:line="276" w:lineRule="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pacing w:val="-4"/>
                <w:szCs w:val="21"/>
                <w:highlight w:val="none"/>
              </w:rPr>
              <w:t>生活区设置防渗旱厕，定期清掏，外运</w:t>
            </w:r>
            <w:r>
              <w:rPr>
                <w:rFonts w:hint="default" w:ascii="Times New Roman" w:hAnsi="Times New Roman" w:cs="Times New Roman"/>
                <w:color w:val="auto"/>
                <w:spacing w:val="-4"/>
                <w:szCs w:val="21"/>
                <w:highlight w:val="none"/>
                <w:lang w:val="en-US" w:eastAsia="zh-CN"/>
              </w:rPr>
              <w:t>堆肥</w:t>
            </w:r>
            <w:r>
              <w:rPr>
                <w:rFonts w:hint="default" w:ascii="Times New Roman" w:hAnsi="Times New Roman" w:cs="Times New Roman"/>
                <w:color w:val="auto"/>
                <w:spacing w:val="-4"/>
                <w:szCs w:val="21"/>
                <w:highlight w:val="none"/>
                <w:lang w:eastAsia="zh-CN"/>
              </w:rPr>
              <w:t>，生产废水沉淀处理后不外排。</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54DEE227">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施工期废水无外排。施工结束后，旱厕全部拆除，占地全部恢复。</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6947D77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792E2871">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779501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509640C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地下水及土壤环境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73DA10E1">
            <w:pPr>
              <w:adjustRightInd w:val="0"/>
              <w:snapToGrid w:val="0"/>
              <w:spacing w:line="276" w:lineRule="auto"/>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zCs w:val="21"/>
                <w:highlight w:val="none"/>
              </w:rPr>
              <w:t>/</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5EEE98D6">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7549FBDE">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01D00206">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46DB62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4A89870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20469E02">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bCs/>
                <w:color w:val="auto"/>
                <w:spacing w:val="10"/>
                <w:szCs w:val="21"/>
                <w:highlight w:val="none"/>
              </w:rPr>
              <w:t>施工机械</w:t>
            </w:r>
            <w:r>
              <w:rPr>
                <w:rFonts w:hint="default" w:ascii="Times New Roman" w:hAnsi="Times New Roman" w:cs="Times New Roman"/>
                <w:color w:val="auto"/>
                <w:szCs w:val="21"/>
                <w:highlight w:val="none"/>
              </w:rPr>
              <w:t>选用正规厂家、噪声较低的环保型设备，</w:t>
            </w:r>
            <w:r>
              <w:rPr>
                <w:rFonts w:hint="default" w:ascii="Times New Roman" w:hAnsi="Times New Roman" w:cs="Times New Roman"/>
                <w:bCs/>
                <w:color w:val="auto"/>
                <w:spacing w:val="10"/>
                <w:szCs w:val="21"/>
                <w:highlight w:val="none"/>
              </w:rPr>
              <w:t>加强设备的维修和养护</w:t>
            </w:r>
            <w:r>
              <w:rPr>
                <w:rFonts w:hint="default" w:ascii="Times New Roman" w:hAnsi="Times New Roman" w:cs="Times New Roman"/>
                <w:color w:val="auto"/>
                <w:szCs w:val="21"/>
                <w:highlight w:val="none"/>
              </w:rPr>
              <w:t>。运输车辆</w:t>
            </w:r>
            <w:r>
              <w:rPr>
                <w:rFonts w:hint="default" w:ascii="Times New Roman" w:hAnsi="Times New Roman" w:cs="Times New Roman"/>
                <w:bCs/>
                <w:color w:val="auto"/>
                <w:spacing w:val="10"/>
                <w:szCs w:val="21"/>
                <w:highlight w:val="none"/>
              </w:rPr>
              <w:t>行经居民点时限速行驶，禁止使用高音喇叭，高噪声设备的操作人员发放防护用品，加强施工管理，合理安排作业时间，禁止夜间（22</w:t>
            </w:r>
            <w:r>
              <w:rPr>
                <w:rFonts w:hint="default" w:ascii="Times New Roman" w:hAnsi="Times New Roman" w:cs="Times New Roman"/>
                <w:bCs/>
                <w:color w:val="auto"/>
                <w:spacing w:val="10"/>
                <w:szCs w:val="21"/>
                <w:highlight w:val="none"/>
                <w:lang w:eastAsia="zh-CN"/>
              </w:rPr>
              <w:t>:</w:t>
            </w:r>
            <w:r>
              <w:rPr>
                <w:rFonts w:hint="default" w:ascii="Times New Roman" w:hAnsi="Times New Roman" w:cs="Times New Roman"/>
                <w:bCs/>
                <w:color w:val="auto"/>
                <w:spacing w:val="10"/>
                <w:szCs w:val="21"/>
                <w:highlight w:val="none"/>
              </w:rPr>
              <w:t>00～06</w:t>
            </w:r>
            <w:r>
              <w:rPr>
                <w:rFonts w:hint="default" w:ascii="Times New Roman" w:hAnsi="Times New Roman" w:cs="Times New Roman"/>
                <w:bCs/>
                <w:color w:val="auto"/>
                <w:spacing w:val="10"/>
                <w:szCs w:val="21"/>
                <w:highlight w:val="none"/>
                <w:lang w:eastAsia="zh-CN"/>
              </w:rPr>
              <w:t>:</w:t>
            </w:r>
            <w:r>
              <w:rPr>
                <w:rFonts w:hint="default" w:ascii="Times New Roman" w:hAnsi="Times New Roman" w:cs="Times New Roman"/>
                <w:bCs/>
                <w:color w:val="auto"/>
                <w:spacing w:val="10"/>
                <w:szCs w:val="21"/>
                <w:highlight w:val="none"/>
              </w:rPr>
              <w:t>00）施工。</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6F7471C6">
            <w:pPr>
              <w:adjustRightInd w:val="0"/>
              <w:snapToGrid w:val="0"/>
              <w:spacing w:line="276" w:lineRule="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施工期施工噪声满足</w:t>
            </w:r>
            <w:r>
              <w:rPr>
                <w:rFonts w:hint="default" w:ascii="Times New Roman" w:hAnsi="Times New Roman" w:cs="Times New Roman"/>
                <w:color w:val="auto"/>
                <w:szCs w:val="21"/>
                <w:highlight w:val="none"/>
                <w:lang w:eastAsia="zh-CN"/>
              </w:rPr>
              <w:t>《建筑施工噪声排放标准》（GB12523—2025）</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14FE1A6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4669ADF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4C64B6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132EBB5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振动</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51A27309">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给噪声源的机械设备安装减振器</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64C6DB84">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7089B18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0C0F9EC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154844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61223D1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3F775546">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定期洒水降尘，物料的运输、堆存全部</w:t>
            </w:r>
            <w:r>
              <w:rPr>
                <w:rFonts w:hint="default" w:ascii="Times New Roman" w:hAnsi="Times New Roman" w:cs="Times New Roman"/>
                <w:bCs/>
                <w:color w:val="auto"/>
                <w:spacing w:val="10"/>
                <w:szCs w:val="21"/>
                <w:highlight w:val="none"/>
              </w:rPr>
              <w:t>放入仓库或加盖</w:t>
            </w:r>
            <w:r>
              <w:rPr>
                <w:rFonts w:hint="default" w:ascii="Times New Roman" w:hAnsi="Times New Roman" w:cs="Times New Roman"/>
                <w:color w:val="auto"/>
                <w:szCs w:val="21"/>
                <w:highlight w:val="none"/>
              </w:rPr>
              <w:t>苫布，不得露天堆放。车辆设备定期检修。混凝土</w:t>
            </w:r>
            <w:r>
              <w:rPr>
                <w:rFonts w:hint="default" w:ascii="Times New Roman" w:hAnsi="Times New Roman" w:cs="Times New Roman"/>
                <w:color w:val="auto"/>
                <w:szCs w:val="21"/>
                <w:highlight w:val="none"/>
                <w:lang w:eastAsia="zh-CN"/>
              </w:rPr>
              <w:t>拌和</w:t>
            </w:r>
            <w:r>
              <w:rPr>
                <w:rFonts w:hint="default" w:ascii="Times New Roman" w:hAnsi="Times New Roman" w:cs="Times New Roman"/>
                <w:color w:val="auto"/>
                <w:szCs w:val="21"/>
                <w:highlight w:val="none"/>
              </w:rPr>
              <w:t>系统设置简易罩棚，周边洒水降尘，</w:t>
            </w:r>
            <w:r>
              <w:rPr>
                <w:rFonts w:hint="default" w:ascii="Times New Roman" w:hAnsi="Times New Roman" w:cs="Times New Roman"/>
                <w:color w:val="auto"/>
                <w:szCs w:val="21"/>
                <w:highlight w:val="none"/>
                <w:lang w:eastAsia="zh-CN"/>
              </w:rPr>
              <w:t>拌和</w:t>
            </w:r>
            <w:r>
              <w:rPr>
                <w:rFonts w:hint="default" w:ascii="Times New Roman" w:hAnsi="Times New Roman" w:cs="Times New Roman"/>
                <w:color w:val="auto"/>
                <w:szCs w:val="21"/>
                <w:highlight w:val="none"/>
              </w:rPr>
              <w:t>废气经系统自带除尘设施处理后排放</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水泥料仓顶部自带除尘设施处理后经仓顶排放</w:t>
            </w:r>
            <w:r>
              <w:rPr>
                <w:rFonts w:hint="default" w:ascii="Times New Roman" w:hAnsi="Times New Roman" w:cs="Times New Roman"/>
                <w:color w:val="auto"/>
                <w:szCs w:val="21"/>
                <w:highlight w:val="none"/>
              </w:rPr>
              <w:t>。风大天气禁止</w:t>
            </w:r>
            <w:r>
              <w:rPr>
                <w:rFonts w:hint="default" w:ascii="Times New Roman" w:hAnsi="Times New Roman" w:cs="Times New Roman"/>
                <w:bCs/>
                <w:color w:val="auto"/>
                <w:spacing w:val="10"/>
                <w:szCs w:val="21"/>
                <w:highlight w:val="none"/>
              </w:rPr>
              <w:t>土方开挖</w:t>
            </w:r>
            <w:r>
              <w:rPr>
                <w:rFonts w:hint="default" w:ascii="Times New Roman" w:hAnsi="Times New Roman" w:cs="Times New Roman"/>
                <w:color w:val="auto"/>
                <w:szCs w:val="21"/>
                <w:highlight w:val="none"/>
              </w:rPr>
              <w:t>。车辆路过村屯，车速低于20k</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/h。</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3D9A01B7">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w:t>
            </w:r>
            <w:r>
              <w:rPr>
                <w:rFonts w:hint="default" w:ascii="Times New Roman" w:hAnsi="Times New Roman" w:cs="Times New Roman"/>
                <w:color w:val="auto"/>
                <w:szCs w:val="21"/>
                <w:highlight w:val="none"/>
                <w:lang w:eastAsia="zh-CN"/>
              </w:rPr>
              <w:t>厂界</w:t>
            </w:r>
            <w:r>
              <w:rPr>
                <w:rFonts w:hint="default" w:ascii="Times New Roman" w:hAnsi="Times New Roman" w:cs="Times New Roman"/>
                <w:color w:val="auto"/>
                <w:szCs w:val="21"/>
                <w:highlight w:val="none"/>
              </w:rPr>
              <w:t>颗粒物满足《大气污染物综合排放标准》（GB16297</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1996）中无组织排放监控限值。</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601245D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7A1807D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4F270C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7FB5295A">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2210" w:type="pct"/>
            <w:noWrap w:val="0"/>
            <w:vAlign w:val="top"/>
          </w:tcPr>
          <w:p w14:paraId="0DECEE3F">
            <w:pPr>
              <w:adjustRightInd w:val="0"/>
              <w:snapToGrid w:val="0"/>
              <w:spacing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开挖土方得到有效处置；</w:t>
            </w:r>
            <w:r>
              <w:rPr>
                <w:rFonts w:hint="default" w:ascii="Times New Roman" w:hAnsi="Times New Roman" w:cs="Times New Roman"/>
                <w:bCs/>
                <w:color w:val="auto"/>
                <w:szCs w:val="21"/>
                <w:highlight w:val="none"/>
              </w:rPr>
              <w:t>土方堆置时加强防护，坡脚用编织袋填筑土埂压盖并拦挡，表面密目网覆盖，施工结束后撒播种草恢复植被</w:t>
            </w:r>
            <w:r>
              <w:rPr>
                <w:rFonts w:hint="default" w:ascii="Times New Roman" w:hAnsi="Times New Roman" w:cs="Times New Roman"/>
                <w:color w:val="auto"/>
                <w:szCs w:val="21"/>
                <w:highlight w:val="none"/>
              </w:rPr>
              <w:t>。</w:t>
            </w:r>
          </w:p>
          <w:p w14:paraId="051F4CB9">
            <w:pPr>
              <w:adjustRightInd w:val="0"/>
              <w:snapToGrid w:val="0"/>
              <w:spacing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rPr>
              <w:t>表土</w:t>
            </w:r>
            <w:r>
              <w:rPr>
                <w:rFonts w:hint="default" w:ascii="Times New Roman" w:hAnsi="Times New Roman" w:cs="Times New Roman"/>
                <w:color w:val="auto"/>
                <w:sz w:val="21"/>
                <w:szCs w:val="21"/>
                <w:highlight w:val="none"/>
              </w:rPr>
              <w:t>全部由</w:t>
            </w:r>
            <w:r>
              <w:rPr>
                <w:rFonts w:hint="default" w:ascii="Times New Roman" w:hAnsi="Times New Roman" w:cs="Times New Roman"/>
                <w:color w:val="auto"/>
                <w:sz w:val="21"/>
                <w:szCs w:val="21"/>
                <w:highlight w:val="none"/>
                <w:lang w:val="en-US" w:eastAsia="zh-CN"/>
              </w:rPr>
              <w:t>庆安县庆禾农业发展有限公司</w:t>
            </w:r>
            <w:r>
              <w:rPr>
                <w:rFonts w:hint="default" w:ascii="Times New Roman" w:hAnsi="Times New Roman" w:cs="Times New Roman"/>
                <w:color w:val="auto"/>
                <w:sz w:val="21"/>
                <w:szCs w:val="21"/>
                <w:highlight w:val="none"/>
              </w:rPr>
              <w:t>外运并进行综合利用，重点用于</w:t>
            </w:r>
            <w:r>
              <w:rPr>
                <w:rFonts w:hint="default" w:ascii="Times New Roman" w:hAnsi="Times New Roman" w:cs="Times New Roman"/>
                <w:color w:val="auto"/>
                <w:sz w:val="21"/>
                <w:szCs w:val="21"/>
                <w:highlight w:val="none"/>
                <w:lang w:val="en-US" w:eastAsia="zh-CN"/>
              </w:rPr>
              <w:t>土地改良。</w:t>
            </w:r>
          </w:p>
          <w:p w14:paraId="7D06EFD7">
            <w:pPr>
              <w:adjustRightInd w:val="0"/>
              <w:snapToGrid w:val="0"/>
              <w:spacing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在临时生活区布设垃圾箱，运输垃圾的设施要</w:t>
            </w:r>
            <w:r>
              <w:rPr>
                <w:rFonts w:hint="default" w:ascii="Times New Roman" w:hAnsi="Times New Roman" w:cs="Times New Roman"/>
                <w:color w:val="auto"/>
                <w:szCs w:val="21"/>
                <w:highlight w:val="none"/>
                <w:lang w:eastAsia="zh-CN"/>
              </w:rPr>
              <w:t>密闭</w:t>
            </w:r>
            <w:r>
              <w:rPr>
                <w:rFonts w:hint="default" w:ascii="Times New Roman" w:hAnsi="Times New Roman" w:cs="Times New Roman"/>
                <w:color w:val="auto"/>
                <w:szCs w:val="21"/>
                <w:highlight w:val="none"/>
              </w:rPr>
              <w:t>，以免对环境造成二次污染。</w:t>
            </w:r>
          </w:p>
          <w:p w14:paraId="5218E693">
            <w:pPr>
              <w:pStyle w:val="52"/>
              <w:spacing w:line="240" w:lineRule="auto"/>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定期收集清运建筑垃圾，能够回收利用的送交废旧物资回收站处理，其余的送市政部门指定地点堆存，以保护施工区环境卫生。</w:t>
            </w:r>
          </w:p>
          <w:p w14:paraId="1EF8DF7B">
            <w:pPr>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沉淀池污泥施工结束后统一清出与弃土一同处置。</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091E6530">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施工期固废的处置率为100%。</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3B7BD527">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654578AC">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2C9568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22550B6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697226A6">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4DA9BAE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55B86434">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780A675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5507EA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7081736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环境风险</w:t>
            </w:r>
          </w:p>
        </w:tc>
        <w:tc>
          <w:tcPr>
            <w:tcW w:w="2210" w:type="pct"/>
            <w:tcBorders>
              <w:top w:val="single" w:color="auto" w:sz="8" w:space="0"/>
              <w:left w:val="single" w:color="auto" w:sz="8" w:space="0"/>
              <w:bottom w:val="single" w:color="auto" w:sz="8" w:space="0"/>
              <w:right w:val="single" w:color="auto" w:sz="4" w:space="0"/>
            </w:tcBorders>
            <w:noWrap w:val="0"/>
            <w:vAlign w:val="center"/>
          </w:tcPr>
          <w:p w14:paraId="566E2CAD">
            <w:pPr>
              <w:adjustRightInd w:val="0"/>
              <w:snapToGrid w:val="0"/>
              <w:spacing w:line="273"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本工程施工过程中，运输车辆和机械在指定运输路线行驶；</w:t>
            </w:r>
          </w:p>
          <w:p w14:paraId="03E42CA9">
            <w:pPr>
              <w:adjustRightInd w:val="0"/>
              <w:snapToGrid w:val="0"/>
              <w:spacing w:line="273"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在进出口加设限速、</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谨慎驾驶</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等标识牌，提醒工程周边社会车辆降低车速安全通行，减小交通事故发生概率；</w:t>
            </w:r>
          </w:p>
          <w:p w14:paraId="3131B9C8">
            <w:pPr>
              <w:adjustRightInd w:val="0"/>
              <w:snapToGrid w:val="0"/>
              <w:spacing w:line="273"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加强工程运输车</w:t>
            </w:r>
            <w:r>
              <w:rPr>
                <w:rFonts w:hint="default" w:ascii="Times New Roman" w:hAnsi="Times New Roman" w:cs="Times New Roman"/>
                <w:color w:val="auto"/>
                <w:szCs w:val="21"/>
                <w:highlight w:val="none"/>
                <w:lang w:val="en-US" w:eastAsia="zh-CN"/>
              </w:rPr>
              <w:t>辆</w:t>
            </w:r>
            <w:r>
              <w:rPr>
                <w:rFonts w:hint="default" w:ascii="Times New Roman" w:hAnsi="Times New Roman" w:cs="Times New Roman"/>
                <w:color w:val="auto"/>
                <w:szCs w:val="21"/>
                <w:highlight w:val="none"/>
              </w:rPr>
              <w:t>安全管理，定期检修相关车辆，保证上路车辆车况良好。每天检查机器是否有燃油和机油泄漏，并迅速清理任何溢出物。</w:t>
            </w:r>
          </w:p>
        </w:tc>
        <w:tc>
          <w:tcPr>
            <w:tcW w:w="1177" w:type="pct"/>
            <w:tcBorders>
              <w:top w:val="single" w:color="auto" w:sz="8" w:space="0"/>
              <w:left w:val="single" w:color="auto" w:sz="4" w:space="0"/>
              <w:bottom w:val="single" w:color="auto" w:sz="8" w:space="0"/>
              <w:right w:val="single" w:color="auto" w:sz="4" w:space="0"/>
            </w:tcBorders>
            <w:noWrap w:val="0"/>
            <w:vAlign w:val="center"/>
          </w:tcPr>
          <w:p w14:paraId="7435D26D">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8" w:space="0"/>
              <w:left w:val="single" w:color="auto" w:sz="4" w:space="0"/>
              <w:bottom w:val="single" w:color="auto" w:sz="8" w:space="0"/>
              <w:right w:val="single" w:color="auto" w:sz="4" w:space="0"/>
            </w:tcBorders>
            <w:noWrap w:val="0"/>
            <w:vAlign w:val="center"/>
          </w:tcPr>
          <w:p w14:paraId="5BA93DB5">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8" w:space="0"/>
              <w:left w:val="single" w:color="auto" w:sz="4" w:space="0"/>
              <w:bottom w:val="single" w:color="auto" w:sz="8" w:space="0"/>
              <w:right w:val="single" w:color="auto" w:sz="8" w:space="0"/>
            </w:tcBorders>
            <w:noWrap w:val="0"/>
            <w:vAlign w:val="center"/>
          </w:tcPr>
          <w:p w14:paraId="6C3C281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02D9FF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5CE9F03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环境监测</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069CB436">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根据规定的监测点位、监测项目、监测时间及频次进行监测</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3DC85215">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出具符合C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A认证监测报告</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4D025031">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407EF665">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1FE3C4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681" w:type="pct"/>
            <w:tcBorders>
              <w:top w:val="single" w:color="auto" w:sz="4" w:space="0"/>
              <w:left w:val="single" w:color="auto" w:sz="8" w:space="0"/>
              <w:bottom w:val="single" w:color="auto" w:sz="8" w:space="0"/>
              <w:right w:val="single" w:color="auto" w:sz="4" w:space="0"/>
            </w:tcBorders>
            <w:noWrap w:val="0"/>
            <w:vAlign w:val="center"/>
          </w:tcPr>
          <w:p w14:paraId="54C3876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其他</w:t>
            </w:r>
          </w:p>
        </w:tc>
        <w:tc>
          <w:tcPr>
            <w:tcW w:w="2210" w:type="pct"/>
            <w:tcBorders>
              <w:top w:val="single" w:color="auto" w:sz="4" w:space="0"/>
              <w:left w:val="single" w:color="auto" w:sz="4" w:space="0"/>
              <w:bottom w:val="single" w:color="auto" w:sz="8" w:space="0"/>
              <w:right w:val="single" w:color="auto" w:sz="4" w:space="0"/>
            </w:tcBorders>
            <w:noWrap w:val="0"/>
            <w:vAlign w:val="center"/>
          </w:tcPr>
          <w:p w14:paraId="48C0397B">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施工期临时设施及环保设施需留有影像资料。</w:t>
            </w:r>
          </w:p>
        </w:tc>
        <w:tc>
          <w:tcPr>
            <w:tcW w:w="1177" w:type="pct"/>
            <w:tcBorders>
              <w:top w:val="single" w:color="auto" w:sz="4" w:space="0"/>
              <w:left w:val="single" w:color="auto" w:sz="4" w:space="0"/>
              <w:bottom w:val="single" w:color="auto" w:sz="8" w:space="0"/>
              <w:right w:val="single" w:color="auto" w:sz="4" w:space="0"/>
            </w:tcBorders>
            <w:noWrap w:val="0"/>
            <w:vAlign w:val="center"/>
          </w:tcPr>
          <w:p w14:paraId="053EBC0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4" w:space="0"/>
              <w:left w:val="single" w:color="auto" w:sz="4" w:space="0"/>
              <w:bottom w:val="single" w:color="auto" w:sz="8" w:space="0"/>
              <w:right w:val="single" w:color="auto" w:sz="4" w:space="0"/>
            </w:tcBorders>
            <w:noWrap w:val="0"/>
            <w:vAlign w:val="center"/>
          </w:tcPr>
          <w:p w14:paraId="547BDC4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8" w:space="0"/>
              <w:right w:val="single" w:color="auto" w:sz="8" w:space="0"/>
            </w:tcBorders>
            <w:noWrap w:val="0"/>
            <w:vAlign w:val="center"/>
          </w:tcPr>
          <w:p w14:paraId="1B8AA195">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bl>
    <w:p w14:paraId="5E6A0E7C">
      <w:pPr>
        <w:widowControl/>
        <w:ind w:firstLine="600"/>
        <w:jc w:val="left"/>
        <w:rPr>
          <w:rFonts w:hint="default" w:ascii="Times New Roman" w:hAnsi="Times New Roman" w:cs="Times New Roman"/>
          <w:snapToGrid w:val="0"/>
          <w:color w:val="auto"/>
          <w:kern w:val="0"/>
          <w:sz w:val="30"/>
          <w:szCs w:val="30"/>
          <w:highlight w:val="none"/>
        </w:rPr>
        <w:sectPr>
          <w:pgSz w:w="11906" w:h="16838"/>
          <w:pgMar w:top="1440" w:right="1800" w:bottom="1440" w:left="1800" w:header="851" w:footer="1077" w:gutter="0"/>
          <w:cols w:space="720" w:num="1"/>
        </w:sectPr>
      </w:pPr>
    </w:p>
    <w:p w14:paraId="752B946E">
      <w:pPr>
        <w:pStyle w:val="2"/>
        <w:bidi w:val="0"/>
        <w:jc w:val="center"/>
        <w:rPr>
          <w:rFonts w:hint="default" w:ascii="Times New Roman" w:hAnsi="Times New Roman" w:eastAsia="宋体" w:cs="Times New Roman"/>
          <w:highlight w:val="none"/>
        </w:rPr>
      </w:pPr>
      <w:bookmarkStart w:id="54" w:name="_Toc31771"/>
      <w:bookmarkStart w:id="55" w:name="_Toc17399"/>
      <w:r>
        <w:rPr>
          <w:rFonts w:hint="default" w:ascii="Times New Roman" w:hAnsi="Times New Roman" w:eastAsia="宋体" w:cs="Times New Roman"/>
          <w:highlight w:val="none"/>
        </w:rPr>
        <w:t>七、结论</w:t>
      </w:r>
      <w:bookmarkEnd w:id="54"/>
      <w:bookmarkEnd w:id="55"/>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29182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4" w:hRule="atLeast"/>
          <w:jc w:val="center"/>
        </w:trPr>
        <w:tc>
          <w:tcPr>
            <w:tcW w:w="5000" w:type="pct"/>
            <w:tcBorders>
              <w:top w:val="single" w:color="auto" w:sz="8" w:space="0"/>
              <w:left w:val="single" w:color="auto" w:sz="8" w:space="0"/>
              <w:bottom w:val="single" w:color="auto" w:sz="8" w:space="0"/>
              <w:right w:val="single" w:color="auto" w:sz="8" w:space="0"/>
            </w:tcBorders>
            <w:noWrap w:val="0"/>
            <w:vAlign w:val="center"/>
          </w:tcPr>
          <w:p w14:paraId="0746332A">
            <w:pPr>
              <w:adjustRightInd w:val="0"/>
              <w:snapToGrid w:val="0"/>
              <w:spacing w:line="500" w:lineRule="atLeas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工程是防洪除涝项目，工程实施后，社会效益、生态环境效益、经济效益显著。工程对环境的有利影响远大于不利影响，本项目的建设在严格落实本报告表所提出的各项环保措施的前提下，各类污染物排放均可得到有效控制，对环境的影响较小，可以被周围环境所接受。从环境保护角度分析，该建设项目可行。</w:t>
            </w:r>
          </w:p>
          <w:p w14:paraId="6055B5B0">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0FAFC340">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10A52FE7">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C671FCD">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532E5AEE">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E0D198E">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3DE36987">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2BE57321">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4B19B0F3">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6822AD44">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88974A0">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ED1094B">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9AF22AF">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1734BE20">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55FE9FED">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66B20435">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507F9409">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5D5E2A29">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A96EEDD">
            <w:pPr>
              <w:adjustRightInd w:val="0"/>
              <w:snapToGrid w:val="0"/>
              <w:spacing w:line="500" w:lineRule="atLeast"/>
              <w:ind w:firstLine="480" w:firstLineChars="200"/>
              <w:rPr>
                <w:rFonts w:hint="default" w:ascii="Times New Roman" w:hAnsi="Times New Roman" w:cs="Times New Roman"/>
                <w:color w:val="auto"/>
                <w:sz w:val="24"/>
                <w:highlight w:val="none"/>
              </w:rPr>
            </w:pPr>
          </w:p>
        </w:tc>
      </w:tr>
    </w:tbl>
    <w:p w14:paraId="2CE8AF97">
      <w:pPr>
        <w:widowControl/>
        <w:spacing w:line="648" w:lineRule="auto"/>
        <w:ind w:firstLine="640"/>
        <w:jc w:val="left"/>
        <w:rPr>
          <w:rFonts w:hint="default" w:ascii="Times New Roman" w:hAnsi="Times New Roman" w:cs="Times New Roman"/>
          <w:snapToGrid w:val="0"/>
          <w:color w:val="auto"/>
          <w:kern w:val="0"/>
          <w:sz w:val="32"/>
          <w:szCs w:val="32"/>
          <w:highlight w:val="none"/>
        </w:rPr>
        <w:sectPr>
          <w:pgSz w:w="11906" w:h="16838"/>
          <w:pgMar w:top="1440" w:right="1800" w:bottom="1440" w:left="1800" w:header="851" w:footer="1077" w:gutter="0"/>
          <w:cols w:space="720" w:num="1"/>
        </w:sectPr>
      </w:pPr>
    </w:p>
    <w:p w14:paraId="1E896284">
      <w:pPr>
        <w:pStyle w:val="2"/>
        <w:bidi w:val="0"/>
        <w:rPr>
          <w:rFonts w:hint="default" w:ascii="Times New Roman" w:hAnsi="Times New Roman" w:eastAsia="宋体" w:cs="Times New Roman"/>
          <w:highlight w:val="none"/>
        </w:rPr>
      </w:pPr>
      <w:bookmarkStart w:id="56" w:name="_Toc10244"/>
      <w:bookmarkStart w:id="57" w:name="_Toc16641"/>
      <w:r>
        <w:rPr>
          <w:rFonts w:hint="default" w:ascii="Times New Roman" w:hAnsi="Times New Roman" w:eastAsia="宋体" w:cs="Times New Roman"/>
          <w:highlight w:val="none"/>
        </w:rPr>
        <w:t>附图</w:t>
      </w:r>
      <w:bookmarkEnd w:id="56"/>
      <w:bookmarkEnd w:id="57"/>
    </w:p>
    <w:p w14:paraId="05DD6BDE">
      <w:pPr>
        <w:keepNext w:val="0"/>
        <w:keepLines w:val="0"/>
        <w:pageBreakBefore w:val="0"/>
        <w:widowControl w:val="0"/>
        <w:kinsoku/>
        <w:wordWrap/>
        <w:overflowPunct/>
        <w:topLinePunct w:val="0"/>
        <w:autoSpaceDE/>
        <w:autoSpaceDN/>
        <w:bidi w:val="0"/>
        <w:adjustRightInd/>
        <w:snapToGrid/>
        <w:ind w:firstLine="0"/>
        <w:textAlignment w:val="auto"/>
        <w:rPr>
          <w:rFonts w:hint="default" w:ascii="Times New Roman" w:hAnsi="Times New Roman" w:cs="Times New Roman"/>
          <w:color w:val="auto"/>
          <w:highlight w:val="none"/>
        </w:rPr>
      </w:pPr>
      <w:r>
        <w:rPr>
          <w:rFonts w:hint="default" w:ascii="Times New Roman" w:hAnsi="Times New Roman" w:cs="Times New Roman"/>
          <w:highlight w:val="none"/>
        </w:rPr>
        <w:drawing>
          <wp:anchor distT="0" distB="0" distL="114300" distR="114300" simplePos="0" relativeHeight="251670528" behindDoc="0" locked="0" layoutInCell="1" allowOverlap="1">
            <wp:simplePos x="0" y="0"/>
            <wp:positionH relativeFrom="column">
              <wp:posOffset>4229100</wp:posOffset>
            </wp:positionH>
            <wp:positionV relativeFrom="paragraph">
              <wp:posOffset>141605</wp:posOffset>
            </wp:positionV>
            <wp:extent cx="790575" cy="838200"/>
            <wp:effectExtent l="0" t="0" r="9525" b="0"/>
            <wp:wrapNone/>
            <wp:docPr id="12"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27"/>
                    <pic:cNvPicPr>
                      <a:picLocks noChangeAspect="1"/>
                    </pic:cNvPicPr>
                  </pic:nvPicPr>
                  <pic:blipFill>
                    <a:blip r:embed="rId20"/>
                    <a:stretch>
                      <a:fillRect/>
                    </a:stretch>
                  </pic:blipFill>
                  <pic:spPr>
                    <a:xfrm>
                      <a:off x="0" y="0"/>
                      <a:ext cx="790575" cy="838200"/>
                    </a:xfrm>
                    <a:prstGeom prst="rect">
                      <a:avLst/>
                    </a:prstGeom>
                    <a:noFill/>
                    <a:ln>
                      <a:noFill/>
                    </a:ln>
                  </pic:spPr>
                </pic:pic>
              </a:graphicData>
            </a:graphic>
          </wp:anchor>
        </w:drawing>
      </w:r>
      <w:r>
        <w:rPr>
          <w:rFonts w:hint="default" w:ascii="Times New Roman" w:hAnsi="Times New Roman" w:cs="Times New Roman"/>
          <w:sz w:val="24"/>
          <w:highlight w:val="none"/>
        </w:rPr>
        <mc:AlternateContent>
          <mc:Choice Requires="wps">
            <w:drawing>
              <wp:anchor distT="0" distB="0" distL="114300" distR="114300" simplePos="0" relativeHeight="251669504" behindDoc="0" locked="0" layoutInCell="1" allowOverlap="1">
                <wp:simplePos x="0" y="0"/>
                <wp:positionH relativeFrom="column">
                  <wp:posOffset>1846580</wp:posOffset>
                </wp:positionH>
                <wp:positionV relativeFrom="paragraph">
                  <wp:posOffset>3444240</wp:posOffset>
                </wp:positionV>
                <wp:extent cx="905510" cy="342900"/>
                <wp:effectExtent l="661670" t="127000" r="13970" b="6350"/>
                <wp:wrapNone/>
                <wp:docPr id="11" name="自选图形 226"/>
                <wp:cNvGraphicFramePr/>
                <a:graphic xmlns:a="http://schemas.openxmlformats.org/drawingml/2006/main">
                  <a:graphicData uri="http://schemas.microsoft.com/office/word/2010/wordprocessingShape">
                    <wps:wsp>
                      <wps:cNvSpPr/>
                      <wps:spPr>
                        <a:xfrm>
                          <a:off x="0" y="0"/>
                          <a:ext cx="905510" cy="342900"/>
                        </a:xfrm>
                        <a:prstGeom prst="wedgeRectCallout">
                          <a:avLst>
                            <a:gd name="adj1" fmla="val -119000"/>
                            <a:gd name="adj2" fmla="val -82773"/>
                          </a:avLst>
                        </a:prstGeom>
                        <a:solidFill>
                          <a:srgbClr val="FFFFFF"/>
                        </a:solidFill>
                        <a:ln w="9525" cap="flat" cmpd="sng">
                          <a:solidFill>
                            <a:srgbClr val="000000"/>
                          </a:solidFill>
                          <a:prstDash val="solid"/>
                          <a:miter/>
                          <a:headEnd type="none" w="med" len="med"/>
                          <a:tailEnd type="none" w="med" len="med"/>
                        </a:ln>
                      </wps:spPr>
                      <wps:txbx>
                        <w:txbxContent>
                          <w:p w14:paraId="1B6DD766">
                            <w:pPr>
                              <w:jc w:val="center"/>
                              <w:rPr>
                                <w:rFonts w:hint="eastAsia" w:eastAsia="宋体"/>
                                <w:lang w:val="en-US" w:eastAsia="zh-CN"/>
                              </w:rPr>
                            </w:pPr>
                            <w:r>
                              <w:rPr>
                                <w:rFonts w:hint="eastAsia"/>
                                <w:lang w:val="en-US" w:eastAsia="zh-CN"/>
                              </w:rPr>
                              <w:t>项目位置</w:t>
                            </w:r>
                          </w:p>
                        </w:txbxContent>
                      </wps:txbx>
                      <wps:bodyPr vert="horz" wrap="square" anchor="t" anchorCtr="0" upright="1"/>
                    </wps:wsp>
                  </a:graphicData>
                </a:graphic>
              </wp:anchor>
            </w:drawing>
          </mc:Choice>
          <mc:Fallback>
            <w:pict>
              <v:shape id="自选图形 226" o:spid="_x0000_s1026" o:spt="61" type="#_x0000_t61" style="position:absolute;left:0pt;margin-left:145.4pt;margin-top:271.2pt;height:27pt;width:71.3pt;z-index:251669504;mso-width-relative:page;mso-height-relative:page;" fillcolor="#FFFFFF" filled="t" stroked="t" coordsize="21600,21600" o:gfxdata="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244l22wAAAAsBAAAPAAAAAAAAAAEAIAAAACIAAABkcnMvZG93bnJldi54bWxQSwECFAAUAAAA&#10;CACHTuJAlSFfWl0CAADEBAAADgAAAAAAAAABACAAAAAqAQAAZHJzL2Uyb0RvYy54bWxQSwUGAAAA&#10;AAYABgBZAQAA+QUAAAAA&#10;" adj="-14904,-7079">
                <v:fill on="t" focussize="0,0"/>
                <v:stroke color="#000000" joinstyle="miter"/>
                <v:imagedata o:title=""/>
                <o:lock v:ext="edit" aspectratio="f"/>
                <v:textbox>
                  <w:txbxContent>
                    <w:p w14:paraId="1B6DD766">
                      <w:pPr>
                        <w:jc w:val="center"/>
                        <w:rPr>
                          <w:rFonts w:hint="eastAsia"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cs="Times New Roman"/>
          <w:b/>
          <w:color w:val="auto"/>
          <w:sz w:val="24"/>
          <w:highlight w:val="none"/>
        </w:rPr>
        <w:drawing>
          <wp:inline distT="0" distB="0" distL="114300" distR="114300">
            <wp:extent cx="5273040" cy="7037705"/>
            <wp:effectExtent l="0" t="0" r="3810" b="10795"/>
            <wp:docPr id="71" name="图片 425" descr="0b55b319ebc4b745c635f346c8fc1e178a82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25" descr="0b55b319ebc4b745c635f346c8fc1e178a821538"/>
                    <pic:cNvPicPr>
                      <a:picLocks noChangeAspect="1"/>
                    </pic:cNvPicPr>
                  </pic:nvPicPr>
                  <pic:blipFill>
                    <a:blip r:embed="rId21"/>
                    <a:stretch>
                      <a:fillRect/>
                    </a:stretch>
                  </pic:blipFill>
                  <pic:spPr>
                    <a:xfrm>
                      <a:off x="0" y="0"/>
                      <a:ext cx="5273040" cy="7037705"/>
                    </a:xfrm>
                    <a:prstGeom prst="rect">
                      <a:avLst/>
                    </a:prstGeom>
                    <a:noFill/>
                    <a:ln>
                      <a:noFill/>
                    </a:ln>
                  </pic:spPr>
                </pic:pic>
              </a:graphicData>
            </a:graphic>
          </wp:inline>
        </w:drawing>
      </w:r>
    </w:p>
    <w:p w14:paraId="32E915BB">
      <w:pPr>
        <w:ind w:firstLine="0"/>
        <w:jc w:val="left"/>
        <w:outlineLvl w:val="9"/>
        <w:rPr>
          <w:rFonts w:hint="default" w:ascii="Times New Roman" w:hAnsi="Times New Roman" w:cs="Times New Roman"/>
          <w:highlight w:val="none"/>
        </w:rPr>
      </w:pPr>
      <w:bookmarkStart w:id="58" w:name="_Toc82120803"/>
    </w:p>
    <w:bookmarkEnd w:id="58"/>
    <w:p w14:paraId="23284CFD">
      <w:pPr>
        <w:pStyle w:val="3"/>
        <w:bidi w:val="0"/>
        <w:jc w:val="center"/>
        <w:rPr>
          <w:rFonts w:hint="default" w:ascii="Times New Roman" w:hAnsi="Times New Roman" w:cs="Times New Roman"/>
          <w:b/>
          <w:bCs/>
          <w:szCs w:val="21"/>
          <w:highlight w:val="none"/>
        </w:rPr>
        <w:sectPr>
          <w:pgSz w:w="11906" w:h="16838"/>
          <w:pgMar w:top="1440" w:right="1800" w:bottom="1440" w:left="1800" w:header="851" w:footer="1077" w:gutter="0"/>
          <w:cols w:space="720" w:num="1"/>
          <w:docGrid w:linePitch="312" w:charSpace="0"/>
        </w:sectPr>
      </w:pPr>
      <w:bookmarkStart w:id="59" w:name="_Toc32368"/>
      <w:r>
        <w:rPr>
          <w:rFonts w:hint="default" w:ascii="Times New Roman" w:hAnsi="Times New Roman" w:cs="Times New Roman"/>
          <w:sz w:val="21"/>
          <w:szCs w:val="21"/>
          <w:highlight w:val="none"/>
        </w:rPr>
        <w:t>附图1</w:t>
      </w:r>
      <w:r>
        <w:rPr>
          <w:rFonts w:hint="default" w:ascii="Times New Roman" w:hAnsi="Times New Roman" w:cs="Times New Roman"/>
          <w:sz w:val="21"/>
          <w:szCs w:val="21"/>
          <w:highlight w:val="none"/>
          <w:lang w:val="en-US" w:eastAsia="zh-CN"/>
        </w:rPr>
        <w:t xml:space="preserve">  </w:t>
      </w:r>
      <w:r>
        <w:rPr>
          <w:rFonts w:hint="default" w:ascii="Times New Roman" w:hAnsi="Times New Roman" w:cs="Times New Roman"/>
          <w:sz w:val="21"/>
          <w:szCs w:val="21"/>
          <w:highlight w:val="none"/>
        </w:rPr>
        <w:t>地理位置示意图</w:t>
      </w:r>
      <w:bookmarkEnd w:id="59"/>
    </w:p>
    <w:p w14:paraId="3762DCFE">
      <w:pPr>
        <w:jc w:val="center"/>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671552" behindDoc="0" locked="0" layoutInCell="1" allowOverlap="1">
            <wp:simplePos x="0" y="0"/>
            <wp:positionH relativeFrom="column">
              <wp:posOffset>952500</wp:posOffset>
            </wp:positionH>
            <wp:positionV relativeFrom="paragraph">
              <wp:posOffset>572135</wp:posOffset>
            </wp:positionV>
            <wp:extent cx="568325" cy="603250"/>
            <wp:effectExtent l="0" t="0" r="3175" b="6350"/>
            <wp:wrapNone/>
            <wp:docPr id="13"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28"/>
                    <pic:cNvPicPr>
                      <a:picLocks noChangeAspect="1"/>
                    </pic:cNvPicPr>
                  </pic:nvPicPr>
                  <pic:blipFill>
                    <a:blip r:embed="rId20"/>
                    <a:stretch>
                      <a:fillRect/>
                    </a:stretch>
                  </pic:blipFill>
                  <pic:spPr>
                    <a:xfrm>
                      <a:off x="0" y="0"/>
                      <a:ext cx="568325" cy="60325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8394065" cy="4956175"/>
            <wp:effectExtent l="0" t="0" r="6985" b="15875"/>
            <wp:docPr id="72"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78"/>
                    <pic:cNvPicPr>
                      <a:picLocks noChangeAspect="1"/>
                    </pic:cNvPicPr>
                  </pic:nvPicPr>
                  <pic:blipFill>
                    <a:blip r:embed="rId22"/>
                    <a:stretch>
                      <a:fillRect/>
                    </a:stretch>
                  </pic:blipFill>
                  <pic:spPr>
                    <a:xfrm>
                      <a:off x="0" y="0"/>
                      <a:ext cx="8394065" cy="4956175"/>
                    </a:xfrm>
                    <a:prstGeom prst="rect">
                      <a:avLst/>
                    </a:prstGeom>
                    <a:noFill/>
                    <a:ln>
                      <a:noFill/>
                    </a:ln>
                  </pic:spPr>
                </pic:pic>
              </a:graphicData>
            </a:graphic>
          </wp:inline>
        </w:drawing>
      </w:r>
      <w:r>
        <w:rPr>
          <w:rStyle w:val="36"/>
          <w:rFonts w:hint="default" w:ascii="Times New Roman" w:hAnsi="Times New Roman" w:cs="Times New Roman"/>
          <w:highlight w:val="none"/>
        </w:rPr>
        <w:t>附图2</w:t>
      </w:r>
      <w:r>
        <w:rPr>
          <w:rStyle w:val="36"/>
          <w:rFonts w:hint="default" w:ascii="Times New Roman" w:hAnsi="Times New Roman" w:cs="Times New Roman"/>
          <w:highlight w:val="none"/>
          <w:lang w:val="en-US" w:eastAsia="zh-CN"/>
        </w:rPr>
        <w:t xml:space="preserve">  </w:t>
      </w:r>
      <w:r>
        <w:rPr>
          <w:rStyle w:val="36"/>
          <w:rFonts w:hint="default" w:ascii="Times New Roman" w:hAnsi="Times New Roman" w:cs="Times New Roman"/>
          <w:highlight w:val="none"/>
        </w:rPr>
        <w:t>平面布置图</w:t>
      </w:r>
    </w:p>
    <w:p w14:paraId="2DB642C5">
      <w:pPr>
        <w:bidi w:val="0"/>
        <w:rPr>
          <w:rFonts w:hint="default" w:ascii="Times New Roman" w:hAnsi="Times New Roman" w:cs="Times New Roman"/>
          <w:highlight w:val="none"/>
        </w:rPr>
      </w:pPr>
    </w:p>
    <w:p w14:paraId="2D907286">
      <w:pPr>
        <w:jc w:val="center"/>
        <w:rPr>
          <w:rFonts w:hint="default" w:ascii="Times New Roman" w:hAnsi="Times New Roman" w:eastAsia="宋体" w:cs="Times New Roman"/>
          <w:b/>
          <w:color w:val="auto"/>
          <w:sz w:val="28"/>
          <w:szCs w:val="28"/>
          <w:highlight w:val="none"/>
          <w:lang w:eastAsia="zh-CN"/>
        </w:rPr>
      </w:pPr>
      <w:r>
        <w:rPr>
          <w:rFonts w:hint="default" w:ascii="Times New Roman" w:hAnsi="Times New Roman" w:cs="Times New Roman"/>
          <w:sz w:val="21"/>
          <w:highlight w:val="none"/>
        </w:rPr>
        <mc:AlternateContent>
          <mc:Choice Requires="wps">
            <w:drawing>
              <wp:anchor distT="0" distB="0" distL="114300" distR="114300" simplePos="0" relativeHeight="251711488" behindDoc="0" locked="0" layoutInCell="1" allowOverlap="1">
                <wp:simplePos x="0" y="0"/>
                <wp:positionH relativeFrom="column">
                  <wp:posOffset>6504940</wp:posOffset>
                </wp:positionH>
                <wp:positionV relativeFrom="paragraph">
                  <wp:posOffset>1693545</wp:posOffset>
                </wp:positionV>
                <wp:extent cx="714375" cy="285750"/>
                <wp:effectExtent l="4445" t="454660" r="5080" b="21590"/>
                <wp:wrapNone/>
                <wp:docPr id="24" name="矩形标注 24"/>
                <wp:cNvGraphicFramePr/>
                <a:graphic xmlns:a="http://schemas.openxmlformats.org/drawingml/2006/main">
                  <a:graphicData uri="http://schemas.microsoft.com/office/word/2010/wordprocessingShape">
                    <wps:wsp>
                      <wps:cNvSpPr/>
                      <wps:spPr>
                        <a:xfrm>
                          <a:off x="7647940" y="2607945"/>
                          <a:ext cx="714375" cy="285750"/>
                        </a:xfrm>
                        <a:prstGeom prst="wedgeRectCallout">
                          <a:avLst>
                            <a:gd name="adj1" fmla="val 40488"/>
                            <a:gd name="adj2" fmla="val -207555"/>
                          </a:avLst>
                        </a:prstGeom>
                        <a:noFill/>
                        <a:ln w="635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33506FA">
                            <w:pPr>
                              <w:jc w:val="center"/>
                              <w:rPr>
                                <w:rFonts w:hint="eastAsia" w:eastAsia="宋体"/>
                                <w:b/>
                                <w:bCs/>
                                <w:color w:val="0070C0"/>
                                <w:sz w:val="20"/>
                                <w:szCs w:val="22"/>
                                <w:lang w:val="en-US" w:eastAsia="zh-CN"/>
                              </w:rPr>
                            </w:pPr>
                            <w:r>
                              <w:rPr>
                                <w:rFonts w:hint="eastAsia"/>
                                <w:b/>
                                <w:bCs/>
                                <w:color w:val="0070C0"/>
                                <w:sz w:val="20"/>
                                <w:szCs w:val="22"/>
                                <w:lang w:val="en-US" w:eastAsia="zh-CN"/>
                              </w:rPr>
                              <w:t>取土场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12.2pt;margin-top:133.35pt;height:22.5pt;width:56.25pt;z-index:251711488;v-text-anchor:middle;mso-width-relative:page;mso-height-relative:page;" filled="f" stroked="t" coordsize="21600,21600" o:gfxdata="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XFxtrcAAAADQEAAA8AAAAAAAAAAQAgAAAAIgAAAGRycy9k&#10;b3ducmV2LnhtbFBLAQIUABQAAAAIAIdO4kCKNDQRqQIAADAFAAAOAAAAAAAAAAEAIAAAACsBAABk&#10;cnMvZTJvRG9jLnhtbFBLBQYAAAAABgAGAFkBAABGBgAAAAA=&#10;" adj="19545,-34032">
                <v:fill on="f" focussize="0,0"/>
                <v:stroke weight="0.5pt" color="#00B0F0 [2404]" joinstyle="round"/>
                <v:imagedata o:title=""/>
                <o:lock v:ext="edit" aspectratio="f"/>
                <v:textbox>
                  <w:txbxContent>
                    <w:p w14:paraId="633506FA">
                      <w:pPr>
                        <w:jc w:val="center"/>
                        <w:rPr>
                          <w:rFonts w:hint="eastAsia" w:eastAsia="宋体"/>
                          <w:b/>
                          <w:bCs/>
                          <w:color w:val="0070C0"/>
                          <w:sz w:val="20"/>
                          <w:szCs w:val="22"/>
                          <w:lang w:val="en-US" w:eastAsia="zh-CN"/>
                        </w:rPr>
                      </w:pPr>
                      <w:r>
                        <w:rPr>
                          <w:rFonts w:hint="eastAsia"/>
                          <w:b/>
                          <w:bCs/>
                          <w:color w:val="0070C0"/>
                          <w:sz w:val="20"/>
                          <w:szCs w:val="22"/>
                          <w:lang w:val="en-US" w:eastAsia="zh-CN"/>
                        </w:rPr>
                        <w:t>取土场</w:t>
                      </w:r>
                    </w:p>
                  </w:txbxContent>
                </v:textbox>
              </v:shape>
            </w:pict>
          </mc:Fallback>
        </mc:AlternateContent>
      </w:r>
      <w:r>
        <w:rPr>
          <w:rFonts w:hint="default" w:ascii="Times New Roman" w:hAnsi="Times New Roman" w:cs="Times New Roman"/>
          <w:highlight w:val="none"/>
        </w:rPr>
        <w:drawing>
          <wp:anchor distT="0" distB="0" distL="114300" distR="114300" simplePos="0" relativeHeight="251672576" behindDoc="0" locked="0" layoutInCell="1" allowOverlap="1">
            <wp:simplePos x="0" y="0"/>
            <wp:positionH relativeFrom="column">
              <wp:posOffset>1390650</wp:posOffset>
            </wp:positionH>
            <wp:positionV relativeFrom="paragraph">
              <wp:posOffset>695960</wp:posOffset>
            </wp:positionV>
            <wp:extent cx="520700" cy="552450"/>
            <wp:effectExtent l="0" t="0" r="12700" b="0"/>
            <wp:wrapNone/>
            <wp:docPr id="14"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9"/>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7288530" cy="5022215"/>
            <wp:effectExtent l="0" t="0" r="7620" b="6985"/>
            <wp:docPr id="73"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28"/>
                    <pic:cNvPicPr>
                      <a:picLocks noChangeAspect="1"/>
                    </pic:cNvPicPr>
                  </pic:nvPicPr>
                  <pic:blipFill>
                    <a:blip r:embed="rId23"/>
                    <a:stretch>
                      <a:fillRect/>
                    </a:stretch>
                  </pic:blipFill>
                  <pic:spPr>
                    <a:xfrm>
                      <a:off x="0" y="0"/>
                      <a:ext cx="7288530" cy="5022215"/>
                    </a:xfrm>
                    <a:prstGeom prst="rect">
                      <a:avLst/>
                    </a:prstGeom>
                    <a:noFill/>
                    <a:ln>
                      <a:noFill/>
                    </a:ln>
                  </pic:spPr>
                </pic:pic>
              </a:graphicData>
            </a:graphic>
          </wp:inline>
        </w:drawing>
      </w:r>
    </w:p>
    <w:p w14:paraId="5924788D">
      <w:pPr>
        <w:ind w:firstLine="482"/>
        <w:jc w:val="center"/>
        <w:outlineLvl w:val="1"/>
        <w:rPr>
          <w:rFonts w:hint="default" w:ascii="Times New Roman" w:hAnsi="Times New Roman" w:cs="Times New Roman"/>
          <w:b/>
          <w:color w:val="auto"/>
          <w:sz w:val="21"/>
          <w:szCs w:val="21"/>
          <w:highlight w:val="none"/>
        </w:rPr>
      </w:pPr>
      <w:bookmarkStart w:id="60" w:name="_Toc626"/>
      <w:r>
        <w:rPr>
          <w:rFonts w:hint="default" w:ascii="Times New Roman" w:hAnsi="Times New Roman" w:cs="Times New Roman"/>
          <w:b/>
          <w:bCs/>
          <w:sz w:val="21"/>
          <w:szCs w:val="21"/>
          <w:highlight w:val="none"/>
        </w:rPr>
        <w:t>附图</w:t>
      </w:r>
      <w:r>
        <w:rPr>
          <w:rFonts w:hint="default" w:ascii="Times New Roman" w:hAnsi="Times New Roman" w:cs="Times New Roman"/>
          <w:b/>
          <w:bCs/>
          <w:sz w:val="21"/>
          <w:szCs w:val="21"/>
          <w:highlight w:val="none"/>
          <w:lang w:val="en-US" w:eastAsia="zh-CN"/>
        </w:rPr>
        <w:t>3（1）  施工</w:t>
      </w:r>
      <w:r>
        <w:rPr>
          <w:rFonts w:hint="default" w:ascii="Times New Roman" w:hAnsi="Times New Roman" w:cs="Times New Roman"/>
          <w:b/>
          <w:bCs/>
          <w:sz w:val="21"/>
          <w:szCs w:val="21"/>
          <w:highlight w:val="none"/>
        </w:rPr>
        <w:t>平面布置图</w:t>
      </w:r>
      <w:bookmarkEnd w:id="60"/>
    </w:p>
    <w:p w14:paraId="3D0A7CC8">
      <w:pPr>
        <w:bidi w:val="0"/>
        <w:rPr>
          <w:rFonts w:hint="default" w:ascii="Times New Roman" w:hAnsi="Times New Roman" w:cs="Times New Roman"/>
          <w:highlight w:val="none"/>
        </w:rPr>
      </w:pPr>
    </w:p>
    <w:p w14:paraId="219E8886">
      <w:pPr>
        <w:bidi w:val="0"/>
        <w:rPr>
          <w:rFonts w:hint="default" w:ascii="Times New Roman" w:hAnsi="Times New Roman" w:cs="Times New Roman"/>
          <w:highlight w:val="none"/>
        </w:rPr>
      </w:pPr>
    </w:p>
    <w:p w14:paraId="7458AB87">
      <w:pPr>
        <w:bidi w:val="0"/>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673600" behindDoc="0" locked="0" layoutInCell="1" allowOverlap="1">
            <wp:simplePos x="0" y="0"/>
            <wp:positionH relativeFrom="column">
              <wp:posOffset>7362825</wp:posOffset>
            </wp:positionH>
            <wp:positionV relativeFrom="paragraph">
              <wp:posOffset>10160</wp:posOffset>
            </wp:positionV>
            <wp:extent cx="520700" cy="552450"/>
            <wp:effectExtent l="0" t="0" r="12700" b="0"/>
            <wp:wrapNone/>
            <wp:docPr id="15"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30"/>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anchor distT="0" distB="0" distL="114300" distR="114300" simplePos="0" relativeHeight="251675648" behindDoc="0" locked="0" layoutInCell="1" allowOverlap="1">
            <wp:simplePos x="0" y="0"/>
            <wp:positionH relativeFrom="column">
              <wp:posOffset>6845935</wp:posOffset>
            </wp:positionH>
            <wp:positionV relativeFrom="paragraph">
              <wp:posOffset>3314700</wp:posOffset>
            </wp:positionV>
            <wp:extent cx="1036320" cy="1258570"/>
            <wp:effectExtent l="0" t="0" r="11430" b="17780"/>
            <wp:wrapNone/>
            <wp:docPr id="17"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2"/>
                    <pic:cNvPicPr>
                      <a:picLocks noChangeAspect="1"/>
                    </pic:cNvPicPr>
                  </pic:nvPicPr>
                  <pic:blipFill>
                    <a:blip r:embed="rId24"/>
                    <a:stretch>
                      <a:fillRect/>
                    </a:stretch>
                  </pic:blipFill>
                  <pic:spPr>
                    <a:xfrm>
                      <a:off x="0" y="0"/>
                      <a:ext cx="1036320" cy="125857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7893050" cy="4597400"/>
            <wp:effectExtent l="0" t="0" r="12700" b="12700"/>
            <wp:docPr id="74"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92"/>
                    <pic:cNvPicPr>
                      <a:picLocks noChangeAspect="1"/>
                    </pic:cNvPicPr>
                  </pic:nvPicPr>
                  <pic:blipFill>
                    <a:blip r:embed="rId25"/>
                    <a:stretch>
                      <a:fillRect/>
                    </a:stretch>
                  </pic:blipFill>
                  <pic:spPr>
                    <a:xfrm>
                      <a:off x="0" y="0"/>
                      <a:ext cx="7893050" cy="4597400"/>
                    </a:xfrm>
                    <a:prstGeom prst="rect">
                      <a:avLst/>
                    </a:prstGeom>
                    <a:noFill/>
                    <a:ln>
                      <a:noFill/>
                    </a:ln>
                  </pic:spPr>
                </pic:pic>
              </a:graphicData>
            </a:graphic>
          </wp:inline>
        </w:drawing>
      </w:r>
    </w:p>
    <w:p w14:paraId="4D9CD5D4">
      <w:pPr>
        <w:pStyle w:val="3"/>
        <w:bidi w:val="0"/>
        <w:rPr>
          <w:rFonts w:hint="default" w:ascii="Times New Roman" w:hAnsi="Times New Roman" w:cs="Times New Roman"/>
          <w:highlight w:val="none"/>
          <w:lang w:eastAsia="zh-CN"/>
        </w:rPr>
      </w:pPr>
      <w:bookmarkStart w:id="61" w:name="_Toc24432"/>
      <w:r>
        <w:rPr>
          <w:rFonts w:hint="default" w:ascii="Times New Roman" w:hAnsi="Times New Roman" w:cs="Times New Roman"/>
          <w:highlight w:val="none"/>
        </w:rPr>
        <w:t>附图</w:t>
      </w:r>
      <w:r>
        <w:rPr>
          <w:rFonts w:hint="default" w:ascii="Times New Roman" w:hAnsi="Times New Roman" w:cs="Times New Roman"/>
          <w:highlight w:val="none"/>
          <w:lang w:val="en-US" w:eastAsia="zh-CN"/>
        </w:rPr>
        <w:t>3（2）  施工</w:t>
      </w:r>
      <w:r>
        <w:rPr>
          <w:rFonts w:hint="default" w:ascii="Times New Roman" w:hAnsi="Times New Roman" w:cs="Times New Roman"/>
          <w:highlight w:val="none"/>
        </w:rPr>
        <w:t>平面布置图</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放大</w:t>
      </w:r>
      <w:r>
        <w:rPr>
          <w:rFonts w:hint="default" w:ascii="Times New Roman" w:hAnsi="Times New Roman" w:cs="Times New Roman"/>
          <w:highlight w:val="none"/>
          <w:lang w:eastAsia="zh-CN"/>
        </w:rPr>
        <w:t>）</w:t>
      </w:r>
      <w:bookmarkEnd w:id="61"/>
    </w:p>
    <w:p w14:paraId="3F91CE19">
      <w:pPr>
        <w:bidi w:val="0"/>
        <w:rPr>
          <w:rFonts w:hint="default" w:ascii="Times New Roman" w:hAnsi="Times New Roman" w:cs="Times New Roman"/>
          <w:highlight w:val="none"/>
          <w:lang w:eastAsia="zh-CN"/>
        </w:rPr>
      </w:pPr>
    </w:p>
    <w:p w14:paraId="74D09013">
      <w:pPr>
        <w:bidi w:val="0"/>
        <w:jc w:val="center"/>
        <w:rPr>
          <w:rFonts w:hint="default" w:ascii="Times New Roman" w:hAnsi="Times New Roman" w:cs="Times New Roman"/>
          <w:highlight w:val="none"/>
        </w:rPr>
      </w:pPr>
      <w:r>
        <w:rPr>
          <w:rFonts w:hint="default" w:ascii="Times New Roman" w:hAnsi="Times New Roman" w:cs="Times New Roman"/>
          <w:sz w:val="21"/>
          <w:highlight w:val="none"/>
        </w:rPr>
        <mc:AlternateContent>
          <mc:Choice Requires="wps">
            <w:drawing>
              <wp:anchor distT="0" distB="0" distL="114300" distR="114300" simplePos="0" relativeHeight="251712512" behindDoc="0" locked="0" layoutInCell="1" allowOverlap="1">
                <wp:simplePos x="0" y="0"/>
                <wp:positionH relativeFrom="column">
                  <wp:posOffset>6476365</wp:posOffset>
                </wp:positionH>
                <wp:positionV relativeFrom="paragraph">
                  <wp:posOffset>1922145</wp:posOffset>
                </wp:positionV>
                <wp:extent cx="714375" cy="285750"/>
                <wp:effectExtent l="4445" t="454660" r="5080" b="21590"/>
                <wp:wrapNone/>
                <wp:docPr id="26" name="矩形标注 26"/>
                <wp:cNvGraphicFramePr/>
                <a:graphic xmlns:a="http://schemas.openxmlformats.org/drawingml/2006/main">
                  <a:graphicData uri="http://schemas.microsoft.com/office/word/2010/wordprocessingShape">
                    <wps:wsp>
                      <wps:cNvSpPr/>
                      <wps:spPr>
                        <a:xfrm>
                          <a:off x="0" y="0"/>
                          <a:ext cx="714375" cy="285750"/>
                        </a:xfrm>
                        <a:prstGeom prst="wedgeRectCallout">
                          <a:avLst>
                            <a:gd name="adj1" fmla="val 40488"/>
                            <a:gd name="adj2" fmla="val -207555"/>
                          </a:avLst>
                        </a:prstGeom>
                        <a:noFill/>
                        <a:ln w="635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163F766">
                            <w:pPr>
                              <w:jc w:val="center"/>
                              <w:rPr>
                                <w:rFonts w:hint="eastAsia" w:eastAsia="宋体"/>
                                <w:b/>
                                <w:bCs/>
                                <w:color w:val="0070C0"/>
                                <w:sz w:val="20"/>
                                <w:szCs w:val="22"/>
                                <w:lang w:val="en-US" w:eastAsia="zh-CN"/>
                              </w:rPr>
                            </w:pPr>
                            <w:r>
                              <w:rPr>
                                <w:rFonts w:hint="eastAsia"/>
                                <w:b/>
                                <w:bCs/>
                                <w:color w:val="0070C0"/>
                                <w:sz w:val="20"/>
                                <w:szCs w:val="22"/>
                                <w:lang w:val="en-US" w:eastAsia="zh-CN"/>
                              </w:rPr>
                              <w:t>取土场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9.95pt;margin-top:151.35pt;height:22.5pt;width:56.25pt;z-index:251712512;v-text-anchor:middle;mso-width-relative:page;mso-height-relative:page;" filled="f" stroked="t" coordsize="21600,21600" o:gfxdata="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ErqJj9wAAAANAQAADwAAAAAAAAABACAAAAAiAAAAZHJzL2Rvd25yZXYueG1s&#10;UEsBAhQAFAAAAAgAh07iQEqlhYCfAgAAJAUAAA4AAAAAAAAAAQAgAAAAKwEAAGRycy9lMm9Eb2Mu&#10;eG1sUEsFBgAAAAAGAAYAWQEAADwGAAAAAA==&#10;" adj="19545,-34032">
                <v:fill on="f" focussize="0,0"/>
                <v:stroke weight="0.5pt" color="#00B0F0 [2404]" joinstyle="round"/>
                <v:imagedata o:title=""/>
                <o:lock v:ext="edit" aspectratio="f"/>
                <v:textbox>
                  <w:txbxContent>
                    <w:p w14:paraId="4163F766">
                      <w:pPr>
                        <w:jc w:val="center"/>
                        <w:rPr>
                          <w:rFonts w:hint="eastAsia" w:eastAsia="宋体"/>
                          <w:b/>
                          <w:bCs/>
                          <w:color w:val="0070C0"/>
                          <w:sz w:val="20"/>
                          <w:szCs w:val="22"/>
                          <w:lang w:val="en-US" w:eastAsia="zh-CN"/>
                        </w:rPr>
                      </w:pPr>
                      <w:r>
                        <w:rPr>
                          <w:rFonts w:hint="eastAsia"/>
                          <w:b/>
                          <w:bCs/>
                          <w:color w:val="0070C0"/>
                          <w:sz w:val="20"/>
                          <w:szCs w:val="22"/>
                          <w:lang w:val="en-US" w:eastAsia="zh-CN"/>
                        </w:rPr>
                        <w:t>取土场</w:t>
                      </w:r>
                    </w:p>
                  </w:txbxContent>
                </v:textbox>
              </v:shape>
            </w:pict>
          </mc:Fallback>
        </mc:AlternateContent>
      </w:r>
      <w:r>
        <w:rPr>
          <w:rFonts w:hint="default" w:ascii="Times New Roman" w:hAnsi="Times New Roman" w:cs="Times New Roman"/>
          <w:highlight w:val="none"/>
        </w:rPr>
        <w:drawing>
          <wp:anchor distT="0" distB="0" distL="114300" distR="114300" simplePos="0" relativeHeight="251674624" behindDoc="0" locked="0" layoutInCell="1" allowOverlap="1">
            <wp:simplePos x="0" y="0"/>
            <wp:positionH relativeFrom="column">
              <wp:posOffset>7515225</wp:posOffset>
            </wp:positionH>
            <wp:positionV relativeFrom="paragraph">
              <wp:posOffset>635</wp:posOffset>
            </wp:positionV>
            <wp:extent cx="520700" cy="552450"/>
            <wp:effectExtent l="0" t="0" r="12700" b="0"/>
            <wp:wrapNone/>
            <wp:docPr id="16"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31"/>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anchor distT="0" distB="0" distL="114300" distR="114300" simplePos="0" relativeHeight="251676672" behindDoc="0" locked="0" layoutInCell="1" allowOverlap="1">
            <wp:simplePos x="0" y="0"/>
            <wp:positionH relativeFrom="column">
              <wp:posOffset>7026910</wp:posOffset>
            </wp:positionH>
            <wp:positionV relativeFrom="paragraph">
              <wp:posOffset>3019425</wp:posOffset>
            </wp:positionV>
            <wp:extent cx="1036320" cy="1258570"/>
            <wp:effectExtent l="0" t="0" r="11430" b="17780"/>
            <wp:wrapNone/>
            <wp:docPr id="18"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3"/>
                    <pic:cNvPicPr>
                      <a:picLocks noChangeAspect="1"/>
                    </pic:cNvPicPr>
                  </pic:nvPicPr>
                  <pic:blipFill>
                    <a:blip r:embed="rId24"/>
                    <a:stretch>
                      <a:fillRect/>
                    </a:stretch>
                  </pic:blipFill>
                  <pic:spPr>
                    <a:xfrm>
                      <a:off x="0" y="0"/>
                      <a:ext cx="1036320" cy="125857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7695565" cy="4282440"/>
            <wp:effectExtent l="0" t="0" r="635" b="3810"/>
            <wp:docPr id="75"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41"/>
                    <pic:cNvPicPr>
                      <a:picLocks noChangeAspect="1"/>
                    </pic:cNvPicPr>
                  </pic:nvPicPr>
                  <pic:blipFill>
                    <a:blip r:embed="rId26"/>
                    <a:stretch>
                      <a:fillRect/>
                    </a:stretch>
                  </pic:blipFill>
                  <pic:spPr>
                    <a:xfrm>
                      <a:off x="0" y="0"/>
                      <a:ext cx="7695565" cy="4282440"/>
                    </a:xfrm>
                    <a:prstGeom prst="rect">
                      <a:avLst/>
                    </a:prstGeom>
                    <a:noFill/>
                    <a:ln>
                      <a:noFill/>
                    </a:ln>
                  </pic:spPr>
                </pic:pic>
              </a:graphicData>
            </a:graphic>
          </wp:inline>
        </w:drawing>
      </w:r>
    </w:p>
    <w:p w14:paraId="1D8A4265">
      <w:pPr>
        <w:pStyle w:val="3"/>
        <w:bidi w:val="0"/>
        <w:rPr>
          <w:rFonts w:hint="default" w:ascii="Times New Roman" w:hAnsi="Times New Roman" w:cs="Times New Roman"/>
          <w:highlight w:val="none"/>
          <w:lang w:eastAsia="zh-CN"/>
        </w:rPr>
      </w:pPr>
      <w:bookmarkStart w:id="62" w:name="_Toc29594"/>
      <w:r>
        <w:rPr>
          <w:rFonts w:hint="default" w:ascii="Times New Roman" w:hAnsi="Times New Roman" w:cs="Times New Roman"/>
          <w:highlight w:val="none"/>
        </w:rPr>
        <w:t>附图</w:t>
      </w:r>
      <w:r>
        <w:rPr>
          <w:rFonts w:hint="default" w:ascii="Times New Roman" w:hAnsi="Times New Roman" w:cs="Times New Roman"/>
          <w:highlight w:val="none"/>
          <w:lang w:val="en-US" w:eastAsia="zh-CN"/>
        </w:rPr>
        <w:t>3（3）  施工</w:t>
      </w:r>
      <w:r>
        <w:rPr>
          <w:rFonts w:hint="default" w:ascii="Times New Roman" w:hAnsi="Times New Roman" w:cs="Times New Roman"/>
          <w:highlight w:val="none"/>
        </w:rPr>
        <w:t>平面布置图</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放大</w:t>
      </w:r>
      <w:r>
        <w:rPr>
          <w:rFonts w:hint="default" w:ascii="Times New Roman" w:hAnsi="Times New Roman" w:cs="Times New Roman"/>
          <w:highlight w:val="none"/>
          <w:lang w:eastAsia="zh-CN"/>
        </w:rPr>
        <w:t>）</w:t>
      </w:r>
      <w:bookmarkEnd w:id="62"/>
    </w:p>
    <w:p w14:paraId="5A5AA755">
      <w:pPr>
        <w:ind w:firstLine="482"/>
        <w:jc w:val="center"/>
        <w:outlineLvl w:val="1"/>
        <w:rPr>
          <w:rFonts w:hint="default" w:ascii="Times New Roman" w:hAnsi="Times New Roman" w:cs="Times New Roman"/>
          <w:highlight w:val="none"/>
          <w:lang w:eastAsia="zh-CN"/>
        </w:rPr>
        <w:sectPr>
          <w:pgSz w:w="16838" w:h="11906" w:orient="landscape"/>
          <w:pgMar w:top="1440" w:right="1800" w:bottom="1440" w:left="1800" w:header="851" w:footer="1077" w:gutter="0"/>
          <w:cols w:space="720" w:num="1"/>
          <w:docGrid w:linePitch="312" w:charSpace="0"/>
        </w:sectPr>
      </w:pPr>
    </w:p>
    <w:p w14:paraId="1EF425BD">
      <w:pPr>
        <w:pStyle w:val="24"/>
        <w:ind w:left="0" w:leftChars="0" w:firstLine="0" w:firstLineChars="0"/>
        <w:jc w:val="both"/>
        <w:rPr>
          <w:rFonts w:hint="default" w:ascii="Times New Roman" w:hAnsi="Times New Roman" w:eastAsia="宋体" w:cs="Times New Roman"/>
          <w:color w:val="auto"/>
          <w:highlight w:val="none"/>
          <w:lang w:eastAsia="zh-CN"/>
        </w:rPr>
      </w:pPr>
      <w:r>
        <w:rPr>
          <w:rFonts w:hint="default" w:ascii="Times New Roman" w:hAnsi="Times New Roman" w:cs="Times New Roman"/>
          <w:sz w:val="24"/>
          <w:highlight w:val="none"/>
        </w:rPr>
        <w:drawing>
          <wp:inline distT="0" distB="0" distL="114300" distR="114300">
            <wp:extent cx="5495925" cy="5436235"/>
            <wp:effectExtent l="0" t="0" r="9525" b="12065"/>
            <wp:docPr id="76" name="图片 439" descr="290f0c26-6a16-42be-9cb8-8664cf4256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39" descr="290f0c26-6a16-42be-9cb8-8664cf42566e"/>
                    <pic:cNvPicPr>
                      <a:picLocks noChangeAspect="1"/>
                    </pic:cNvPicPr>
                  </pic:nvPicPr>
                  <pic:blipFill>
                    <a:blip r:embed="rId27"/>
                    <a:stretch>
                      <a:fillRect/>
                    </a:stretch>
                  </pic:blipFill>
                  <pic:spPr>
                    <a:xfrm>
                      <a:off x="0" y="0"/>
                      <a:ext cx="5495925" cy="5436235"/>
                    </a:xfrm>
                    <a:prstGeom prst="rect">
                      <a:avLst/>
                    </a:prstGeom>
                    <a:noFill/>
                    <a:ln>
                      <a:noFill/>
                    </a:ln>
                  </pic:spPr>
                </pic:pic>
              </a:graphicData>
            </a:graphic>
          </wp:inline>
        </w:drawing>
      </w:r>
    </w:p>
    <w:p w14:paraId="2456440B">
      <w:pPr>
        <w:pStyle w:val="3"/>
        <w:bidi w:val="0"/>
        <w:rPr>
          <w:rFonts w:hint="default" w:ascii="Times New Roman" w:hAnsi="Times New Roman" w:cs="Times New Roman"/>
          <w:highlight w:val="none"/>
          <w:lang w:val="en-US" w:eastAsia="zh-CN"/>
        </w:rPr>
        <w:sectPr>
          <w:pgSz w:w="11906" w:h="16838"/>
          <w:pgMar w:top="1440" w:right="1800" w:bottom="1440" w:left="1800" w:header="851" w:footer="1077" w:gutter="0"/>
          <w:cols w:space="720" w:num="1"/>
          <w:docGrid w:linePitch="312" w:charSpace="0"/>
        </w:sectPr>
      </w:pPr>
      <w:bookmarkStart w:id="63" w:name="_Toc17180"/>
      <w:r>
        <w:rPr>
          <w:rFonts w:hint="default" w:ascii="Times New Roman" w:hAnsi="Times New Roman" w:cs="Times New Roman"/>
          <w:highlight w:val="none"/>
        </w:rPr>
        <w:t>附图</w:t>
      </w:r>
      <w:r>
        <w:rPr>
          <w:rFonts w:hint="default" w:ascii="Times New Roman" w:hAnsi="Times New Roman" w:cs="Times New Roman"/>
          <w:highlight w:val="none"/>
          <w:lang w:val="en-US" w:eastAsia="zh-CN"/>
        </w:rPr>
        <w:t>4  施工生产生活区</w:t>
      </w:r>
      <w:bookmarkEnd w:id="63"/>
    </w:p>
    <w:p w14:paraId="3C7FF6A2">
      <w:pPr>
        <w:pStyle w:val="89"/>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highlight w:val="none"/>
        </w:rPr>
        <w:drawing>
          <wp:anchor distT="0" distB="0" distL="114300" distR="114300" simplePos="0" relativeHeight="251680768" behindDoc="0" locked="0" layoutInCell="1" allowOverlap="1">
            <wp:simplePos x="0" y="0"/>
            <wp:positionH relativeFrom="column">
              <wp:posOffset>9525</wp:posOffset>
            </wp:positionH>
            <wp:positionV relativeFrom="paragraph">
              <wp:posOffset>29210</wp:posOffset>
            </wp:positionV>
            <wp:extent cx="520700" cy="552450"/>
            <wp:effectExtent l="0" t="0" r="12700" b="0"/>
            <wp:wrapNone/>
            <wp:docPr id="40"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9"/>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8366125" cy="4573905"/>
            <wp:effectExtent l="0" t="0" r="15875" b="17145"/>
            <wp:docPr id="77"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44"/>
                    <pic:cNvPicPr>
                      <a:picLocks noChangeAspect="1"/>
                    </pic:cNvPicPr>
                  </pic:nvPicPr>
                  <pic:blipFill>
                    <a:blip r:embed="rId28"/>
                    <a:srcRect b="19397"/>
                    <a:stretch>
                      <a:fillRect/>
                    </a:stretch>
                  </pic:blipFill>
                  <pic:spPr>
                    <a:xfrm>
                      <a:off x="0" y="0"/>
                      <a:ext cx="8366125" cy="4573905"/>
                    </a:xfrm>
                    <a:prstGeom prst="rect">
                      <a:avLst/>
                    </a:prstGeom>
                    <a:noFill/>
                    <a:ln>
                      <a:noFill/>
                    </a:ln>
                  </pic:spPr>
                </pic:pic>
              </a:graphicData>
            </a:graphic>
          </wp:inline>
        </w:drawing>
      </w:r>
      <w:r>
        <w:rPr>
          <w:rFonts w:hint="default" w:ascii="Times New Roman" w:hAnsi="Times New Roman" w:cs="Times New Roman"/>
          <w:highlight w:val="none"/>
        </w:rPr>
        <w:drawing>
          <wp:anchor distT="0" distB="0" distL="114300" distR="114300" simplePos="0" relativeHeight="251686912" behindDoc="0" locked="0" layoutInCell="1" allowOverlap="1">
            <wp:simplePos x="0" y="0"/>
            <wp:positionH relativeFrom="column">
              <wp:posOffset>7560310</wp:posOffset>
            </wp:positionH>
            <wp:positionV relativeFrom="paragraph">
              <wp:posOffset>4335780</wp:posOffset>
            </wp:positionV>
            <wp:extent cx="706755" cy="123190"/>
            <wp:effectExtent l="0" t="0" r="17145" b="10160"/>
            <wp:wrapNone/>
            <wp:docPr id="46"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65"/>
                    <pic:cNvPicPr>
                      <a:picLocks noChangeAspect="1"/>
                    </pic:cNvPicPr>
                  </pic:nvPicPr>
                  <pic:blipFill>
                    <a:blip r:embed="rId29"/>
                    <a:stretch>
                      <a:fillRect/>
                    </a:stretch>
                  </pic:blipFill>
                  <pic:spPr>
                    <a:xfrm>
                      <a:off x="0" y="0"/>
                      <a:ext cx="706755" cy="123190"/>
                    </a:xfrm>
                    <a:prstGeom prst="rect">
                      <a:avLst/>
                    </a:prstGeom>
                    <a:noFill/>
                    <a:ln>
                      <a:noFill/>
                    </a:ln>
                  </pic:spPr>
                </pic:pic>
              </a:graphicData>
            </a:graphic>
          </wp:anchor>
        </w:drawing>
      </w:r>
    </w:p>
    <w:p w14:paraId="32B20E95">
      <w:pPr>
        <w:pStyle w:val="3"/>
        <w:bidi w:val="0"/>
        <w:rPr>
          <w:rFonts w:hint="default" w:ascii="Times New Roman" w:hAnsi="Times New Roman" w:cs="Times New Roman"/>
          <w:b/>
          <w:bCs/>
          <w:szCs w:val="21"/>
          <w:highlight w:val="none"/>
          <w:lang w:val="en-US" w:eastAsia="zh-CN"/>
        </w:rPr>
      </w:pPr>
      <w:bookmarkStart w:id="64" w:name="_Toc18497"/>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5（1）  1号堤防排水分区布置图</w:t>
      </w:r>
      <w:bookmarkEnd w:id="64"/>
    </w:p>
    <w:p w14:paraId="2C3C41DA">
      <w:pPr>
        <w:bidi w:val="0"/>
        <w:rPr>
          <w:rFonts w:hint="default" w:ascii="Times New Roman" w:hAnsi="Times New Roman" w:cs="Times New Roman"/>
          <w:highlight w:val="none"/>
          <w:lang w:val="en-US" w:eastAsia="zh-CN"/>
        </w:rPr>
      </w:pPr>
    </w:p>
    <w:p w14:paraId="42846B07">
      <w:pPr>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drawing>
          <wp:anchor distT="0" distB="0" distL="114300" distR="114300" simplePos="0" relativeHeight="251685888" behindDoc="0" locked="0" layoutInCell="1" allowOverlap="1">
            <wp:simplePos x="0" y="0"/>
            <wp:positionH relativeFrom="column">
              <wp:posOffset>7350760</wp:posOffset>
            </wp:positionH>
            <wp:positionV relativeFrom="paragraph">
              <wp:posOffset>4364355</wp:posOffset>
            </wp:positionV>
            <wp:extent cx="706755" cy="123190"/>
            <wp:effectExtent l="0" t="0" r="17145" b="10160"/>
            <wp:wrapNone/>
            <wp:docPr id="45"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64"/>
                    <pic:cNvPicPr>
                      <a:picLocks noChangeAspect="1"/>
                    </pic:cNvPicPr>
                  </pic:nvPicPr>
                  <pic:blipFill>
                    <a:blip r:embed="rId29"/>
                    <a:stretch>
                      <a:fillRect/>
                    </a:stretch>
                  </pic:blipFill>
                  <pic:spPr>
                    <a:xfrm>
                      <a:off x="0" y="0"/>
                      <a:ext cx="706755" cy="123190"/>
                    </a:xfrm>
                    <a:prstGeom prst="rect">
                      <a:avLst/>
                    </a:prstGeom>
                    <a:noFill/>
                    <a:ln>
                      <a:noFill/>
                    </a:ln>
                  </pic:spPr>
                </pic:pic>
              </a:graphicData>
            </a:graphic>
          </wp:anchor>
        </w:drawing>
      </w:r>
      <w:r>
        <w:rPr>
          <w:rFonts w:hint="default" w:ascii="Times New Roman" w:hAnsi="Times New Roman" w:cs="Times New Roman"/>
          <w:highlight w:val="none"/>
        </w:rPr>
        <w:drawing>
          <wp:anchor distT="0" distB="0" distL="114300" distR="114300" simplePos="0" relativeHeight="251681792" behindDoc="0" locked="0" layoutInCell="1" allowOverlap="1">
            <wp:simplePos x="0" y="0"/>
            <wp:positionH relativeFrom="column">
              <wp:posOffset>428625</wp:posOffset>
            </wp:positionH>
            <wp:positionV relativeFrom="paragraph">
              <wp:posOffset>-27940</wp:posOffset>
            </wp:positionV>
            <wp:extent cx="520700" cy="552450"/>
            <wp:effectExtent l="0" t="0" r="12700" b="0"/>
            <wp:wrapNone/>
            <wp:docPr id="41"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60"/>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7858760" cy="4516755"/>
            <wp:effectExtent l="0" t="0" r="8890" b="17145"/>
            <wp:docPr id="78"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46"/>
                    <pic:cNvPicPr>
                      <a:picLocks noChangeAspect="1"/>
                    </pic:cNvPicPr>
                  </pic:nvPicPr>
                  <pic:blipFill>
                    <a:blip r:embed="rId30"/>
                    <a:stretch>
                      <a:fillRect/>
                    </a:stretch>
                  </pic:blipFill>
                  <pic:spPr>
                    <a:xfrm>
                      <a:off x="0" y="0"/>
                      <a:ext cx="7858760" cy="4516755"/>
                    </a:xfrm>
                    <a:prstGeom prst="rect">
                      <a:avLst/>
                    </a:prstGeom>
                    <a:noFill/>
                    <a:ln>
                      <a:noFill/>
                    </a:ln>
                  </pic:spPr>
                </pic:pic>
              </a:graphicData>
            </a:graphic>
          </wp:inline>
        </w:drawing>
      </w:r>
    </w:p>
    <w:p w14:paraId="5E5ACF4E">
      <w:pPr>
        <w:pStyle w:val="3"/>
        <w:bidi w:val="0"/>
        <w:rPr>
          <w:rFonts w:hint="default" w:ascii="Times New Roman" w:hAnsi="Times New Roman" w:cs="Times New Roman"/>
          <w:b/>
          <w:bCs/>
          <w:szCs w:val="21"/>
          <w:highlight w:val="none"/>
          <w:lang w:val="en-US" w:eastAsia="zh-CN"/>
        </w:rPr>
        <w:sectPr>
          <w:pgSz w:w="16838" w:h="11906" w:orient="landscape"/>
          <w:pgMar w:top="1440" w:right="1800" w:bottom="1440" w:left="1800" w:header="851" w:footer="1077" w:gutter="0"/>
          <w:cols w:space="720" w:num="1"/>
          <w:docGrid w:linePitch="312" w:charSpace="0"/>
        </w:sectPr>
      </w:pPr>
      <w:bookmarkStart w:id="65" w:name="_Toc22214"/>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5（2）  2号堤防排水分区布置图</w:t>
      </w:r>
      <w:bookmarkEnd w:id="65"/>
    </w:p>
    <w:p w14:paraId="70607E82">
      <w:pPr>
        <w:bidi w:val="0"/>
        <w:jc w:val="center"/>
        <w:rPr>
          <w:rFonts w:hint="default" w:ascii="Times New Roman" w:hAnsi="Times New Roman" w:cs="Times New Roman"/>
          <w:highlight w:val="none"/>
        </w:rPr>
      </w:pPr>
      <w:r>
        <w:rPr>
          <w:rFonts w:hint="default" w:ascii="Times New Roman" w:hAnsi="Times New Roman" w:eastAsia="宋体" w:cs="Times New Roman"/>
          <w:b/>
          <w:bCs/>
          <w:color w:val="000000"/>
          <w:kern w:val="44"/>
          <w:sz w:val="21"/>
          <w:szCs w:val="32"/>
          <w:highlight w:val="none"/>
          <w:lang w:val="en-US" w:eastAsia="zh-CN" w:bidi="ar-SA"/>
        </w:rPr>
        <w:t>附图5（3）  3号堤防排水分区布置图</w:t>
      </w:r>
      <w:r>
        <w:rPr>
          <w:rFonts w:hint="default" w:ascii="Times New Roman" w:hAnsi="Times New Roman" w:cs="Times New Roman"/>
          <w:highlight w:val="none"/>
        </w:rPr>
        <w:drawing>
          <wp:anchor distT="0" distB="0" distL="114300" distR="114300" simplePos="0" relativeHeight="251682816" behindDoc="0" locked="0" layoutInCell="1" allowOverlap="1">
            <wp:simplePos x="0" y="0"/>
            <wp:positionH relativeFrom="column">
              <wp:posOffset>7248525</wp:posOffset>
            </wp:positionH>
            <wp:positionV relativeFrom="paragraph">
              <wp:posOffset>-8890</wp:posOffset>
            </wp:positionV>
            <wp:extent cx="520700" cy="552450"/>
            <wp:effectExtent l="0" t="0" r="12700" b="0"/>
            <wp:wrapNone/>
            <wp:docPr id="42"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61"/>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anchor distT="0" distB="0" distL="114300" distR="114300" simplePos="0" relativeHeight="251687936" behindDoc="0" locked="0" layoutInCell="1" allowOverlap="1">
            <wp:simplePos x="0" y="0"/>
            <wp:positionH relativeFrom="column">
              <wp:posOffset>6541135</wp:posOffset>
            </wp:positionH>
            <wp:positionV relativeFrom="paragraph">
              <wp:posOffset>4402455</wp:posOffset>
            </wp:positionV>
            <wp:extent cx="706755" cy="123190"/>
            <wp:effectExtent l="0" t="0" r="17145" b="10160"/>
            <wp:wrapNone/>
            <wp:docPr id="47"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6"/>
                    <pic:cNvPicPr>
                      <a:picLocks noChangeAspect="1"/>
                    </pic:cNvPicPr>
                  </pic:nvPicPr>
                  <pic:blipFill>
                    <a:blip r:embed="rId29"/>
                    <a:stretch>
                      <a:fillRect/>
                    </a:stretch>
                  </pic:blipFill>
                  <pic:spPr>
                    <a:xfrm>
                      <a:off x="0" y="0"/>
                      <a:ext cx="706755" cy="123190"/>
                    </a:xfrm>
                    <a:prstGeom prst="rect">
                      <a:avLst/>
                    </a:prstGeom>
                    <a:noFill/>
                    <a:ln>
                      <a:noFill/>
                    </a:ln>
                  </pic:spPr>
                </pic:pic>
              </a:graphicData>
            </a:graphic>
          </wp:anchor>
        </w:drawing>
      </w:r>
      <w:r>
        <w:rPr>
          <w:rFonts w:hint="default" w:ascii="Times New Roman" w:hAnsi="Times New Roman" w:cs="Times New Roman"/>
          <w:highlight w:val="none"/>
        </w:rPr>
        <w:drawing>
          <wp:anchor distT="0" distB="0" distL="114300" distR="114300" simplePos="0" relativeHeight="251724800" behindDoc="0" locked="0" layoutInCell="1" allowOverlap="1">
            <wp:simplePos x="0" y="0"/>
            <wp:positionH relativeFrom="column">
              <wp:posOffset>1164590</wp:posOffset>
            </wp:positionH>
            <wp:positionV relativeFrom="paragraph">
              <wp:posOffset>0</wp:posOffset>
            </wp:positionV>
            <wp:extent cx="6076950" cy="4552950"/>
            <wp:effectExtent l="0" t="0" r="0" b="0"/>
            <wp:wrapTopAndBottom/>
            <wp:docPr id="79"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47"/>
                    <pic:cNvPicPr>
                      <a:picLocks noChangeAspect="1"/>
                    </pic:cNvPicPr>
                  </pic:nvPicPr>
                  <pic:blipFill>
                    <a:blip r:embed="rId31"/>
                    <a:stretch>
                      <a:fillRect/>
                    </a:stretch>
                  </pic:blipFill>
                  <pic:spPr>
                    <a:xfrm>
                      <a:off x="0" y="0"/>
                      <a:ext cx="6076950" cy="4552950"/>
                    </a:xfrm>
                    <a:prstGeom prst="rect">
                      <a:avLst/>
                    </a:prstGeom>
                    <a:noFill/>
                    <a:ln>
                      <a:noFill/>
                    </a:ln>
                  </pic:spPr>
                </pic:pic>
              </a:graphicData>
            </a:graphic>
          </wp:anchor>
        </w:drawing>
      </w:r>
    </w:p>
    <w:p w14:paraId="027F52FD">
      <w:pPr>
        <w:pStyle w:val="3"/>
        <w:bidi w:val="0"/>
        <w:rPr>
          <w:rFonts w:hint="default" w:ascii="Times New Roman" w:hAnsi="Times New Roman" w:cs="Times New Roman"/>
          <w:highlight w:val="none"/>
          <w:lang w:val="en-US" w:eastAsia="zh-CN"/>
        </w:rPr>
      </w:pPr>
    </w:p>
    <w:p w14:paraId="441815A1">
      <w:pPr>
        <w:bidi w:val="0"/>
        <w:jc w:val="center"/>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689984" behindDoc="0" locked="0" layoutInCell="1" allowOverlap="1">
            <wp:simplePos x="0" y="0"/>
            <wp:positionH relativeFrom="column">
              <wp:posOffset>730885</wp:posOffset>
            </wp:positionH>
            <wp:positionV relativeFrom="paragraph">
              <wp:posOffset>659130</wp:posOffset>
            </wp:positionV>
            <wp:extent cx="706755" cy="123190"/>
            <wp:effectExtent l="0" t="0" r="17145" b="10160"/>
            <wp:wrapNone/>
            <wp:docPr id="49"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67"/>
                    <pic:cNvPicPr>
                      <a:picLocks noChangeAspect="1"/>
                    </pic:cNvPicPr>
                  </pic:nvPicPr>
                  <pic:blipFill>
                    <a:blip r:embed="rId29"/>
                    <a:stretch>
                      <a:fillRect/>
                    </a:stretch>
                  </pic:blipFill>
                  <pic:spPr>
                    <a:xfrm>
                      <a:off x="0" y="0"/>
                      <a:ext cx="706755" cy="123190"/>
                    </a:xfrm>
                    <a:prstGeom prst="rect">
                      <a:avLst/>
                    </a:prstGeom>
                    <a:noFill/>
                    <a:ln>
                      <a:noFill/>
                    </a:ln>
                  </pic:spPr>
                </pic:pic>
              </a:graphicData>
            </a:graphic>
          </wp:anchor>
        </w:drawing>
      </w:r>
      <w:r>
        <w:rPr>
          <w:rFonts w:hint="default" w:ascii="Times New Roman" w:hAnsi="Times New Roman" w:cs="Times New Roman"/>
          <w:highlight w:val="none"/>
        </w:rPr>
        <w:drawing>
          <wp:anchor distT="0" distB="0" distL="114300" distR="114300" simplePos="0" relativeHeight="251683840" behindDoc="0" locked="0" layoutInCell="1" allowOverlap="1">
            <wp:simplePos x="0" y="0"/>
            <wp:positionH relativeFrom="column">
              <wp:posOffset>695325</wp:posOffset>
            </wp:positionH>
            <wp:positionV relativeFrom="paragraph">
              <wp:posOffset>10160</wp:posOffset>
            </wp:positionV>
            <wp:extent cx="520700" cy="552450"/>
            <wp:effectExtent l="0" t="0" r="12700" b="0"/>
            <wp:wrapNone/>
            <wp:docPr id="43"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62"/>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7339965" cy="4871085"/>
            <wp:effectExtent l="0" t="0" r="13335" b="5715"/>
            <wp:docPr id="80"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93"/>
                    <pic:cNvPicPr>
                      <a:picLocks noChangeAspect="1"/>
                    </pic:cNvPicPr>
                  </pic:nvPicPr>
                  <pic:blipFill>
                    <a:blip r:embed="rId32"/>
                    <a:stretch>
                      <a:fillRect/>
                    </a:stretch>
                  </pic:blipFill>
                  <pic:spPr>
                    <a:xfrm>
                      <a:off x="0" y="0"/>
                      <a:ext cx="7339965" cy="4871085"/>
                    </a:xfrm>
                    <a:prstGeom prst="rect">
                      <a:avLst/>
                    </a:prstGeom>
                    <a:noFill/>
                    <a:ln>
                      <a:noFill/>
                    </a:ln>
                  </pic:spPr>
                </pic:pic>
              </a:graphicData>
            </a:graphic>
          </wp:inline>
        </w:drawing>
      </w:r>
    </w:p>
    <w:p w14:paraId="37BF6478">
      <w:pPr>
        <w:pStyle w:val="3"/>
        <w:bidi w:val="0"/>
        <w:rPr>
          <w:rFonts w:hint="default" w:ascii="Times New Roman" w:hAnsi="Times New Roman" w:cs="Times New Roman"/>
          <w:highlight w:val="none"/>
          <w:lang w:val="en-US" w:eastAsia="zh-CN"/>
        </w:rPr>
        <w:sectPr>
          <w:pgSz w:w="16838" w:h="11906" w:orient="landscape"/>
          <w:pgMar w:top="1440" w:right="1800" w:bottom="1440" w:left="1800" w:header="851" w:footer="1077" w:gutter="0"/>
          <w:cols w:space="720" w:num="1"/>
          <w:docGrid w:linePitch="312" w:charSpace="0"/>
        </w:sectPr>
      </w:pPr>
      <w:bookmarkStart w:id="66" w:name="_Toc9869"/>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5（4）  4号堤防排水分区布置图</w:t>
      </w:r>
      <w:bookmarkEnd w:id="66"/>
    </w:p>
    <w:p w14:paraId="05D23DEC">
      <w:pPr>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drawing>
          <wp:anchor distT="0" distB="0" distL="114300" distR="114300" simplePos="0" relativeHeight="251691008" behindDoc="0" locked="0" layoutInCell="1" allowOverlap="1">
            <wp:simplePos x="0" y="0"/>
            <wp:positionH relativeFrom="column">
              <wp:posOffset>7531735</wp:posOffset>
            </wp:positionH>
            <wp:positionV relativeFrom="paragraph">
              <wp:posOffset>573405</wp:posOffset>
            </wp:positionV>
            <wp:extent cx="706755" cy="123190"/>
            <wp:effectExtent l="0" t="0" r="17145" b="10160"/>
            <wp:wrapNone/>
            <wp:docPr id="50"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68"/>
                    <pic:cNvPicPr>
                      <a:picLocks noChangeAspect="1"/>
                    </pic:cNvPicPr>
                  </pic:nvPicPr>
                  <pic:blipFill>
                    <a:blip r:embed="rId29"/>
                    <a:stretch>
                      <a:fillRect/>
                    </a:stretch>
                  </pic:blipFill>
                  <pic:spPr>
                    <a:xfrm>
                      <a:off x="0" y="0"/>
                      <a:ext cx="706755" cy="123190"/>
                    </a:xfrm>
                    <a:prstGeom prst="rect">
                      <a:avLst/>
                    </a:prstGeom>
                    <a:noFill/>
                    <a:ln>
                      <a:noFill/>
                    </a:ln>
                  </pic:spPr>
                </pic:pic>
              </a:graphicData>
            </a:graphic>
          </wp:anchor>
        </w:drawing>
      </w:r>
      <w:r>
        <w:rPr>
          <w:rFonts w:hint="default" w:ascii="Times New Roman" w:hAnsi="Times New Roman" w:cs="Times New Roman"/>
          <w:highlight w:val="none"/>
        </w:rPr>
        <w:drawing>
          <wp:anchor distT="0" distB="0" distL="114300" distR="114300" simplePos="0" relativeHeight="251684864" behindDoc="0" locked="0" layoutInCell="1" allowOverlap="1">
            <wp:simplePos x="0" y="0"/>
            <wp:positionH relativeFrom="column">
              <wp:posOffset>7667625</wp:posOffset>
            </wp:positionH>
            <wp:positionV relativeFrom="paragraph">
              <wp:posOffset>635</wp:posOffset>
            </wp:positionV>
            <wp:extent cx="520700" cy="552450"/>
            <wp:effectExtent l="0" t="0" r="12700" b="0"/>
            <wp:wrapNone/>
            <wp:docPr id="44"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3"/>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7981315" cy="4446270"/>
            <wp:effectExtent l="0" t="0" r="635" b="11430"/>
            <wp:docPr id="81"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64"/>
                    <pic:cNvPicPr>
                      <a:picLocks noChangeAspect="1"/>
                    </pic:cNvPicPr>
                  </pic:nvPicPr>
                  <pic:blipFill>
                    <a:blip r:embed="rId33"/>
                    <a:stretch>
                      <a:fillRect/>
                    </a:stretch>
                  </pic:blipFill>
                  <pic:spPr>
                    <a:xfrm>
                      <a:off x="0" y="0"/>
                      <a:ext cx="7981315" cy="4446270"/>
                    </a:xfrm>
                    <a:prstGeom prst="rect">
                      <a:avLst/>
                    </a:prstGeom>
                    <a:noFill/>
                    <a:ln>
                      <a:noFill/>
                    </a:ln>
                  </pic:spPr>
                </pic:pic>
              </a:graphicData>
            </a:graphic>
          </wp:inline>
        </w:drawing>
      </w:r>
    </w:p>
    <w:p w14:paraId="213A7FF1">
      <w:pPr>
        <w:pStyle w:val="3"/>
        <w:bidi w:val="0"/>
        <w:rPr>
          <w:rFonts w:hint="default" w:ascii="Times New Roman" w:hAnsi="Times New Roman" w:cs="Times New Roman"/>
          <w:b/>
          <w:bCs/>
          <w:szCs w:val="21"/>
          <w:highlight w:val="none"/>
          <w:lang w:val="en-US" w:eastAsia="zh-CN"/>
        </w:rPr>
        <w:sectPr>
          <w:pgSz w:w="16838" w:h="11906" w:orient="landscape"/>
          <w:pgMar w:top="1440" w:right="1800" w:bottom="1440" w:left="1800" w:header="851" w:footer="1077" w:gutter="0"/>
          <w:cols w:space="720" w:num="1"/>
          <w:docGrid w:linePitch="312" w:charSpace="0"/>
        </w:sectPr>
      </w:pPr>
      <w:bookmarkStart w:id="67" w:name="_Toc1447"/>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5（5）  5号堤防排水分区布置图</w:t>
      </w:r>
      <w:bookmarkEnd w:id="67"/>
    </w:p>
    <w:p w14:paraId="675C00D6">
      <w:pPr>
        <w:bidi w:val="0"/>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3920490" cy="4711065"/>
            <wp:effectExtent l="0" t="0" r="3810" b="13335"/>
            <wp:docPr id="1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
                    <pic:cNvPicPr>
                      <a:picLocks noChangeAspect="1"/>
                    </pic:cNvPicPr>
                  </pic:nvPicPr>
                  <pic:blipFill>
                    <a:blip r:embed="rId34"/>
                    <a:stretch>
                      <a:fillRect/>
                    </a:stretch>
                  </pic:blipFill>
                  <pic:spPr>
                    <a:xfrm>
                      <a:off x="0" y="0"/>
                      <a:ext cx="3920490" cy="4711065"/>
                    </a:xfrm>
                    <a:prstGeom prst="rect">
                      <a:avLst/>
                    </a:prstGeom>
                    <a:noFill/>
                    <a:ln>
                      <a:noFill/>
                    </a:ln>
                  </pic:spPr>
                </pic:pic>
              </a:graphicData>
            </a:graphic>
          </wp:inline>
        </w:drawing>
      </w:r>
    </w:p>
    <w:p w14:paraId="782C9326">
      <w:pPr>
        <w:pStyle w:val="3"/>
        <w:bidi w:val="0"/>
        <w:rPr>
          <w:rFonts w:hint="default" w:ascii="Times New Roman" w:hAnsi="Times New Roman" w:cs="Times New Roman"/>
          <w:b/>
          <w:bCs/>
          <w:szCs w:val="21"/>
          <w:highlight w:val="none"/>
          <w:lang w:val="en-US" w:eastAsia="zh-CN"/>
        </w:rPr>
      </w:pPr>
      <w:bookmarkStart w:id="68" w:name="_Toc31672"/>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 xml:space="preserve">6（1）  </w:t>
      </w:r>
      <w:r>
        <w:rPr>
          <w:rFonts w:hint="default" w:ascii="Times New Roman" w:hAnsi="Times New Roman" w:cs="Times New Roman"/>
          <w:highlight w:val="none"/>
          <w:lang w:eastAsia="zh-CN"/>
        </w:rPr>
        <w:t>典型设计图</w:t>
      </w:r>
      <w:r>
        <w:rPr>
          <w:rFonts w:hint="default" w:ascii="Times New Roman" w:hAnsi="Times New Roman" w:cs="Times New Roman"/>
          <w:highlight w:val="none"/>
          <w:lang w:val="en-US" w:eastAsia="zh-CN"/>
        </w:rPr>
        <w:t>—直立墙与土堤衔接设计图</w:t>
      </w:r>
      <w:bookmarkEnd w:id="68"/>
    </w:p>
    <w:p w14:paraId="0EC37786">
      <w:pPr>
        <w:pStyle w:val="34"/>
        <w:rPr>
          <w:rFonts w:hint="default" w:ascii="Times New Roman" w:hAnsi="Times New Roman" w:cs="Times New Roman"/>
          <w:b/>
          <w:bCs/>
          <w:highlight w:val="none"/>
        </w:rPr>
      </w:pPr>
    </w:p>
    <w:p w14:paraId="6D659EF3">
      <w:pPr>
        <w:pStyle w:val="3"/>
        <w:bidi w:val="0"/>
        <w:spacing w:before="0" w:after="0" w:line="240" w:lineRule="auto"/>
        <w:ind w:left="0" w:firstLine="0"/>
        <w:rPr>
          <w:rFonts w:hint="default" w:ascii="Times New Roman" w:hAnsi="Times New Roman" w:cs="Times New Roman"/>
          <w:highlight w:val="none"/>
          <w:lang w:eastAsia="zh-CN"/>
        </w:rPr>
      </w:pPr>
    </w:p>
    <w:p w14:paraId="4BE29815">
      <w:pPr>
        <w:ind w:firstLine="0"/>
        <w:jc w:val="center"/>
        <w:outlineLvl w:val="9"/>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7762240" cy="4517390"/>
            <wp:effectExtent l="0" t="0" r="10160" b="16510"/>
            <wp:docPr id="1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5"/>
                    <pic:cNvPicPr>
                      <a:picLocks noChangeAspect="1"/>
                    </pic:cNvPicPr>
                  </pic:nvPicPr>
                  <pic:blipFill>
                    <a:blip r:embed="rId35"/>
                    <a:stretch>
                      <a:fillRect/>
                    </a:stretch>
                  </pic:blipFill>
                  <pic:spPr>
                    <a:xfrm>
                      <a:off x="0" y="0"/>
                      <a:ext cx="7762240" cy="4517390"/>
                    </a:xfrm>
                    <a:prstGeom prst="rect">
                      <a:avLst/>
                    </a:prstGeom>
                    <a:noFill/>
                    <a:ln>
                      <a:noFill/>
                    </a:ln>
                  </pic:spPr>
                </pic:pic>
              </a:graphicData>
            </a:graphic>
          </wp:inline>
        </w:drawing>
      </w:r>
    </w:p>
    <w:p w14:paraId="6DFB203A">
      <w:pPr>
        <w:pStyle w:val="3"/>
        <w:bidi w:val="0"/>
        <w:rPr>
          <w:rFonts w:hint="default" w:ascii="Times New Roman" w:hAnsi="Times New Roman" w:cs="Times New Roman"/>
          <w:highlight w:val="none"/>
        </w:rPr>
      </w:pPr>
      <w:bookmarkStart w:id="69" w:name="_Toc9045"/>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 xml:space="preserve">6（2）  </w:t>
      </w:r>
      <w:r>
        <w:rPr>
          <w:rFonts w:hint="default" w:ascii="Times New Roman" w:hAnsi="Times New Roman" w:cs="Times New Roman"/>
          <w:highlight w:val="none"/>
          <w:lang w:eastAsia="zh-CN"/>
        </w:rPr>
        <w:t>典型设计图</w:t>
      </w:r>
      <w:r>
        <w:rPr>
          <w:rFonts w:hint="default" w:ascii="Times New Roman" w:hAnsi="Times New Roman" w:cs="Times New Roman"/>
          <w:highlight w:val="none"/>
          <w:lang w:val="en-US" w:eastAsia="zh-CN"/>
        </w:rPr>
        <w:t>—上堤路设计图</w:t>
      </w:r>
      <w:bookmarkEnd w:id="69"/>
    </w:p>
    <w:p w14:paraId="6AC316AF">
      <w:pPr>
        <w:pStyle w:val="34"/>
        <w:rPr>
          <w:rFonts w:hint="default" w:ascii="Times New Roman" w:hAnsi="Times New Roman" w:cs="Times New Roman"/>
          <w:highlight w:val="none"/>
        </w:rPr>
      </w:pPr>
    </w:p>
    <w:p w14:paraId="4A63C5C7">
      <w:pPr>
        <w:ind w:firstLine="0"/>
        <w:jc w:val="center"/>
        <w:outlineLvl w:val="9"/>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268470" cy="4949190"/>
            <wp:effectExtent l="0" t="0" r="17780" b="3810"/>
            <wp:docPr id="1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6"/>
                    <pic:cNvPicPr>
                      <a:picLocks noChangeAspect="1"/>
                    </pic:cNvPicPr>
                  </pic:nvPicPr>
                  <pic:blipFill>
                    <a:blip r:embed="rId36"/>
                    <a:stretch>
                      <a:fillRect/>
                    </a:stretch>
                  </pic:blipFill>
                  <pic:spPr>
                    <a:xfrm>
                      <a:off x="0" y="0"/>
                      <a:ext cx="4268470" cy="4949190"/>
                    </a:xfrm>
                    <a:prstGeom prst="rect">
                      <a:avLst/>
                    </a:prstGeom>
                    <a:noFill/>
                    <a:ln>
                      <a:noFill/>
                    </a:ln>
                  </pic:spPr>
                </pic:pic>
              </a:graphicData>
            </a:graphic>
          </wp:inline>
        </w:drawing>
      </w:r>
    </w:p>
    <w:p w14:paraId="43FD067E">
      <w:pPr>
        <w:pStyle w:val="3"/>
        <w:bidi w:val="0"/>
        <w:rPr>
          <w:rFonts w:hint="default" w:ascii="Times New Roman" w:hAnsi="Times New Roman" w:cs="Times New Roman"/>
          <w:highlight w:val="none"/>
          <w:lang w:val="en-US" w:eastAsia="zh-CN"/>
        </w:rPr>
      </w:pPr>
      <w:bookmarkStart w:id="70" w:name="_Toc832"/>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 xml:space="preserve">6（3）  </w:t>
      </w:r>
      <w:r>
        <w:rPr>
          <w:rFonts w:hint="default" w:ascii="Times New Roman" w:hAnsi="Times New Roman" w:cs="Times New Roman"/>
          <w:highlight w:val="none"/>
          <w:lang w:eastAsia="zh-CN"/>
        </w:rPr>
        <w:t>典型设计图</w:t>
      </w:r>
      <w:r>
        <w:rPr>
          <w:rFonts w:hint="default" w:ascii="Times New Roman" w:hAnsi="Times New Roman" w:cs="Times New Roman"/>
          <w:highlight w:val="none"/>
          <w:lang w:val="en-US" w:eastAsia="zh-CN"/>
        </w:rPr>
        <w:t>—防洪墙设计图</w:t>
      </w:r>
      <w:bookmarkEnd w:id="70"/>
    </w:p>
    <w:p w14:paraId="4730CFC8">
      <w:pPr>
        <w:pStyle w:val="34"/>
        <w:rPr>
          <w:rFonts w:hint="default" w:ascii="Times New Roman" w:hAnsi="Times New Roman" w:cs="Times New Roman"/>
          <w:highlight w:val="none"/>
          <w:lang w:val="en-US" w:eastAsia="zh-CN"/>
        </w:rPr>
      </w:pPr>
    </w:p>
    <w:p w14:paraId="27E8994F">
      <w:pPr>
        <w:ind w:firstLine="0"/>
        <w:jc w:val="center"/>
        <w:outlineLvl w:val="9"/>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701248" behindDoc="0" locked="0" layoutInCell="1" allowOverlap="1">
                <wp:simplePos x="0" y="0"/>
                <wp:positionH relativeFrom="column">
                  <wp:posOffset>5682615</wp:posOffset>
                </wp:positionH>
                <wp:positionV relativeFrom="paragraph">
                  <wp:posOffset>3807460</wp:posOffset>
                </wp:positionV>
                <wp:extent cx="1952625" cy="1276350"/>
                <wp:effectExtent l="0" t="0" r="9525" b="0"/>
                <wp:wrapNone/>
                <wp:docPr id="135" name="矩形 135"/>
                <wp:cNvGraphicFramePr/>
                <a:graphic xmlns:a="http://schemas.openxmlformats.org/drawingml/2006/main">
                  <a:graphicData uri="http://schemas.microsoft.com/office/word/2010/wordprocessingShape">
                    <wps:wsp>
                      <wps:cNvSpPr/>
                      <wps:spPr>
                        <a:xfrm>
                          <a:off x="7294245" y="5051425"/>
                          <a:ext cx="1952625" cy="127635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7.45pt;margin-top:299.8pt;height:100.5pt;width:153.75pt;z-index:251701248;v-text-anchor:middle;mso-width-relative:page;mso-height-relative:page;" fillcolor="#FFFFFF [3212]" filled="t" stroked="f" coordsize="21600,21600" o:gfxdata="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8VIIF9YAAAAMAQAADwAAAAAAAAABACAAAAAiAAAAZHJzL2Rvd25yZXYu&#10;eG1sUEsBAhQAFAAAAAgAh07iQDzlU7dvAgAAxQQAAA4AAAAAAAAAAQAgAAAAJQEAAGRycy9lMm9E&#10;b2MueG1sUEsFBgAAAAAGAAYAWQEAAAYGAAAAAA==&#10;">
                <v:fill on="t" focussize="0,0"/>
                <v:stroke on="f" weight="2pt"/>
                <v:imagedata o:title=""/>
                <o:lock v:ext="edit" aspectratio="f"/>
              </v:rect>
            </w:pict>
          </mc:Fallback>
        </mc:AlternateContent>
      </w:r>
      <w:r>
        <w:rPr>
          <w:rFonts w:hint="default" w:ascii="Times New Roman" w:hAnsi="Times New Roman" w:cs="Times New Roman"/>
          <w:highlight w:val="none"/>
        </w:rPr>
        <w:drawing>
          <wp:inline distT="0" distB="0" distL="114300" distR="114300">
            <wp:extent cx="6541770" cy="4794885"/>
            <wp:effectExtent l="0" t="0" r="11430" b="5715"/>
            <wp:docPr id="1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7"/>
                    <pic:cNvPicPr>
                      <a:picLocks noChangeAspect="1"/>
                    </pic:cNvPicPr>
                  </pic:nvPicPr>
                  <pic:blipFill>
                    <a:blip r:embed="rId37"/>
                    <a:stretch>
                      <a:fillRect/>
                    </a:stretch>
                  </pic:blipFill>
                  <pic:spPr>
                    <a:xfrm>
                      <a:off x="0" y="0"/>
                      <a:ext cx="6541770" cy="4794885"/>
                    </a:xfrm>
                    <a:prstGeom prst="rect">
                      <a:avLst/>
                    </a:prstGeom>
                    <a:noFill/>
                    <a:ln>
                      <a:noFill/>
                    </a:ln>
                  </pic:spPr>
                </pic:pic>
              </a:graphicData>
            </a:graphic>
          </wp:inline>
        </w:drawing>
      </w:r>
    </w:p>
    <w:p w14:paraId="49006788">
      <w:pPr>
        <w:pStyle w:val="34"/>
        <w:rPr>
          <w:rFonts w:hint="default" w:ascii="Times New Roman" w:hAnsi="Times New Roman" w:cs="Times New Roman"/>
          <w:highlight w:val="none"/>
        </w:rPr>
      </w:pPr>
    </w:p>
    <w:p w14:paraId="3599996B">
      <w:pPr>
        <w:pStyle w:val="3"/>
        <w:bidi w:val="0"/>
        <w:rPr>
          <w:rFonts w:hint="default" w:ascii="Times New Roman" w:hAnsi="Times New Roman" w:cs="Times New Roman"/>
          <w:highlight w:val="none"/>
          <w:lang w:val="en-US" w:eastAsia="zh-CN"/>
        </w:rPr>
      </w:pPr>
      <w:bookmarkStart w:id="71" w:name="_Toc17066"/>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 xml:space="preserve">6（4）  </w:t>
      </w:r>
      <w:r>
        <w:rPr>
          <w:rFonts w:hint="default" w:ascii="Times New Roman" w:hAnsi="Times New Roman" w:cs="Times New Roman"/>
          <w:highlight w:val="none"/>
          <w:lang w:eastAsia="zh-CN"/>
        </w:rPr>
        <w:t>典型设计图</w:t>
      </w:r>
      <w:r>
        <w:rPr>
          <w:rFonts w:hint="default" w:ascii="Times New Roman" w:hAnsi="Times New Roman" w:cs="Times New Roman"/>
          <w:highlight w:val="none"/>
          <w:lang w:val="en-US" w:eastAsia="zh-CN"/>
        </w:rPr>
        <w:t>—堤防设计图</w:t>
      </w:r>
      <w:bookmarkEnd w:id="71"/>
    </w:p>
    <w:p w14:paraId="4CD0AA64">
      <w:pPr>
        <w:pStyle w:val="34"/>
        <w:rPr>
          <w:rFonts w:hint="default" w:ascii="Times New Roman" w:hAnsi="Times New Roman" w:cs="Times New Roman"/>
          <w:highlight w:val="none"/>
        </w:rPr>
      </w:pPr>
    </w:p>
    <w:p w14:paraId="399282C1">
      <w:pPr>
        <w:ind w:firstLine="0"/>
        <w:jc w:val="center"/>
        <w:outlineLvl w:val="9"/>
        <w:rPr>
          <w:rFonts w:hint="default" w:ascii="Times New Roman" w:hAnsi="Times New Roman" w:cs="Times New Roman"/>
          <w:highlight w:val="none"/>
          <w:lang w:val="en-US" w:eastAsia="zh-CN"/>
        </w:rPr>
      </w:pPr>
      <w:r>
        <w:rPr>
          <w:rFonts w:hint="default" w:ascii="Times New Roman" w:hAnsi="Times New Roman" w:cs="Times New Roman"/>
          <w:highlight w:val="none"/>
        </w:rPr>
        <mc:AlternateContent>
          <mc:Choice Requires="wps">
            <w:drawing>
              <wp:anchor distT="0" distB="0" distL="114300" distR="114300" simplePos="0" relativeHeight="251702272" behindDoc="0" locked="0" layoutInCell="1" allowOverlap="1">
                <wp:simplePos x="0" y="0"/>
                <wp:positionH relativeFrom="column">
                  <wp:posOffset>5735320</wp:posOffset>
                </wp:positionH>
                <wp:positionV relativeFrom="paragraph">
                  <wp:posOffset>3994785</wp:posOffset>
                </wp:positionV>
                <wp:extent cx="1952625" cy="1055370"/>
                <wp:effectExtent l="0" t="0" r="13335" b="11430"/>
                <wp:wrapNone/>
                <wp:docPr id="137" name="矩形 137"/>
                <wp:cNvGraphicFramePr/>
                <a:graphic xmlns:a="http://schemas.openxmlformats.org/drawingml/2006/main">
                  <a:graphicData uri="http://schemas.microsoft.com/office/word/2010/wordprocessingShape">
                    <wps:wsp>
                      <wps:cNvSpPr/>
                      <wps:spPr>
                        <a:xfrm>
                          <a:off x="0" y="0"/>
                          <a:ext cx="1952625" cy="105537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6pt;margin-top:314.55pt;height:83.1pt;width:153.75pt;z-index:251702272;v-text-anchor:middle;mso-width-relative:page;mso-height-relative:page;" fillcolor="#FFFFFF [3212]" filled="t" stroked="f" coordsize="21600,21600" o:gfxdata="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jyfvZdcAAAAMAQAADwAAAAAAAAABACAAAAAiAAAAZHJzL2Rvd25yZXYueG1sUEsBAhQAFAAA&#10;AAgAh07iQN+8sG5iAgAAuQQAAA4AAAAAAAAAAQAgAAAAJgEAAGRycy9lMm9Eb2MueG1sUEsFBgAA&#10;AAAGAAYAWQEAAPoFAAAAAA==&#10;">
                <v:fill on="t" focussize="0,0"/>
                <v:stroke on="f" weight="2pt"/>
                <v:imagedata o:title=""/>
                <o:lock v:ext="edit" aspectratio="f"/>
              </v:rect>
            </w:pict>
          </mc:Fallback>
        </mc:AlternateContent>
      </w:r>
      <w:r>
        <w:rPr>
          <w:rFonts w:hint="default" w:ascii="Times New Roman" w:hAnsi="Times New Roman" w:cs="Times New Roman"/>
          <w:highlight w:val="none"/>
        </w:rPr>
        <w:drawing>
          <wp:inline distT="0" distB="0" distL="114300" distR="114300">
            <wp:extent cx="7001510" cy="5048250"/>
            <wp:effectExtent l="0" t="0" r="8890" b="11430"/>
            <wp:docPr id="1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8"/>
                    <pic:cNvPicPr>
                      <a:picLocks noChangeAspect="1"/>
                    </pic:cNvPicPr>
                  </pic:nvPicPr>
                  <pic:blipFill>
                    <a:blip r:embed="rId38"/>
                    <a:stretch>
                      <a:fillRect/>
                    </a:stretch>
                  </pic:blipFill>
                  <pic:spPr>
                    <a:xfrm>
                      <a:off x="0" y="0"/>
                      <a:ext cx="7001510" cy="5048250"/>
                    </a:xfrm>
                    <a:prstGeom prst="rect">
                      <a:avLst/>
                    </a:prstGeom>
                    <a:noFill/>
                    <a:ln>
                      <a:noFill/>
                    </a:ln>
                  </pic:spPr>
                </pic:pic>
              </a:graphicData>
            </a:graphic>
          </wp:inline>
        </w:drawing>
      </w:r>
    </w:p>
    <w:p w14:paraId="45F351C8">
      <w:pPr>
        <w:pStyle w:val="3"/>
        <w:bidi w:val="0"/>
        <w:rPr>
          <w:rFonts w:hint="default" w:ascii="Times New Roman" w:hAnsi="Times New Roman" w:cs="Times New Roman"/>
          <w:b/>
          <w:bCs/>
          <w:szCs w:val="21"/>
          <w:highlight w:val="none"/>
          <w:lang w:val="en-US" w:eastAsia="zh-CN"/>
        </w:rPr>
      </w:pPr>
      <w:bookmarkStart w:id="72" w:name="_Toc31903"/>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 xml:space="preserve">6（5）  </w:t>
      </w:r>
      <w:r>
        <w:rPr>
          <w:rFonts w:hint="default" w:ascii="Times New Roman" w:hAnsi="Times New Roman" w:cs="Times New Roman"/>
          <w:highlight w:val="none"/>
          <w:lang w:eastAsia="zh-CN"/>
        </w:rPr>
        <w:t>典型设计图</w:t>
      </w:r>
      <w:r>
        <w:rPr>
          <w:rFonts w:hint="default" w:ascii="Times New Roman" w:hAnsi="Times New Roman" w:cs="Times New Roman"/>
          <w:highlight w:val="none"/>
          <w:lang w:val="en-US" w:eastAsia="zh-CN"/>
        </w:rPr>
        <w:t>—护岸横断面设计图</w:t>
      </w:r>
      <w:bookmarkEnd w:id="72"/>
    </w:p>
    <w:p w14:paraId="59E1C3CF">
      <w:pPr>
        <w:bidi w:val="0"/>
        <w:rPr>
          <w:rFonts w:hint="default" w:ascii="Times New Roman" w:hAnsi="Times New Roman" w:cs="Times New Roman"/>
          <w:highlight w:val="none"/>
          <w:lang w:eastAsia="zh-CN"/>
        </w:rPr>
      </w:pPr>
    </w:p>
    <w:p w14:paraId="3E30D4CD">
      <w:pPr>
        <w:bidi w:val="0"/>
        <w:rPr>
          <w:rFonts w:hint="default" w:ascii="Times New Roman" w:hAnsi="Times New Roman" w:cs="Times New Roman"/>
          <w:highlight w:val="none"/>
        </w:rPr>
      </w:pPr>
      <w:r>
        <w:rPr>
          <w:rFonts w:hint="default" w:ascii="Times New Roman" w:hAnsi="Times New Roman" w:cs="Times New Roman"/>
          <w:sz w:val="32"/>
          <w:highlight w:val="none"/>
        </w:rPr>
        <mc:AlternateContent>
          <mc:Choice Requires="wps">
            <w:drawing>
              <wp:anchor distT="0" distB="0" distL="114300" distR="114300" simplePos="0" relativeHeight="251703296" behindDoc="0" locked="0" layoutInCell="1" allowOverlap="1">
                <wp:simplePos x="0" y="0"/>
                <wp:positionH relativeFrom="column">
                  <wp:posOffset>7240270</wp:posOffset>
                </wp:positionH>
                <wp:positionV relativeFrom="paragraph">
                  <wp:posOffset>4319270</wp:posOffset>
                </wp:positionV>
                <wp:extent cx="152400" cy="104775"/>
                <wp:effectExtent l="0" t="0" r="0" b="9525"/>
                <wp:wrapNone/>
                <wp:docPr id="139" name="矩形 244"/>
                <wp:cNvGraphicFramePr/>
                <a:graphic xmlns:a="http://schemas.openxmlformats.org/drawingml/2006/main">
                  <a:graphicData uri="http://schemas.microsoft.com/office/word/2010/wordprocessingShape">
                    <wps:wsp>
                      <wps:cNvSpPr/>
                      <wps:spPr>
                        <a:xfrm>
                          <a:off x="0" y="0"/>
                          <a:ext cx="152400" cy="104775"/>
                        </a:xfrm>
                        <a:prstGeom prst="rect">
                          <a:avLst/>
                        </a:prstGeom>
                        <a:solidFill>
                          <a:srgbClr val="0739B9">
                            <a:alpha val="45000"/>
                          </a:srgbClr>
                        </a:solidFill>
                        <a:ln>
                          <a:noFill/>
                        </a:ln>
                      </wps:spPr>
                      <wps:bodyPr wrap="square" upright="1"/>
                    </wps:wsp>
                  </a:graphicData>
                </a:graphic>
              </wp:anchor>
            </w:drawing>
          </mc:Choice>
          <mc:Fallback>
            <w:pict>
              <v:rect id="矩形 244" o:spid="_x0000_s1026" o:spt="1" style="position:absolute;left:0pt;margin-left:570.1pt;margin-top:340.1pt;height:8.25pt;width:12pt;z-index:251703296;mso-width-relative:page;mso-height-relative:page;" fillcolor="#0739B9" filled="t" stroked="f" coordsize="21600,21600" o:gfxdata="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JLJ41fYAAAADQEAAA8AAAAAAAAAAQAgAAAAIgAA&#10;AGRycy9kb3ducmV2LnhtbFBLAQIUABQAAAAIAIdO4kAQX7MLzwEAAJEDAAAOAAAAAAAAAAEAIAAA&#10;ACcBAABkcnMvZTJvRG9jLnhtbFBLBQYAAAAABgAGAFkBAABoBQAAAAA=&#10;">
                <v:fill on="t" opacity="29491f" focussize="0,0"/>
                <v:stroke on="f"/>
                <v:imagedata o:title=""/>
                <o:lock v:ext="edit" aspectratio="f"/>
              </v:rect>
            </w:pict>
          </mc:Fallback>
        </mc:AlternateContent>
      </w:r>
      <w:r>
        <w:rPr>
          <w:rFonts w:hint="default" w:ascii="Times New Roman" w:hAnsi="Times New Roman" w:cs="Times New Roman"/>
          <w:highlight w:val="none"/>
        </w:rPr>
        <w:drawing>
          <wp:anchor distT="0" distB="0" distL="114300" distR="114300" simplePos="0" relativeHeight="251705344" behindDoc="0" locked="0" layoutInCell="1" allowOverlap="1">
            <wp:simplePos x="0" y="0"/>
            <wp:positionH relativeFrom="column">
              <wp:posOffset>38100</wp:posOffset>
            </wp:positionH>
            <wp:positionV relativeFrom="paragraph">
              <wp:posOffset>4676775</wp:posOffset>
            </wp:positionV>
            <wp:extent cx="952500" cy="243205"/>
            <wp:effectExtent l="0" t="0" r="0" b="4445"/>
            <wp:wrapNone/>
            <wp:docPr id="1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9"/>
                    <pic:cNvPicPr>
                      <a:picLocks noChangeAspect="1"/>
                    </pic:cNvPicPr>
                  </pic:nvPicPr>
                  <pic:blipFill>
                    <a:blip r:embed="rId39"/>
                    <a:stretch>
                      <a:fillRect/>
                    </a:stretch>
                  </pic:blipFill>
                  <pic:spPr>
                    <a:xfrm>
                      <a:off x="0" y="0"/>
                      <a:ext cx="952500" cy="243205"/>
                    </a:xfrm>
                    <a:prstGeom prst="rect">
                      <a:avLst/>
                    </a:prstGeom>
                    <a:noFill/>
                    <a:ln>
                      <a:noFill/>
                    </a:ln>
                  </pic:spPr>
                </pic:pic>
              </a:graphicData>
            </a:graphic>
          </wp:anchor>
        </w:drawing>
      </w:r>
      <w:r>
        <w:rPr>
          <w:rFonts w:hint="default" w:ascii="Times New Roman" w:hAnsi="Times New Roman" w:cs="Times New Roman"/>
          <w:sz w:val="21"/>
          <w:highlight w:val="none"/>
        </w:rPr>
        <mc:AlternateContent>
          <mc:Choice Requires="wps">
            <w:drawing>
              <wp:anchor distT="0" distB="0" distL="114300" distR="114300" simplePos="0" relativeHeight="251706368" behindDoc="0" locked="0" layoutInCell="1" allowOverlap="1">
                <wp:simplePos x="0" y="0"/>
                <wp:positionH relativeFrom="column">
                  <wp:posOffset>1445895</wp:posOffset>
                </wp:positionH>
                <wp:positionV relativeFrom="paragraph">
                  <wp:posOffset>3964940</wp:posOffset>
                </wp:positionV>
                <wp:extent cx="1143000" cy="352425"/>
                <wp:effectExtent l="0" t="0" r="0" b="0"/>
                <wp:wrapNone/>
                <wp:docPr id="142" name="矩形 142"/>
                <wp:cNvGraphicFramePr/>
                <a:graphic xmlns:a="http://schemas.openxmlformats.org/drawingml/2006/main">
                  <a:graphicData uri="http://schemas.microsoft.com/office/word/2010/wordprocessingShape">
                    <wps:wsp>
                      <wps:cNvSpPr/>
                      <wps:spPr>
                        <a:xfrm>
                          <a:off x="3007995" y="2108200"/>
                          <a:ext cx="1143000" cy="3524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579BA62">
                            <w:pPr>
                              <w:jc w:val="center"/>
                              <w:rPr>
                                <w:rFonts w:hint="default" w:eastAsia="宋体"/>
                                <w:b/>
                                <w:bCs/>
                                <w:color w:val="FF0000"/>
                                <w:sz w:val="18"/>
                                <w:szCs w:val="18"/>
                                <w:lang w:val="en-US" w:eastAsia="zh-CN"/>
                              </w:rPr>
                            </w:pPr>
                            <w:r>
                              <w:rPr>
                                <w:rFonts w:hint="eastAsia"/>
                                <w:b/>
                                <w:bCs/>
                                <w:color w:val="FF0000"/>
                                <w:sz w:val="18"/>
                                <w:szCs w:val="18"/>
                                <w:lang w:val="en-US" w:eastAsia="zh-CN"/>
                              </w:rPr>
                              <w:t>奶牛场居民区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3.85pt;margin-top:312.2pt;height:27.75pt;width:90pt;z-index:251706368;v-text-anchor:middle;mso-width-relative:page;mso-height-relative:page;" filled="f" stroked="f" coordsize="21600,21600" o:gfxdata="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ZwR/nYAAAACwEAAA8AAAAAAAAAAQAgAAAAIgAAAGRycy9kb3ducmV2LnhtbFBLAQIUABQAAAAI&#10;AIdO4kB5uB+zXwIAAKYEAAAOAAAAAAAAAAEAIAAAACcBAABkcnMvZTJvRG9jLnhtbFBLBQYAAAAA&#10;BgAGAFkBAAD4BQAAAAA=&#10;">
                <v:fill on="f" focussize="0,0"/>
                <v:stroke on="f" weight="2pt"/>
                <v:imagedata o:title=""/>
                <o:lock v:ext="edit" aspectratio="f"/>
                <v:textbox>
                  <w:txbxContent>
                    <w:p w14:paraId="0579BA62">
                      <w:pPr>
                        <w:jc w:val="center"/>
                        <w:rPr>
                          <w:rFonts w:hint="default" w:eastAsia="宋体"/>
                          <w:b/>
                          <w:bCs/>
                          <w:color w:val="FF0000"/>
                          <w:sz w:val="18"/>
                          <w:szCs w:val="18"/>
                          <w:lang w:val="en-US" w:eastAsia="zh-CN"/>
                        </w:rPr>
                      </w:pPr>
                      <w:r>
                        <w:rPr>
                          <w:rFonts w:hint="eastAsia"/>
                          <w:b/>
                          <w:bCs/>
                          <w:color w:val="FF0000"/>
                          <w:sz w:val="18"/>
                          <w:szCs w:val="18"/>
                          <w:lang w:val="en-US" w:eastAsia="zh-CN"/>
                        </w:rPr>
                        <w:t>奶牛场居民区</w:t>
                      </w:r>
                    </w:p>
                  </w:txbxContent>
                </v:textbox>
              </v:rect>
            </w:pict>
          </mc:Fallback>
        </mc:AlternateContent>
      </w:r>
      <w:r>
        <w:rPr>
          <w:rFonts w:hint="default" w:ascii="Times New Roman" w:hAnsi="Times New Roman" w:cs="Times New Roman"/>
          <w:highlight w:val="none"/>
        </w:rPr>
        <w:drawing>
          <wp:anchor distT="0" distB="0" distL="114300" distR="114300" simplePos="0" relativeHeight="251692032" behindDoc="0" locked="0" layoutInCell="1" allowOverlap="1">
            <wp:simplePos x="0" y="0"/>
            <wp:positionH relativeFrom="column">
              <wp:posOffset>7820025</wp:posOffset>
            </wp:positionH>
            <wp:positionV relativeFrom="paragraph">
              <wp:posOffset>36830</wp:posOffset>
            </wp:positionV>
            <wp:extent cx="520700" cy="552450"/>
            <wp:effectExtent l="0" t="0" r="12700" b="0"/>
            <wp:wrapNone/>
            <wp:docPr id="51"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9"/>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sz w:val="32"/>
          <w:highlight w:val="none"/>
        </w:rPr>
        <mc:AlternateContent>
          <mc:Choice Requires="wps">
            <w:drawing>
              <wp:anchor distT="0" distB="0" distL="114300" distR="114300" simplePos="0" relativeHeight="251704320" behindDoc="0" locked="0" layoutInCell="1" allowOverlap="1">
                <wp:simplePos x="0" y="0"/>
                <wp:positionH relativeFrom="column">
                  <wp:posOffset>1485265</wp:posOffset>
                </wp:positionH>
                <wp:positionV relativeFrom="paragraph">
                  <wp:posOffset>4116705</wp:posOffset>
                </wp:positionV>
                <wp:extent cx="152400" cy="104775"/>
                <wp:effectExtent l="0" t="0" r="0" b="9525"/>
                <wp:wrapNone/>
                <wp:docPr id="140" name="矩形 244"/>
                <wp:cNvGraphicFramePr/>
                <a:graphic xmlns:a="http://schemas.openxmlformats.org/drawingml/2006/main">
                  <a:graphicData uri="http://schemas.microsoft.com/office/word/2010/wordprocessingShape">
                    <wps:wsp>
                      <wps:cNvSpPr/>
                      <wps:spPr>
                        <a:xfrm>
                          <a:off x="0" y="0"/>
                          <a:ext cx="152400" cy="104775"/>
                        </a:xfrm>
                        <a:prstGeom prst="rect">
                          <a:avLst/>
                        </a:prstGeom>
                        <a:solidFill>
                          <a:srgbClr val="FFFF00">
                            <a:alpha val="53000"/>
                          </a:srgbClr>
                        </a:solidFill>
                        <a:ln>
                          <a:noFill/>
                        </a:ln>
                      </wps:spPr>
                      <wps:bodyPr wrap="square" upright="1"/>
                    </wps:wsp>
                  </a:graphicData>
                </a:graphic>
              </wp:anchor>
            </w:drawing>
          </mc:Choice>
          <mc:Fallback>
            <w:pict>
              <v:rect id="矩形 244" o:spid="_x0000_s1026" o:spt="1" style="position:absolute;left:0pt;margin-left:116.95pt;margin-top:324.15pt;height:8.25pt;width:12pt;z-index:251704320;mso-width-relative:page;mso-height-relative:page;" fillcolor="#FFFF00" filled="t" stroked="f" coordsize="21600,21600" o:gfxdata="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EV5lbdoAAAALAQAADwAAAAAAAAABACAAAAAiAAAA&#10;ZHJzL2Rvd25yZXYueG1sUEsBAhQAFAAAAAgAh07iQFYiIjPMAQAAkQMAAA4AAAAAAAAAAQAgAAAA&#10;KQEAAGRycy9lMm9Eb2MueG1sUEsFBgAAAAAGAAYAWQEAAGcFAAAAAA==&#10;">
                <v:fill on="t" opacity="34734f" focussize="0,0"/>
                <v:stroke on="f"/>
                <v:imagedata o:title=""/>
                <o:lock v:ext="edit" aspectratio="f"/>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79744" behindDoc="0" locked="0" layoutInCell="1" allowOverlap="1">
                <wp:simplePos x="0" y="0"/>
                <wp:positionH relativeFrom="column">
                  <wp:posOffset>7228840</wp:posOffset>
                </wp:positionH>
                <wp:positionV relativeFrom="paragraph">
                  <wp:posOffset>4678680</wp:posOffset>
                </wp:positionV>
                <wp:extent cx="152400" cy="104775"/>
                <wp:effectExtent l="0" t="0" r="0" b="9525"/>
                <wp:wrapNone/>
                <wp:docPr id="25" name="矩形 244"/>
                <wp:cNvGraphicFramePr/>
                <a:graphic xmlns:a="http://schemas.openxmlformats.org/drawingml/2006/main">
                  <a:graphicData uri="http://schemas.microsoft.com/office/word/2010/wordprocessingShape">
                    <wps:wsp>
                      <wps:cNvSpPr/>
                      <wps:spPr>
                        <a:xfrm>
                          <a:off x="0" y="0"/>
                          <a:ext cx="152400" cy="104775"/>
                        </a:xfrm>
                        <a:prstGeom prst="rect">
                          <a:avLst/>
                        </a:prstGeom>
                        <a:solidFill>
                          <a:srgbClr val="FFFF00">
                            <a:alpha val="53000"/>
                          </a:srgbClr>
                        </a:solidFill>
                        <a:ln>
                          <a:noFill/>
                        </a:ln>
                      </wps:spPr>
                      <wps:bodyPr wrap="square" upright="1"/>
                    </wps:wsp>
                  </a:graphicData>
                </a:graphic>
              </wp:anchor>
            </w:drawing>
          </mc:Choice>
          <mc:Fallback>
            <w:pict>
              <v:rect id="矩形 244" o:spid="_x0000_s1026" o:spt="1" style="position:absolute;left:0pt;margin-left:569.2pt;margin-top:368.4pt;height:8.25pt;width:12pt;z-index:251679744;mso-width-relative:page;mso-height-relative:page;" fillcolor="#FFFF00" filled="t" stroked="f" coordsize="21600,21600" o:gfxdata="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J2w+UvbAAAADQEAAA8AAAAAAAAAAQAgAAAAIgAA&#10;AGRycy9kb3ducmV2LnhtbFBLAQIUABQAAAAIAIdO4kAFwMYHzAEAAJADAAAOAAAAAAAAAAEAIAAA&#10;ACoBAABkcnMvZTJvRG9jLnhtbFBLBQYAAAAABgAGAFkBAABoBQAAAAA=&#10;">
                <v:fill on="t" opacity="34734f" focussize="0,0"/>
                <v:stroke on="f"/>
                <v:imagedata o:title=""/>
                <o:lock v:ext="edit" aspectratio="f"/>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78720" behindDoc="0" locked="0" layoutInCell="1" allowOverlap="1">
                <wp:simplePos x="0" y="0"/>
                <wp:positionH relativeFrom="column">
                  <wp:posOffset>7134225</wp:posOffset>
                </wp:positionH>
                <wp:positionV relativeFrom="paragraph">
                  <wp:posOffset>3860165</wp:posOffset>
                </wp:positionV>
                <wp:extent cx="1231265" cy="1090930"/>
                <wp:effectExtent l="4445" t="5080" r="13970" b="16510"/>
                <wp:wrapNone/>
                <wp:docPr id="22" name="矩形 241"/>
                <wp:cNvGraphicFramePr/>
                <a:graphic xmlns:a="http://schemas.openxmlformats.org/drawingml/2006/main">
                  <a:graphicData uri="http://schemas.microsoft.com/office/word/2010/wordprocessingShape">
                    <wps:wsp>
                      <wps:cNvSpPr/>
                      <wps:spPr>
                        <a:xfrm>
                          <a:off x="0" y="0"/>
                          <a:ext cx="1231265" cy="109093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83D2A7D">
                            <w:pPr>
                              <w:keepNext w:val="0"/>
                              <w:keepLines w:val="0"/>
                              <w:pageBreakBefore w:val="0"/>
                              <w:widowControl w:val="0"/>
                              <w:kinsoku/>
                              <w:wordWrap/>
                              <w:overflowPunct/>
                              <w:topLinePunct w:val="0"/>
                              <w:bidi w:val="0"/>
                              <w:adjustRightInd/>
                              <w:snapToGrid/>
                              <w:spacing w:before="0" w:beforeLines="50"/>
                              <w:jc w:val="center"/>
                              <w:textAlignment w:val="auto"/>
                              <w:rPr>
                                <w:rFonts w:hint="default"/>
                                <w:sz w:val="18"/>
                                <w:szCs w:val="18"/>
                                <w:lang w:val="en-US" w:eastAsia="zh-CN"/>
                              </w:rPr>
                            </w:pPr>
                            <w:r>
                              <w:rPr>
                                <w:rFonts w:hint="eastAsia"/>
                                <w:sz w:val="18"/>
                                <w:szCs w:val="18"/>
                                <w:lang w:val="en-US" w:eastAsia="zh-CN"/>
                              </w:rPr>
                              <w:t>图例</w:t>
                            </w:r>
                          </w:p>
                          <w:p w14:paraId="574CFECD">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eastAsia"/>
                                <w:sz w:val="18"/>
                                <w:szCs w:val="18"/>
                                <w:lang w:val="en-US" w:eastAsia="zh-CN"/>
                              </w:rPr>
                            </w:pPr>
                            <w:r>
                              <w:rPr>
                                <w:rFonts w:hint="eastAsia"/>
                                <w:sz w:val="18"/>
                                <w:szCs w:val="18"/>
                                <w:lang w:val="en-US" w:eastAsia="zh-CN"/>
                              </w:rPr>
                              <w:t>大气和噪声</w:t>
                            </w:r>
                          </w:p>
                          <w:p w14:paraId="22E5E2AC">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评价范围</w:t>
                            </w:r>
                          </w:p>
                          <w:p w14:paraId="090280D2">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环境保护目标</w:t>
                            </w:r>
                          </w:p>
                        </w:txbxContent>
                      </wps:txbx>
                      <wps:bodyPr vert="horz" wrap="square" anchor="t" anchorCtr="0" upright="1"/>
                    </wps:wsp>
                  </a:graphicData>
                </a:graphic>
              </wp:anchor>
            </w:drawing>
          </mc:Choice>
          <mc:Fallback>
            <w:pict>
              <v:rect id="矩形 241" o:spid="_x0000_s1026" o:spt="1" style="position:absolute;left:0pt;margin-left:561.75pt;margin-top:303.95pt;height:85.9pt;width:96.95pt;z-index:251678720;mso-width-relative:page;mso-height-relative:page;" fillcolor="#FFFFFF" filled="t" stroked="t" coordsize="21600,21600" o:gfxdata="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JdpizaAAAADQEAAA8AAAAAAAAAAQAgAAAAIgAAAGRycy9kb3ducmV2LnhtbFBLAQIUABQAAAAI&#10;AIdO4kCfrTU7JAIAAGAEAAAOAAAAAAAAAAEAIAAAACkBAABkcnMvZTJvRG9jLnhtbFBLBQYAAAAA&#10;BgAGAFkBAAC/BQAAAAA=&#10;">
                <v:fill on="t" focussize="0,0"/>
                <v:stroke color="#000000" joinstyle="miter"/>
                <v:imagedata o:title=""/>
                <o:lock v:ext="edit" aspectratio="f"/>
                <v:textbox>
                  <w:txbxContent>
                    <w:p w14:paraId="183D2A7D">
                      <w:pPr>
                        <w:keepNext w:val="0"/>
                        <w:keepLines w:val="0"/>
                        <w:pageBreakBefore w:val="0"/>
                        <w:widowControl w:val="0"/>
                        <w:kinsoku/>
                        <w:wordWrap/>
                        <w:overflowPunct/>
                        <w:topLinePunct w:val="0"/>
                        <w:bidi w:val="0"/>
                        <w:adjustRightInd/>
                        <w:snapToGrid/>
                        <w:spacing w:before="0" w:beforeLines="50"/>
                        <w:jc w:val="center"/>
                        <w:textAlignment w:val="auto"/>
                        <w:rPr>
                          <w:rFonts w:hint="default"/>
                          <w:sz w:val="18"/>
                          <w:szCs w:val="18"/>
                          <w:lang w:val="en-US" w:eastAsia="zh-CN"/>
                        </w:rPr>
                      </w:pPr>
                      <w:r>
                        <w:rPr>
                          <w:rFonts w:hint="eastAsia"/>
                          <w:sz w:val="18"/>
                          <w:szCs w:val="18"/>
                          <w:lang w:val="en-US" w:eastAsia="zh-CN"/>
                        </w:rPr>
                        <w:t>图例</w:t>
                      </w:r>
                    </w:p>
                    <w:p w14:paraId="574CFECD">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eastAsia"/>
                          <w:sz w:val="18"/>
                          <w:szCs w:val="18"/>
                          <w:lang w:val="en-US" w:eastAsia="zh-CN"/>
                        </w:rPr>
                      </w:pPr>
                      <w:r>
                        <w:rPr>
                          <w:rFonts w:hint="eastAsia"/>
                          <w:sz w:val="18"/>
                          <w:szCs w:val="18"/>
                          <w:lang w:val="en-US" w:eastAsia="zh-CN"/>
                        </w:rPr>
                        <w:t>大气和噪声</w:t>
                      </w:r>
                    </w:p>
                    <w:p w14:paraId="22E5E2AC">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评价范围</w:t>
                      </w:r>
                    </w:p>
                    <w:p w14:paraId="090280D2">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环境保护目标</w:t>
                      </w:r>
                    </w:p>
                  </w:txbxContent>
                </v:textbox>
              </v:rect>
            </w:pict>
          </mc:Fallback>
        </mc:AlternateContent>
      </w:r>
      <w:r>
        <w:rPr>
          <w:rFonts w:hint="default" w:ascii="Times New Roman" w:hAnsi="Times New Roman" w:cs="Times New Roman"/>
          <w:sz w:val="21"/>
          <w:highlight w:val="none"/>
        </w:rPr>
        <w:drawing>
          <wp:inline distT="0" distB="0" distL="114300" distR="114300">
            <wp:extent cx="8362950" cy="4940935"/>
            <wp:effectExtent l="0" t="0" r="0" b="12065"/>
            <wp:docPr id="138" name="图片 138" descr="1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14-200"/>
                    <pic:cNvPicPr>
                      <a:picLocks noChangeAspect="1"/>
                    </pic:cNvPicPr>
                  </pic:nvPicPr>
                  <pic:blipFill>
                    <a:blip r:embed="rId40"/>
                    <a:stretch>
                      <a:fillRect/>
                    </a:stretch>
                  </pic:blipFill>
                  <pic:spPr>
                    <a:xfrm>
                      <a:off x="0" y="0"/>
                      <a:ext cx="8362950" cy="4940935"/>
                    </a:xfrm>
                    <a:prstGeom prst="rect">
                      <a:avLst/>
                    </a:prstGeom>
                  </pic:spPr>
                </pic:pic>
              </a:graphicData>
            </a:graphic>
          </wp:inline>
        </w:drawing>
      </w:r>
    </w:p>
    <w:p w14:paraId="1202C9CA">
      <w:pPr>
        <w:bidi w:val="0"/>
        <w:rPr>
          <w:rFonts w:hint="default" w:ascii="Times New Roman" w:hAnsi="Times New Roman" w:cs="Times New Roman"/>
          <w:highlight w:val="none"/>
        </w:rPr>
      </w:pPr>
    </w:p>
    <w:p w14:paraId="1F88B8C5">
      <w:pPr>
        <w:pStyle w:val="3"/>
        <w:bidi w:val="0"/>
        <w:rPr>
          <w:rFonts w:hint="default" w:ascii="Times New Roman" w:hAnsi="Times New Roman" w:cs="Times New Roman"/>
          <w:highlight w:val="none"/>
          <w:lang w:val="en-US" w:eastAsia="zh-CN"/>
        </w:rPr>
      </w:pPr>
      <w:bookmarkStart w:id="73" w:name="_Toc25879"/>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7（1）  评价范围及环境保护目标分布图</w:t>
      </w:r>
      <w:bookmarkEnd w:id="73"/>
    </w:p>
    <w:p w14:paraId="562CFC3E">
      <w:pPr>
        <w:bidi w:val="0"/>
        <w:rPr>
          <w:rFonts w:hint="default" w:ascii="Times New Roman" w:hAnsi="Times New Roman" w:cs="Times New Roman"/>
          <w:highlight w:val="none"/>
          <w:lang w:eastAsia="zh-CN"/>
        </w:rPr>
      </w:pPr>
    </w:p>
    <w:p w14:paraId="25D2A713">
      <w:pPr>
        <w:bidi w:val="0"/>
        <w:rPr>
          <w:rFonts w:hint="default" w:ascii="Times New Roman" w:hAnsi="Times New Roman" w:eastAsia="宋体" w:cs="Times New Roman"/>
          <w:highlight w:val="none"/>
          <w:lang w:eastAsia="zh-CN"/>
        </w:rPr>
      </w:pPr>
      <w:r>
        <w:rPr>
          <w:rFonts w:hint="default" w:ascii="Times New Roman" w:hAnsi="Times New Roman" w:cs="Times New Roman"/>
          <w:highlight w:val="none"/>
        </w:rPr>
        <w:drawing>
          <wp:inline distT="0" distB="0" distL="114300" distR="114300">
            <wp:extent cx="8362950" cy="4940935"/>
            <wp:effectExtent l="0" t="0" r="0" b="12065"/>
            <wp:docPr id="154" name="图片 154" descr="14-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14-all"/>
                    <pic:cNvPicPr>
                      <a:picLocks noChangeAspect="1"/>
                    </pic:cNvPicPr>
                  </pic:nvPicPr>
                  <pic:blipFill>
                    <a:blip r:embed="rId41"/>
                    <a:stretch>
                      <a:fillRect/>
                    </a:stretch>
                  </pic:blipFill>
                  <pic:spPr>
                    <a:xfrm>
                      <a:off x="0" y="0"/>
                      <a:ext cx="8362950" cy="4940935"/>
                    </a:xfrm>
                    <a:prstGeom prst="rect">
                      <a:avLst/>
                    </a:prstGeom>
                  </pic:spPr>
                </pic:pic>
              </a:graphicData>
            </a:graphic>
          </wp:inline>
        </w:drawing>
      </w:r>
      <w:r>
        <w:rPr>
          <w:rFonts w:hint="default" w:ascii="Times New Roman" w:hAnsi="Times New Roman" w:cs="Times New Roman"/>
          <w:highlight w:val="none"/>
        </w:rPr>
        <w:drawing>
          <wp:anchor distT="0" distB="0" distL="114300" distR="114300" simplePos="0" relativeHeight="251710464" behindDoc="0" locked="0" layoutInCell="1" allowOverlap="1">
            <wp:simplePos x="0" y="0"/>
            <wp:positionH relativeFrom="column">
              <wp:posOffset>38100</wp:posOffset>
            </wp:positionH>
            <wp:positionV relativeFrom="paragraph">
              <wp:posOffset>4676775</wp:posOffset>
            </wp:positionV>
            <wp:extent cx="952500" cy="243205"/>
            <wp:effectExtent l="0" t="0" r="0" b="4445"/>
            <wp:wrapNone/>
            <wp:docPr id="1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9"/>
                    <pic:cNvPicPr>
                      <a:picLocks noChangeAspect="1"/>
                    </pic:cNvPicPr>
                  </pic:nvPicPr>
                  <pic:blipFill>
                    <a:blip r:embed="rId39"/>
                    <a:stretch>
                      <a:fillRect/>
                    </a:stretch>
                  </pic:blipFill>
                  <pic:spPr>
                    <a:xfrm>
                      <a:off x="0" y="0"/>
                      <a:ext cx="952500" cy="243205"/>
                    </a:xfrm>
                    <a:prstGeom prst="rect">
                      <a:avLst/>
                    </a:prstGeom>
                    <a:noFill/>
                    <a:ln>
                      <a:noFill/>
                    </a:ln>
                  </pic:spPr>
                </pic:pic>
              </a:graphicData>
            </a:graphic>
          </wp:anchor>
        </w:drawing>
      </w:r>
      <w:r>
        <w:rPr>
          <w:rFonts w:hint="default" w:ascii="Times New Roman" w:hAnsi="Times New Roman" w:cs="Times New Roman"/>
          <w:highlight w:val="none"/>
        </w:rPr>
        <w:drawing>
          <wp:anchor distT="0" distB="0" distL="114300" distR="114300" simplePos="0" relativeHeight="251708416" behindDoc="0" locked="0" layoutInCell="1" allowOverlap="1">
            <wp:simplePos x="0" y="0"/>
            <wp:positionH relativeFrom="column">
              <wp:posOffset>7820025</wp:posOffset>
            </wp:positionH>
            <wp:positionV relativeFrom="paragraph">
              <wp:posOffset>36830</wp:posOffset>
            </wp:positionV>
            <wp:extent cx="520700" cy="552450"/>
            <wp:effectExtent l="0" t="0" r="12700" b="0"/>
            <wp:wrapNone/>
            <wp:docPr id="145"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69"/>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sz w:val="32"/>
          <w:highlight w:val="none"/>
        </w:rPr>
        <mc:AlternateContent>
          <mc:Choice Requires="wps">
            <w:drawing>
              <wp:anchor distT="0" distB="0" distL="114300" distR="114300" simplePos="0" relativeHeight="251709440" behindDoc="0" locked="0" layoutInCell="1" allowOverlap="1">
                <wp:simplePos x="0" y="0"/>
                <wp:positionH relativeFrom="column">
                  <wp:posOffset>7219315</wp:posOffset>
                </wp:positionH>
                <wp:positionV relativeFrom="paragraph">
                  <wp:posOffset>4250055</wp:posOffset>
                </wp:positionV>
                <wp:extent cx="152400" cy="104775"/>
                <wp:effectExtent l="0" t="0" r="0" b="9525"/>
                <wp:wrapNone/>
                <wp:docPr id="148" name="矩形 244"/>
                <wp:cNvGraphicFramePr/>
                <a:graphic xmlns:a="http://schemas.openxmlformats.org/drawingml/2006/main">
                  <a:graphicData uri="http://schemas.microsoft.com/office/word/2010/wordprocessingShape">
                    <wps:wsp>
                      <wps:cNvSpPr/>
                      <wps:spPr>
                        <a:xfrm>
                          <a:off x="0" y="0"/>
                          <a:ext cx="152400" cy="104775"/>
                        </a:xfrm>
                        <a:prstGeom prst="rect">
                          <a:avLst/>
                        </a:prstGeom>
                        <a:solidFill>
                          <a:srgbClr val="0739B9">
                            <a:alpha val="45000"/>
                          </a:srgbClr>
                        </a:solidFill>
                        <a:ln>
                          <a:noFill/>
                        </a:ln>
                      </wps:spPr>
                      <wps:bodyPr wrap="square" upright="1"/>
                    </wps:wsp>
                  </a:graphicData>
                </a:graphic>
              </wp:anchor>
            </w:drawing>
          </mc:Choice>
          <mc:Fallback>
            <w:pict>
              <v:rect id="矩形 244" o:spid="_x0000_s1026" o:spt="1" style="position:absolute;left:0pt;margin-left:568.45pt;margin-top:334.65pt;height:8.25pt;width:12pt;z-index:251709440;mso-width-relative:page;mso-height-relative:page;" fillcolor="#0739B9" filled="t" stroked="f" coordsize="21600,21600" o:gfxdata="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A+8r1jZAAAADQEAAA8AAAAAAAAAAQAgAAAAIgAA&#10;AGRycy9kb3ducmV2LnhtbFBLAQIUABQAAAAIAIdO4kBe+g8zzgEAAJEDAAAOAAAAAAAAAAEAIAAA&#10;ACgBAABkcnMvZTJvRG9jLnhtbFBLBQYAAAAABgAGAFkBAABoBQAAAAA=&#10;">
                <v:fill on="t" opacity="29491f" focussize="0,0"/>
                <v:stroke on="f"/>
                <v:imagedata o:title=""/>
                <o:lock v:ext="edit" aspectratio="f"/>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707392" behindDoc="0" locked="0" layoutInCell="1" allowOverlap="1">
                <wp:simplePos x="0" y="0"/>
                <wp:positionH relativeFrom="column">
                  <wp:posOffset>7134225</wp:posOffset>
                </wp:positionH>
                <wp:positionV relativeFrom="paragraph">
                  <wp:posOffset>3860165</wp:posOffset>
                </wp:positionV>
                <wp:extent cx="1162050" cy="1056640"/>
                <wp:effectExtent l="4445" t="4445" r="14605" b="5715"/>
                <wp:wrapNone/>
                <wp:docPr id="149" name="矩形 241"/>
                <wp:cNvGraphicFramePr/>
                <a:graphic xmlns:a="http://schemas.openxmlformats.org/drawingml/2006/main">
                  <a:graphicData uri="http://schemas.microsoft.com/office/word/2010/wordprocessingShape">
                    <wps:wsp>
                      <wps:cNvSpPr/>
                      <wps:spPr>
                        <a:xfrm>
                          <a:off x="0" y="0"/>
                          <a:ext cx="1162050" cy="10566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7A358CC">
                            <w:pPr>
                              <w:keepNext w:val="0"/>
                              <w:keepLines w:val="0"/>
                              <w:pageBreakBefore w:val="0"/>
                              <w:widowControl w:val="0"/>
                              <w:kinsoku/>
                              <w:wordWrap/>
                              <w:overflowPunct/>
                              <w:topLinePunct w:val="0"/>
                              <w:bidi w:val="0"/>
                              <w:adjustRightInd/>
                              <w:snapToGrid/>
                              <w:spacing w:before="0" w:beforeLines="50"/>
                              <w:jc w:val="center"/>
                              <w:textAlignment w:val="auto"/>
                              <w:rPr>
                                <w:rFonts w:hint="default"/>
                                <w:sz w:val="18"/>
                                <w:szCs w:val="18"/>
                                <w:lang w:val="en-US" w:eastAsia="zh-CN"/>
                              </w:rPr>
                            </w:pPr>
                            <w:r>
                              <w:rPr>
                                <w:rFonts w:hint="eastAsia"/>
                                <w:sz w:val="18"/>
                                <w:szCs w:val="18"/>
                                <w:lang w:val="en-US" w:eastAsia="zh-CN"/>
                              </w:rPr>
                              <w:t>图例</w:t>
                            </w:r>
                          </w:p>
                          <w:p w14:paraId="7DBCC648">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生态评价范围</w:t>
                            </w:r>
                          </w:p>
                          <w:p w14:paraId="70F6BC1E">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p>
                        </w:txbxContent>
                      </wps:txbx>
                      <wps:bodyPr vert="horz" wrap="square" anchor="t" anchorCtr="0" upright="1"/>
                    </wps:wsp>
                  </a:graphicData>
                </a:graphic>
              </wp:anchor>
            </w:drawing>
          </mc:Choice>
          <mc:Fallback>
            <w:pict>
              <v:rect id="矩形 241" o:spid="_x0000_s1026" o:spt="1" style="position:absolute;left:0pt;margin-left:561.75pt;margin-top:303.95pt;height:83.2pt;width:91.5pt;z-index:251707392;mso-width-relative:page;mso-height-relative:page;" fillcolor="#FFFFFF" filled="t" stroked="t" coordsize="21600,21600" o:gfxdata="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ckU0t2gAAAA0BAAAPAAAAAAAAAAEAIAAAACIAAABkcnMvZG93bnJldi54bWxQSwECFAAUAAAA&#10;CACHTuJAHYeVMSUCAABhBAAADgAAAAAAAAABACAAAAApAQAAZHJzL2Uyb0RvYy54bWxQSwUGAAAA&#10;AAYABgBZAQAAwAUAAAAA&#10;">
                <v:fill on="t" focussize="0,0"/>
                <v:stroke color="#000000" joinstyle="miter"/>
                <v:imagedata o:title=""/>
                <o:lock v:ext="edit" aspectratio="f"/>
                <v:textbox>
                  <w:txbxContent>
                    <w:p w14:paraId="07A358CC">
                      <w:pPr>
                        <w:keepNext w:val="0"/>
                        <w:keepLines w:val="0"/>
                        <w:pageBreakBefore w:val="0"/>
                        <w:widowControl w:val="0"/>
                        <w:kinsoku/>
                        <w:wordWrap/>
                        <w:overflowPunct/>
                        <w:topLinePunct w:val="0"/>
                        <w:bidi w:val="0"/>
                        <w:adjustRightInd/>
                        <w:snapToGrid/>
                        <w:spacing w:before="0" w:beforeLines="50"/>
                        <w:jc w:val="center"/>
                        <w:textAlignment w:val="auto"/>
                        <w:rPr>
                          <w:rFonts w:hint="default"/>
                          <w:sz w:val="18"/>
                          <w:szCs w:val="18"/>
                          <w:lang w:val="en-US" w:eastAsia="zh-CN"/>
                        </w:rPr>
                      </w:pPr>
                      <w:r>
                        <w:rPr>
                          <w:rFonts w:hint="eastAsia"/>
                          <w:sz w:val="18"/>
                          <w:szCs w:val="18"/>
                          <w:lang w:val="en-US" w:eastAsia="zh-CN"/>
                        </w:rPr>
                        <w:t>图例</w:t>
                      </w:r>
                    </w:p>
                    <w:p w14:paraId="7DBCC648">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生态评价范围</w:t>
                      </w:r>
                    </w:p>
                    <w:p w14:paraId="70F6BC1E">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p>
                  </w:txbxContent>
                </v:textbox>
              </v:rect>
            </w:pict>
          </mc:Fallback>
        </mc:AlternateContent>
      </w:r>
    </w:p>
    <w:p w14:paraId="6133DDD7">
      <w:pPr>
        <w:bidi w:val="0"/>
        <w:rPr>
          <w:rFonts w:hint="default" w:ascii="Times New Roman" w:hAnsi="Times New Roman" w:cs="Times New Roman"/>
          <w:highlight w:val="none"/>
        </w:rPr>
      </w:pPr>
    </w:p>
    <w:p w14:paraId="75FEECAA">
      <w:pPr>
        <w:pStyle w:val="3"/>
        <w:bidi w:val="0"/>
        <w:rPr>
          <w:rFonts w:hint="default" w:ascii="Times New Roman" w:hAnsi="Times New Roman" w:cs="Times New Roman"/>
          <w:b/>
          <w:bCs/>
          <w:szCs w:val="32"/>
          <w:highlight w:val="none"/>
          <w:lang w:val="en-US" w:eastAsia="zh-CN"/>
        </w:rPr>
      </w:pPr>
      <w:bookmarkStart w:id="74" w:name="_Toc11223"/>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7（2）  评价范围及环境保护目标分布图</w:t>
      </w:r>
      <w:bookmarkEnd w:id="74"/>
    </w:p>
    <w:p w14:paraId="70CEAC82">
      <w:pPr>
        <w:ind w:firstLine="0"/>
        <w:jc w:val="left"/>
        <w:outlineLvl w:val="9"/>
        <w:rPr>
          <w:rFonts w:hint="default" w:ascii="Times New Roman" w:hAnsi="Times New Roman" w:cs="Times New Roman"/>
          <w:highlight w:val="none"/>
          <w:lang w:val="en-US" w:eastAsia="zh-CN"/>
        </w:rPr>
      </w:pPr>
    </w:p>
    <w:p w14:paraId="7073D2F1">
      <w:pPr>
        <w:keepNext w:val="0"/>
        <w:keepLines w:val="0"/>
        <w:pageBreakBefore w:val="0"/>
        <w:widowControl w:val="0"/>
        <w:kinsoku/>
        <w:wordWrap/>
        <w:overflowPunct/>
        <w:topLinePunct w:val="0"/>
        <w:autoSpaceDE/>
        <w:autoSpaceDN/>
        <w:bidi w:val="0"/>
        <w:adjustRightInd/>
        <w:snapToGrid/>
        <w:ind w:firstLine="0"/>
        <w:jc w:val="center"/>
        <w:textAlignment w:val="auto"/>
        <w:outlineLvl w:val="1"/>
        <w:rPr>
          <w:rFonts w:hint="default" w:ascii="Times New Roman" w:hAnsi="Times New Roman" w:cs="Times New Roman"/>
          <w:highlight w:val="none"/>
          <w:lang w:eastAsia="zh-CN"/>
        </w:rPr>
        <w:sectPr>
          <w:pgSz w:w="16838" w:h="11906" w:orient="landscape"/>
          <w:pgMar w:top="1440" w:right="1800" w:bottom="1440" w:left="1800" w:header="851" w:footer="1077" w:gutter="0"/>
          <w:cols w:space="720" w:num="1"/>
          <w:docGrid w:linePitch="312" w:charSpace="0"/>
        </w:sectPr>
      </w:pPr>
    </w:p>
    <w:p w14:paraId="13E568DB">
      <w:pPr>
        <w:bidi w:val="0"/>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659264" behindDoc="1" locked="0" layoutInCell="1" allowOverlap="1">
            <wp:simplePos x="0" y="0"/>
            <wp:positionH relativeFrom="column">
              <wp:posOffset>1443990</wp:posOffset>
            </wp:positionH>
            <wp:positionV relativeFrom="paragraph">
              <wp:posOffset>2002790</wp:posOffset>
            </wp:positionV>
            <wp:extent cx="520700" cy="552450"/>
            <wp:effectExtent l="0" t="0" r="12700" b="0"/>
            <wp:wrapNone/>
            <wp:docPr id="1"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70"/>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anchor distT="0" distB="0" distL="114300" distR="114300" simplePos="0" relativeHeight="251677696" behindDoc="0" locked="0" layoutInCell="1" allowOverlap="1">
            <wp:simplePos x="0" y="0"/>
            <wp:positionH relativeFrom="column">
              <wp:posOffset>4291330</wp:posOffset>
            </wp:positionH>
            <wp:positionV relativeFrom="paragraph">
              <wp:posOffset>325755</wp:posOffset>
            </wp:positionV>
            <wp:extent cx="548640" cy="617855"/>
            <wp:effectExtent l="0" t="0" r="3810" b="10795"/>
            <wp:wrapNone/>
            <wp:docPr id="21"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6"/>
                    <pic:cNvPicPr>
                      <a:picLocks noChangeAspect="1"/>
                    </pic:cNvPicPr>
                  </pic:nvPicPr>
                  <pic:blipFill>
                    <a:blip r:embed="rId42"/>
                    <a:srcRect r="8000"/>
                    <a:stretch>
                      <a:fillRect/>
                    </a:stretch>
                  </pic:blipFill>
                  <pic:spPr>
                    <a:xfrm>
                      <a:off x="0" y="0"/>
                      <a:ext cx="548640" cy="617855"/>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5267960" cy="7364730"/>
            <wp:effectExtent l="0" t="0" r="8890" b="7620"/>
            <wp:docPr id="83"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40"/>
                    <pic:cNvPicPr>
                      <a:picLocks noChangeAspect="1"/>
                    </pic:cNvPicPr>
                  </pic:nvPicPr>
                  <pic:blipFill>
                    <a:blip r:embed="rId43"/>
                    <a:stretch>
                      <a:fillRect/>
                    </a:stretch>
                  </pic:blipFill>
                  <pic:spPr>
                    <a:xfrm>
                      <a:off x="0" y="0"/>
                      <a:ext cx="5267960" cy="7364730"/>
                    </a:xfrm>
                    <a:prstGeom prst="rect">
                      <a:avLst/>
                    </a:prstGeom>
                    <a:noFill/>
                    <a:ln>
                      <a:noFill/>
                    </a:ln>
                  </pic:spPr>
                </pic:pic>
              </a:graphicData>
            </a:graphic>
          </wp:inline>
        </w:drawing>
      </w:r>
    </w:p>
    <w:p w14:paraId="10B5100E">
      <w:pPr>
        <w:pStyle w:val="89"/>
        <w:jc w:val="center"/>
        <w:rPr>
          <w:rFonts w:hint="default" w:ascii="Times New Roman" w:hAnsi="Times New Roman" w:cs="Times New Roman"/>
          <w:color w:val="auto"/>
          <w:highlight w:val="none"/>
        </w:rPr>
      </w:pPr>
    </w:p>
    <w:p w14:paraId="40AF4287">
      <w:pPr>
        <w:pStyle w:val="3"/>
        <w:bidi w:val="0"/>
        <w:rPr>
          <w:rFonts w:hint="default" w:ascii="Times New Roman" w:hAnsi="Times New Roman" w:cs="Times New Roman"/>
          <w:highlight w:val="none"/>
          <w:lang w:eastAsia="zh-CN"/>
        </w:rPr>
      </w:pPr>
      <w:bookmarkStart w:id="75" w:name="_Toc19847"/>
      <w:bookmarkStart w:id="76" w:name="_Toc82120808"/>
      <w:r>
        <w:rPr>
          <w:rFonts w:hint="default" w:ascii="Times New Roman" w:hAnsi="Times New Roman" w:cs="Times New Roman"/>
          <w:highlight w:val="none"/>
          <w:lang w:eastAsia="zh-CN"/>
        </w:rPr>
        <w:t>附图</w:t>
      </w:r>
      <w:r>
        <w:rPr>
          <w:rFonts w:hint="default" w:ascii="Times New Roman" w:hAnsi="Times New Roman" w:cs="Times New Roman"/>
          <w:highlight w:val="none"/>
          <w:lang w:val="en-US" w:eastAsia="zh-CN"/>
        </w:rPr>
        <w:t xml:space="preserve">8  </w:t>
      </w:r>
      <w:r>
        <w:rPr>
          <w:rFonts w:hint="default" w:ascii="Times New Roman" w:hAnsi="Times New Roman" w:cs="Times New Roman"/>
          <w:highlight w:val="none"/>
          <w:lang w:eastAsia="zh-CN"/>
        </w:rPr>
        <w:t>工程所在流域水系图</w:t>
      </w:r>
      <w:bookmarkEnd w:id="75"/>
      <w:bookmarkEnd w:id="76"/>
    </w:p>
    <w:p w14:paraId="7ACC1804">
      <w:pPr>
        <w:pStyle w:val="22"/>
        <w:tabs>
          <w:tab w:val="left" w:pos="5633"/>
        </w:tabs>
        <w:adjustRightInd w:val="0"/>
        <w:snapToGrid w:val="0"/>
        <w:spacing w:before="0" w:beforeAutospacing="0" w:after="0" w:afterAutospacing="0" w:line="648" w:lineRule="auto"/>
        <w:ind w:firstLine="482"/>
        <w:outlineLvl w:val="0"/>
        <w:rPr>
          <w:rFonts w:hint="default" w:ascii="Times New Roman" w:hAnsi="Times New Roman" w:cs="Times New Roman"/>
          <w:b/>
          <w:color w:val="auto"/>
          <w:highlight w:val="none"/>
        </w:rPr>
        <w:sectPr>
          <w:pgSz w:w="11906" w:h="16838"/>
          <w:pgMar w:top="1440" w:right="1800" w:bottom="1440" w:left="1800" w:header="851" w:footer="1077" w:gutter="0"/>
          <w:cols w:space="720" w:num="1"/>
          <w:docGrid w:linePitch="312" w:charSpace="0"/>
        </w:sectPr>
      </w:pPr>
    </w:p>
    <w:p w14:paraId="121396B2">
      <w:pPr>
        <w:bidi w:val="0"/>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725824" behindDoc="0" locked="0" layoutInCell="1" allowOverlap="1">
                <wp:simplePos x="0" y="0"/>
                <wp:positionH relativeFrom="column">
                  <wp:posOffset>4088765</wp:posOffset>
                </wp:positionH>
                <wp:positionV relativeFrom="paragraph">
                  <wp:posOffset>3797935</wp:posOffset>
                </wp:positionV>
                <wp:extent cx="937260" cy="291465"/>
                <wp:effectExtent l="511810" t="557530" r="17780" b="8255"/>
                <wp:wrapNone/>
                <wp:docPr id="38" name="自选图形 772"/>
                <wp:cNvGraphicFramePr/>
                <a:graphic xmlns:a="http://schemas.openxmlformats.org/drawingml/2006/main">
                  <a:graphicData uri="http://schemas.microsoft.com/office/word/2010/wordprocessingShape">
                    <wps:wsp>
                      <wps:cNvSpPr/>
                      <wps:spPr>
                        <a:xfrm>
                          <a:off x="0" y="0"/>
                          <a:ext cx="937260" cy="291465"/>
                        </a:xfrm>
                        <a:prstGeom prst="wedgeRectCallout">
                          <a:avLst>
                            <a:gd name="adj1" fmla="val -101219"/>
                            <a:gd name="adj2" fmla="val -233006"/>
                          </a:avLst>
                        </a:prstGeom>
                        <a:solidFill>
                          <a:srgbClr val="FFFFFF"/>
                        </a:solidFill>
                        <a:ln w="9525" cap="flat" cmpd="sng">
                          <a:solidFill>
                            <a:srgbClr val="000000"/>
                          </a:solidFill>
                          <a:prstDash val="solid"/>
                          <a:miter/>
                          <a:headEnd type="none" w="med" len="med"/>
                          <a:tailEnd type="none" w="med" len="med"/>
                        </a:ln>
                      </wps:spPr>
                      <wps:txbx>
                        <w:txbxContent>
                          <w:p w14:paraId="3CC6307A">
                            <w:pPr>
                              <w:rPr>
                                <w:rFonts w:hint="default" w:eastAsia="宋体"/>
                                <w:lang w:val="en-US" w:eastAsia="zh-CN"/>
                              </w:rPr>
                            </w:pPr>
                            <w:r>
                              <w:rPr>
                                <w:rFonts w:hint="eastAsia"/>
                                <w:lang w:val="en-US" w:eastAsia="zh-CN"/>
                              </w:rPr>
                              <w:t>机械维修厂</w:t>
                            </w:r>
                          </w:p>
                        </w:txbxContent>
                      </wps:txbx>
                      <wps:bodyPr vert="horz" wrap="square" anchor="t" anchorCtr="0" upright="1"/>
                    </wps:wsp>
                  </a:graphicData>
                </a:graphic>
              </wp:anchor>
            </w:drawing>
          </mc:Choice>
          <mc:Fallback>
            <w:pict>
              <v:shape id="自选图形 772" o:spid="_x0000_s1026" o:spt="61" type="#_x0000_t61" style="position:absolute;left:0pt;margin-left:321.95pt;margin-top:299.05pt;height:22.95pt;width:73.8pt;z-index:251725824;mso-width-relative:page;mso-height-relative:page;" fillcolor="#FFFFFF" filled="t" stroked="t" coordsize="21600,21600" o:gfxdata="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YhYuKNwAAAALAQAADwAAAAAAAAABACAAAAAiAAAAZHJzL2Rvd25yZXYueG1sUEsBAhQAFAAAAAgA&#10;h07iQNrww8BaAgAAxQQAAA4AAAAAAAAAAQAgAAAAKwEAAGRycy9lMm9Eb2MueG1sUEsFBgAAAAAG&#10;AAYAWQEAAPcFAAAAAA==&#10;" adj="-11063,-39529">
                <v:fill on="t" focussize="0,0"/>
                <v:stroke color="#000000" joinstyle="miter"/>
                <v:imagedata o:title=""/>
                <o:lock v:ext="edit" aspectratio="f"/>
                <v:textbox>
                  <w:txbxContent>
                    <w:p w14:paraId="3CC6307A">
                      <w:pPr>
                        <w:rPr>
                          <w:rFonts w:hint="default" w:eastAsia="宋体"/>
                          <w:lang w:val="en-US" w:eastAsia="zh-CN"/>
                        </w:rPr>
                      </w:pPr>
                      <w:r>
                        <w:rPr>
                          <w:rFonts w:hint="eastAsia"/>
                          <w:lang w:val="en-US" w:eastAsia="zh-CN"/>
                        </w:rPr>
                        <w:t>机械维修厂</w:t>
                      </w:r>
                    </w:p>
                  </w:txbxContent>
                </v:textbox>
              </v:shape>
            </w:pict>
          </mc:Fallback>
        </mc:AlternateContent>
      </w:r>
      <w:r>
        <w:rPr>
          <w:rFonts w:hint="default" w:ascii="Times New Roman" w:hAnsi="Times New Roman" w:cs="Times New Roman"/>
          <w:highlight w:val="none"/>
        </w:rPr>
        <w:drawing>
          <wp:anchor distT="0" distB="0" distL="114300" distR="114300" simplePos="0" relativeHeight="251688960" behindDoc="0" locked="0" layoutInCell="1" allowOverlap="1">
            <wp:simplePos x="0" y="0"/>
            <wp:positionH relativeFrom="column">
              <wp:posOffset>34290</wp:posOffset>
            </wp:positionH>
            <wp:positionV relativeFrom="paragraph">
              <wp:posOffset>8255</wp:posOffset>
            </wp:positionV>
            <wp:extent cx="520700" cy="552450"/>
            <wp:effectExtent l="0" t="0" r="12700" b="0"/>
            <wp:wrapNone/>
            <wp:docPr id="48"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71"/>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mc:AlternateContent>
          <mc:Choice Requires="wps">
            <w:drawing>
              <wp:anchor distT="0" distB="0" distL="114300" distR="114300" simplePos="0" relativeHeight="251660288" behindDoc="0" locked="0" layoutInCell="1" allowOverlap="1">
                <wp:simplePos x="0" y="0"/>
                <wp:positionH relativeFrom="column">
                  <wp:posOffset>4291330</wp:posOffset>
                </wp:positionH>
                <wp:positionV relativeFrom="paragraph">
                  <wp:posOffset>2317115</wp:posOffset>
                </wp:positionV>
                <wp:extent cx="1095375" cy="1276350"/>
                <wp:effectExtent l="709930" t="4445" r="23495" b="14605"/>
                <wp:wrapNone/>
                <wp:docPr id="2" name="自选图形 771"/>
                <wp:cNvGraphicFramePr/>
                <a:graphic xmlns:a="http://schemas.openxmlformats.org/drawingml/2006/main">
                  <a:graphicData uri="http://schemas.microsoft.com/office/word/2010/wordprocessingShape">
                    <wps:wsp>
                      <wps:cNvSpPr/>
                      <wps:spPr>
                        <a:xfrm>
                          <a:off x="0" y="0"/>
                          <a:ext cx="1095375" cy="1276350"/>
                        </a:xfrm>
                        <a:prstGeom prst="wedgeRectCallout">
                          <a:avLst>
                            <a:gd name="adj1" fmla="val -112894"/>
                            <a:gd name="adj2" fmla="val 14079"/>
                          </a:avLst>
                        </a:prstGeom>
                        <a:solidFill>
                          <a:srgbClr val="FFFFFF"/>
                        </a:solidFill>
                        <a:ln w="9525" cap="flat" cmpd="sng">
                          <a:solidFill>
                            <a:srgbClr val="000000"/>
                          </a:solidFill>
                          <a:prstDash val="solid"/>
                          <a:miter/>
                          <a:headEnd type="none" w="med" len="med"/>
                          <a:tailEnd type="none" w="med" len="med"/>
                        </a:ln>
                      </wps:spPr>
                      <wps:txbx>
                        <w:txbxContent>
                          <w:p w14:paraId="303C5E31">
                            <w:pPr>
                              <w:rPr>
                                <w:rFonts w:hint="eastAsia" w:eastAsia="宋体"/>
                                <w:lang w:eastAsia="zh-CN"/>
                              </w:rPr>
                            </w:pPr>
                            <w:r>
                              <w:rPr>
                                <w:rFonts w:hint="eastAsia"/>
                              </w:rPr>
                              <w:t>施工生产生活区</w:t>
                            </w:r>
                            <w:r>
                              <w:rPr>
                                <w:rFonts w:hint="eastAsia"/>
                                <w:lang w:eastAsia="zh-CN"/>
                              </w:rPr>
                              <w:t>:</w:t>
                            </w:r>
                            <w:r>
                              <w:rPr>
                                <w:rFonts w:hint="eastAsia"/>
                                <w:lang w:val="en-US" w:eastAsia="zh-CN"/>
                              </w:rPr>
                              <w:t>表土剥离，</w:t>
                            </w:r>
                            <w:r>
                              <w:rPr>
                                <w:rFonts w:hint="eastAsia"/>
                              </w:rPr>
                              <w:t>编织袋拦挡，</w:t>
                            </w:r>
                            <w:r>
                              <w:rPr>
                                <w:rFonts w:hint="eastAsia"/>
                                <w:lang w:eastAsia="zh-CN"/>
                              </w:rPr>
                              <w:t>密目网覆盖，</w:t>
                            </w:r>
                            <w:r>
                              <w:rPr>
                                <w:rFonts w:hint="eastAsia"/>
                              </w:rPr>
                              <w:t>临时排水沟和土地复垦</w:t>
                            </w:r>
                            <w:r>
                              <w:rPr>
                                <w:rFonts w:hint="eastAsia"/>
                                <w:lang w:eastAsia="zh-CN"/>
                              </w:rPr>
                              <w:t>、撒播种草</w:t>
                            </w:r>
                          </w:p>
                        </w:txbxContent>
                      </wps:txbx>
                      <wps:bodyPr vert="horz" wrap="square" anchor="t" anchorCtr="0" upright="1"/>
                    </wps:wsp>
                  </a:graphicData>
                </a:graphic>
              </wp:anchor>
            </w:drawing>
          </mc:Choice>
          <mc:Fallback>
            <w:pict>
              <v:shape id="自选图形 771" o:spid="_x0000_s1026" o:spt="61" type="#_x0000_t61" style="position:absolute;left:0pt;margin-left:337.9pt;margin-top:182.45pt;height:100.5pt;width:86.25pt;z-index:251660288;mso-width-relative:page;mso-height-relative:page;" fillcolor="#FFFFFF" filled="t" stroked="t" coordsize="21600,21600" o:gfxdata="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GZ1zt3AAAAAsBAAAPAAAAAAAAAAEAIAAAACIAAABkcnMvZG93bnJldi54bWxQSwECFAAUAAAA&#10;CACHTuJAesee/VwCAADEBAAADgAAAAAAAAABACAAAAArAQAAZHJzL2Uyb0RvYy54bWxQSwUGAAAA&#10;AAYABgBZAQAA+QUAAAAA&#10;" adj="-13585,13841">
                <v:fill on="t" focussize="0,0"/>
                <v:stroke color="#000000" joinstyle="miter"/>
                <v:imagedata o:title=""/>
                <o:lock v:ext="edit" aspectratio="f"/>
                <v:textbox>
                  <w:txbxContent>
                    <w:p w14:paraId="303C5E31">
                      <w:pPr>
                        <w:rPr>
                          <w:rFonts w:hint="eastAsia" w:eastAsia="宋体"/>
                          <w:lang w:eastAsia="zh-CN"/>
                        </w:rPr>
                      </w:pPr>
                      <w:r>
                        <w:rPr>
                          <w:rFonts w:hint="eastAsia"/>
                        </w:rPr>
                        <w:t>施工生产生活区</w:t>
                      </w:r>
                      <w:r>
                        <w:rPr>
                          <w:rFonts w:hint="eastAsia"/>
                          <w:lang w:eastAsia="zh-CN"/>
                        </w:rPr>
                        <w:t>:</w:t>
                      </w:r>
                      <w:r>
                        <w:rPr>
                          <w:rFonts w:hint="eastAsia"/>
                          <w:lang w:val="en-US" w:eastAsia="zh-CN"/>
                        </w:rPr>
                        <w:t>表土剥离，</w:t>
                      </w:r>
                      <w:r>
                        <w:rPr>
                          <w:rFonts w:hint="eastAsia"/>
                        </w:rPr>
                        <w:t>编织袋拦挡，</w:t>
                      </w:r>
                      <w:r>
                        <w:rPr>
                          <w:rFonts w:hint="eastAsia"/>
                          <w:lang w:eastAsia="zh-CN"/>
                        </w:rPr>
                        <w:t>密目网覆盖，</w:t>
                      </w:r>
                      <w:r>
                        <w:rPr>
                          <w:rFonts w:hint="eastAsia"/>
                        </w:rPr>
                        <w:t>临时排水沟和土地复垦</w:t>
                      </w:r>
                      <w:r>
                        <w:rPr>
                          <w:rFonts w:hint="eastAsia"/>
                          <w:lang w:eastAsia="zh-CN"/>
                        </w:rPr>
                        <w:t>、撒播种草</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62336" behindDoc="0" locked="0" layoutInCell="1" allowOverlap="1">
                <wp:simplePos x="0" y="0"/>
                <wp:positionH relativeFrom="column">
                  <wp:posOffset>1609725</wp:posOffset>
                </wp:positionH>
                <wp:positionV relativeFrom="paragraph">
                  <wp:posOffset>4331335</wp:posOffset>
                </wp:positionV>
                <wp:extent cx="923925" cy="1362710"/>
                <wp:effectExtent l="240665" t="224155" r="16510" b="13335"/>
                <wp:wrapNone/>
                <wp:docPr id="4" name="自选图形 772"/>
                <wp:cNvGraphicFramePr/>
                <a:graphic xmlns:a="http://schemas.openxmlformats.org/drawingml/2006/main">
                  <a:graphicData uri="http://schemas.microsoft.com/office/word/2010/wordprocessingShape">
                    <wps:wsp>
                      <wps:cNvSpPr/>
                      <wps:spPr>
                        <a:xfrm>
                          <a:off x="0" y="0"/>
                          <a:ext cx="923925" cy="1362710"/>
                        </a:xfrm>
                        <a:prstGeom prst="wedgeRectCallout">
                          <a:avLst>
                            <a:gd name="adj1" fmla="val -74394"/>
                            <a:gd name="adj2" fmla="val -63833"/>
                          </a:avLst>
                        </a:prstGeom>
                        <a:solidFill>
                          <a:srgbClr val="FFFFFF"/>
                        </a:solidFill>
                        <a:ln w="9525" cap="flat" cmpd="sng">
                          <a:solidFill>
                            <a:srgbClr val="000000"/>
                          </a:solidFill>
                          <a:prstDash val="solid"/>
                          <a:miter/>
                          <a:headEnd type="none" w="med" len="med"/>
                          <a:tailEnd type="none" w="med" len="med"/>
                        </a:ln>
                      </wps:spPr>
                      <wps:txbx>
                        <w:txbxContent>
                          <w:p w14:paraId="3062A8E8">
                            <w:pPr>
                              <w:rPr>
                                <w:rFonts w:hint="eastAsia" w:eastAsia="宋体"/>
                                <w:lang w:eastAsia="zh-CN"/>
                              </w:rPr>
                            </w:pPr>
                            <w:r>
                              <w:rPr>
                                <w:rFonts w:hint="eastAsia"/>
                                <w:lang w:val="en-US" w:eastAsia="zh-CN"/>
                              </w:rPr>
                              <w:t>主体工程</w:t>
                            </w:r>
                            <w:r>
                              <w:rPr>
                                <w:rFonts w:hint="eastAsia"/>
                              </w:rPr>
                              <w:t>区</w:t>
                            </w:r>
                            <w:r>
                              <w:rPr>
                                <w:rFonts w:hint="eastAsia"/>
                                <w:lang w:eastAsia="zh-CN"/>
                              </w:rPr>
                              <w:t>:</w:t>
                            </w:r>
                            <w:r>
                              <w:rPr>
                                <w:rFonts w:hint="eastAsia"/>
                                <w:lang w:val="en-US" w:eastAsia="zh-CN"/>
                              </w:rPr>
                              <w:t>表土剥离，编织袋拦挡，</w:t>
                            </w:r>
                            <w:r>
                              <w:rPr>
                                <w:rFonts w:hint="eastAsia"/>
                              </w:rPr>
                              <w:t>土地复垦</w:t>
                            </w:r>
                            <w:r>
                              <w:rPr>
                                <w:rFonts w:hint="eastAsia"/>
                                <w:lang w:eastAsia="zh-CN"/>
                              </w:rPr>
                              <w:t>、撒播种草</w:t>
                            </w:r>
                          </w:p>
                        </w:txbxContent>
                      </wps:txbx>
                      <wps:bodyPr vert="horz" wrap="square" anchor="t" anchorCtr="0" upright="1"/>
                    </wps:wsp>
                  </a:graphicData>
                </a:graphic>
              </wp:anchor>
            </w:drawing>
          </mc:Choice>
          <mc:Fallback>
            <w:pict>
              <v:shape id="自选图形 772" o:spid="_x0000_s1026" o:spt="61" type="#_x0000_t61" style="position:absolute;left:0pt;margin-left:126.75pt;margin-top:341.05pt;height:107.3pt;width:72.75pt;z-index:251662336;mso-width-relative:page;mso-height-relative:page;" fillcolor="#FFFFFF" filled="t" stroked="t" coordsize="21600,21600" o:gfxdata="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hyX&#10;adoAAAALAQAADwAAAAAAAAABACAAAAAiAAAAZHJzL2Rvd25yZXYueG1sUEsBAhQAFAAAAAgAh07i&#10;QO/6xcpZAgAAwwQAAA4AAAAAAAAAAQAgAAAAKQEAAGRycy9lMm9Eb2MueG1sUEsFBgAAAAAGAAYA&#10;WQEAAPQFAAAAAA==&#10;" adj="-5269,-2988">
                <v:fill on="t" focussize="0,0"/>
                <v:stroke color="#000000" joinstyle="miter"/>
                <v:imagedata o:title=""/>
                <o:lock v:ext="edit" aspectratio="f"/>
                <v:textbox>
                  <w:txbxContent>
                    <w:p w14:paraId="3062A8E8">
                      <w:pPr>
                        <w:rPr>
                          <w:rFonts w:hint="eastAsia" w:eastAsia="宋体"/>
                          <w:lang w:eastAsia="zh-CN"/>
                        </w:rPr>
                      </w:pPr>
                      <w:r>
                        <w:rPr>
                          <w:rFonts w:hint="eastAsia"/>
                          <w:lang w:val="en-US" w:eastAsia="zh-CN"/>
                        </w:rPr>
                        <w:t>主体工程</w:t>
                      </w:r>
                      <w:r>
                        <w:rPr>
                          <w:rFonts w:hint="eastAsia"/>
                        </w:rPr>
                        <w:t>区</w:t>
                      </w:r>
                      <w:r>
                        <w:rPr>
                          <w:rFonts w:hint="eastAsia"/>
                          <w:lang w:eastAsia="zh-CN"/>
                        </w:rPr>
                        <w:t>:</w:t>
                      </w:r>
                      <w:r>
                        <w:rPr>
                          <w:rFonts w:hint="eastAsia"/>
                          <w:lang w:val="en-US" w:eastAsia="zh-CN"/>
                        </w:rPr>
                        <w:t>表土剥离，编织袋拦挡，</w:t>
                      </w:r>
                      <w:r>
                        <w:rPr>
                          <w:rFonts w:hint="eastAsia"/>
                        </w:rPr>
                        <w:t>土地复垦</w:t>
                      </w:r>
                      <w:r>
                        <w:rPr>
                          <w:rFonts w:hint="eastAsia"/>
                          <w:lang w:eastAsia="zh-CN"/>
                        </w:rPr>
                        <w:t>、撒播种草</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61312" behindDoc="0" locked="0" layoutInCell="1" allowOverlap="1">
                <wp:simplePos x="0" y="0"/>
                <wp:positionH relativeFrom="column">
                  <wp:posOffset>726440</wp:posOffset>
                </wp:positionH>
                <wp:positionV relativeFrom="paragraph">
                  <wp:posOffset>1440815</wp:posOffset>
                </wp:positionV>
                <wp:extent cx="923925" cy="1362710"/>
                <wp:effectExtent l="4445" t="4445" r="1090930" b="23495"/>
                <wp:wrapNone/>
                <wp:docPr id="3" name="自选图形 772"/>
                <wp:cNvGraphicFramePr/>
                <a:graphic xmlns:a="http://schemas.openxmlformats.org/drawingml/2006/main">
                  <a:graphicData uri="http://schemas.microsoft.com/office/word/2010/wordprocessingShape">
                    <wps:wsp>
                      <wps:cNvSpPr/>
                      <wps:spPr>
                        <a:xfrm>
                          <a:off x="0" y="0"/>
                          <a:ext cx="923925" cy="1362710"/>
                        </a:xfrm>
                        <a:prstGeom prst="wedgeRectCallout">
                          <a:avLst>
                            <a:gd name="adj1" fmla="val 163264"/>
                            <a:gd name="adj2" fmla="val 43102"/>
                          </a:avLst>
                        </a:prstGeom>
                        <a:solidFill>
                          <a:srgbClr val="FFFFFF"/>
                        </a:solidFill>
                        <a:ln w="9525" cap="flat" cmpd="sng">
                          <a:solidFill>
                            <a:srgbClr val="000000"/>
                          </a:solidFill>
                          <a:prstDash val="solid"/>
                          <a:miter/>
                          <a:headEnd type="none" w="med" len="med"/>
                          <a:tailEnd type="none" w="med" len="med"/>
                        </a:ln>
                      </wps:spPr>
                      <wps:txbx>
                        <w:txbxContent>
                          <w:p w14:paraId="21901259">
                            <w:pPr>
                              <w:rPr>
                                <w:rFonts w:hint="eastAsia" w:eastAsia="宋体"/>
                                <w:lang w:eastAsia="zh-CN"/>
                              </w:rPr>
                            </w:pPr>
                            <w:r>
                              <w:rPr>
                                <w:rFonts w:hint="eastAsia"/>
                                <w:lang w:val="en-US" w:eastAsia="zh-CN"/>
                              </w:rPr>
                              <w:t>主体工程</w:t>
                            </w:r>
                            <w:r>
                              <w:rPr>
                                <w:rFonts w:hint="eastAsia"/>
                              </w:rPr>
                              <w:t>区</w:t>
                            </w:r>
                            <w:r>
                              <w:rPr>
                                <w:rFonts w:hint="eastAsia"/>
                                <w:lang w:eastAsia="zh-CN"/>
                              </w:rPr>
                              <w:t>:</w:t>
                            </w:r>
                            <w:r>
                              <w:rPr>
                                <w:rFonts w:hint="eastAsia"/>
                                <w:lang w:val="en-US" w:eastAsia="zh-CN"/>
                              </w:rPr>
                              <w:t>表土剥离，编织袋拦挡，</w:t>
                            </w:r>
                            <w:r>
                              <w:rPr>
                                <w:rFonts w:hint="eastAsia"/>
                              </w:rPr>
                              <w:t>土地复垦</w:t>
                            </w:r>
                            <w:r>
                              <w:rPr>
                                <w:rFonts w:hint="eastAsia"/>
                                <w:lang w:eastAsia="zh-CN"/>
                              </w:rPr>
                              <w:t>、撒播种草</w:t>
                            </w:r>
                          </w:p>
                        </w:txbxContent>
                      </wps:txbx>
                      <wps:bodyPr vert="horz" wrap="square" anchor="t" anchorCtr="0" upright="1"/>
                    </wps:wsp>
                  </a:graphicData>
                </a:graphic>
              </wp:anchor>
            </w:drawing>
          </mc:Choice>
          <mc:Fallback>
            <w:pict>
              <v:shape id="自选图形 772" o:spid="_x0000_s1026" o:spt="61" type="#_x0000_t61" style="position:absolute;left:0pt;margin-left:57.2pt;margin-top:113.45pt;height:107.3pt;width:72.75pt;z-index:251661312;mso-width-relative:page;mso-height-relative:page;" fillcolor="#FFFFFF" filled="t" stroked="t" coordsize="21600,21600" o:gfxdata="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yvEs7&#10;2gAAAAsBAAAPAAAAAAAAAAEAIAAAACIAAABkcnMvZG93bnJldi54bWxQSwECFAAUAAAACACHTuJA&#10;gPyZFlgCAADCBAAADgAAAAAAAAABACAAAAApAQAAZHJzL2Uyb0RvYy54bWxQSwUGAAAAAAYABgBZ&#10;AQAA8wUAAAAA&#10;" adj="46065,20110">
                <v:fill on="t" focussize="0,0"/>
                <v:stroke color="#000000" joinstyle="miter"/>
                <v:imagedata o:title=""/>
                <o:lock v:ext="edit" aspectratio="f"/>
                <v:textbox>
                  <w:txbxContent>
                    <w:p w14:paraId="21901259">
                      <w:pPr>
                        <w:rPr>
                          <w:rFonts w:hint="eastAsia" w:eastAsia="宋体"/>
                          <w:lang w:eastAsia="zh-CN"/>
                        </w:rPr>
                      </w:pPr>
                      <w:r>
                        <w:rPr>
                          <w:rFonts w:hint="eastAsia"/>
                          <w:lang w:val="en-US" w:eastAsia="zh-CN"/>
                        </w:rPr>
                        <w:t>主体工程</w:t>
                      </w:r>
                      <w:r>
                        <w:rPr>
                          <w:rFonts w:hint="eastAsia"/>
                        </w:rPr>
                        <w:t>区</w:t>
                      </w:r>
                      <w:r>
                        <w:rPr>
                          <w:rFonts w:hint="eastAsia"/>
                          <w:lang w:eastAsia="zh-CN"/>
                        </w:rPr>
                        <w:t>:</w:t>
                      </w:r>
                      <w:r>
                        <w:rPr>
                          <w:rFonts w:hint="eastAsia"/>
                          <w:lang w:val="en-US" w:eastAsia="zh-CN"/>
                        </w:rPr>
                        <w:t>表土剥离，编织袋拦挡，</w:t>
                      </w:r>
                      <w:r>
                        <w:rPr>
                          <w:rFonts w:hint="eastAsia"/>
                        </w:rPr>
                        <w:t>土地复垦</w:t>
                      </w:r>
                      <w:r>
                        <w:rPr>
                          <w:rFonts w:hint="eastAsia"/>
                          <w:lang w:eastAsia="zh-CN"/>
                        </w:rPr>
                        <w:t>、撒播种草</w:t>
                      </w:r>
                    </w:p>
                  </w:txbxContent>
                </v:textbox>
              </v:shape>
            </w:pict>
          </mc:Fallback>
        </mc:AlternateContent>
      </w:r>
      <w:r>
        <w:rPr>
          <w:rFonts w:hint="default" w:ascii="Times New Roman" w:hAnsi="Times New Roman" w:cs="Times New Roman"/>
          <w:highlight w:val="none"/>
        </w:rPr>
        <w:drawing>
          <wp:inline distT="0" distB="0" distL="114300" distR="114300">
            <wp:extent cx="5723255" cy="5786120"/>
            <wp:effectExtent l="0" t="0" r="10795" b="5080"/>
            <wp:docPr id="84"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52"/>
                    <pic:cNvPicPr>
                      <a:picLocks noChangeAspect="1"/>
                    </pic:cNvPicPr>
                  </pic:nvPicPr>
                  <pic:blipFill>
                    <a:blip r:embed="rId44"/>
                    <a:stretch>
                      <a:fillRect/>
                    </a:stretch>
                  </pic:blipFill>
                  <pic:spPr>
                    <a:xfrm>
                      <a:off x="0" y="0"/>
                      <a:ext cx="5723255" cy="5786120"/>
                    </a:xfrm>
                    <a:prstGeom prst="rect">
                      <a:avLst/>
                    </a:prstGeom>
                    <a:noFill/>
                    <a:ln>
                      <a:noFill/>
                    </a:ln>
                  </pic:spPr>
                </pic:pic>
              </a:graphicData>
            </a:graphic>
          </wp:inline>
        </w:drawing>
      </w:r>
    </w:p>
    <w:p w14:paraId="6BC860A7">
      <w:pPr>
        <w:pStyle w:val="3"/>
        <w:bidi w:val="0"/>
        <w:rPr>
          <w:rFonts w:hint="default" w:ascii="Times New Roman" w:hAnsi="Times New Roman" w:cs="Times New Roman"/>
          <w:highlight w:val="yellow"/>
          <w:lang w:eastAsia="zh-CN"/>
        </w:rPr>
        <w:sectPr>
          <w:pgSz w:w="11906" w:h="16838"/>
          <w:pgMar w:top="1800" w:right="1440" w:bottom="1800" w:left="1440" w:header="851" w:footer="992" w:gutter="0"/>
          <w:cols w:space="720" w:num="1"/>
          <w:docGrid w:type="lines" w:linePitch="312" w:charSpace="0"/>
        </w:sectPr>
      </w:pPr>
      <w:bookmarkStart w:id="77" w:name="_Toc25434"/>
      <w:r>
        <w:rPr>
          <w:rFonts w:hint="default" w:ascii="Times New Roman" w:hAnsi="Times New Roman" w:cs="Times New Roman"/>
          <w:highlight w:val="yellow"/>
          <w:lang w:eastAsia="zh-CN"/>
        </w:rPr>
        <w:t>附图</w:t>
      </w:r>
      <w:r>
        <w:rPr>
          <w:rFonts w:hint="default" w:ascii="Times New Roman" w:hAnsi="Times New Roman" w:cs="Times New Roman"/>
          <w:highlight w:val="yellow"/>
          <w:lang w:val="en-US" w:eastAsia="zh-CN"/>
        </w:rPr>
        <w:t xml:space="preserve">9  </w:t>
      </w:r>
      <w:r>
        <w:rPr>
          <w:rFonts w:hint="default" w:ascii="Times New Roman" w:hAnsi="Times New Roman" w:cs="Times New Roman"/>
          <w:highlight w:val="yellow"/>
          <w:lang w:eastAsia="zh-CN"/>
        </w:rPr>
        <w:t>典型生态措施分布图</w:t>
      </w:r>
      <w:bookmarkEnd w:id="77"/>
    </w:p>
    <w:p w14:paraId="55888362">
      <w:pPr>
        <w:pStyle w:val="3"/>
        <w:bidi w:val="0"/>
        <w:rPr>
          <w:rStyle w:val="36"/>
          <w:rFonts w:hint="default" w:ascii="Times New Roman" w:hAnsi="Times New Roman" w:cs="Times New Roman"/>
          <w:b/>
          <w:bCs/>
          <w:highlight w:val="none"/>
        </w:rPr>
      </w:pPr>
      <w:bookmarkStart w:id="78" w:name="_Toc23339"/>
      <w:r>
        <w:rPr>
          <w:rFonts w:hint="default" w:ascii="Times New Roman" w:hAnsi="Times New Roman" w:cs="Times New Roman"/>
          <w:sz w:val="32"/>
          <w:highlight w:val="none"/>
        </w:rPr>
        <mc:AlternateContent>
          <mc:Choice Requires="wps">
            <w:drawing>
              <wp:anchor distT="0" distB="0" distL="114300" distR="114300" simplePos="0" relativeHeight="251697152" behindDoc="0" locked="0" layoutInCell="1" allowOverlap="1">
                <wp:simplePos x="0" y="0"/>
                <wp:positionH relativeFrom="column">
                  <wp:posOffset>6543040</wp:posOffset>
                </wp:positionH>
                <wp:positionV relativeFrom="paragraph">
                  <wp:posOffset>4747895</wp:posOffset>
                </wp:positionV>
                <wp:extent cx="152400" cy="133350"/>
                <wp:effectExtent l="15875" t="14605" r="22225" b="23495"/>
                <wp:wrapNone/>
                <wp:docPr id="56" name="自选图形 276"/>
                <wp:cNvGraphicFramePr/>
                <a:graphic xmlns:a="http://schemas.openxmlformats.org/drawingml/2006/main">
                  <a:graphicData uri="http://schemas.microsoft.com/office/word/2010/wordprocessingShape">
                    <wps:wsp>
                      <wps:cNvSpPr/>
                      <wps:spPr>
                        <a:xfrm>
                          <a:off x="0" y="0"/>
                          <a:ext cx="152400" cy="133350"/>
                        </a:xfrm>
                        <a:prstGeom prst="star5">
                          <a:avLst/>
                        </a:prstGeom>
                        <a:solidFill>
                          <a:srgbClr val="00B0F0"/>
                        </a:solidFill>
                        <a:ln w="9525" cap="flat" cmpd="sng">
                          <a:solidFill>
                            <a:srgbClr val="00B0F0"/>
                          </a:solidFill>
                          <a:prstDash val="solid"/>
                          <a:miter/>
                          <a:headEnd type="none" w="med" len="med"/>
                          <a:tailEnd type="none" w="med" len="med"/>
                        </a:ln>
                      </wps:spPr>
                      <wps:bodyPr vert="horz" wrap="square" anchor="t" anchorCtr="0" upright="1"/>
                    </wps:wsp>
                  </a:graphicData>
                </a:graphic>
              </wp:anchor>
            </w:drawing>
          </mc:Choice>
          <mc:Fallback>
            <w:pict>
              <v:shape id="自选图形 276" o:spid="_x0000_s1026" style="position:absolute;left:0pt;margin-left:515.2pt;margin-top:373.85pt;height:10.5pt;width:12pt;z-index:251697152;mso-width-relative:page;mso-height-relative:page;" fillcolor="#00B0F0" filled="t" stroked="t" coordsize="152400,133350" o:gfxdata="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VmhQ72QAAAA0BAAAPAAAAAAAAAAEAIAAAACIAAABkcnMvZG93bnJldi54bWxQSwECFAAUAAAA&#10;CACHTuJATcwPmCYCAABaBAAADgAAAAAAAAABACAAAAAoAQAAZHJzL2Uyb0RvYy54bWxQSwUGAAAA&#10;AAYABgBZAQAAwAUAAAAA&#10;" path="m0,50935l58211,50935,76200,0,94188,50935,152399,50935,105305,82414,123294,133349,76200,101869,29105,133349,47094,82414xe">
                <v:path o:connectlocs="76200,0;0,50935;29105,133349;123294,133349;152399,50935" o:connectangles="247,164,82,82,0"/>
                <v:fill on="t" focussize="0,0"/>
                <v:stroke color="#00B0F0" joinstyle="miter"/>
                <v:imagedata o:title=""/>
                <o:lock v:ext="edit" aspectratio="f"/>
              </v:shape>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95104" behindDoc="0" locked="0" layoutInCell="1" allowOverlap="1">
                <wp:simplePos x="0" y="0"/>
                <wp:positionH relativeFrom="column">
                  <wp:posOffset>6530975</wp:posOffset>
                </wp:positionH>
                <wp:positionV relativeFrom="paragraph">
                  <wp:posOffset>4544695</wp:posOffset>
                </wp:positionV>
                <wp:extent cx="123825" cy="114300"/>
                <wp:effectExtent l="8255" t="10160" r="20320" b="8890"/>
                <wp:wrapNone/>
                <wp:docPr id="54" name="自选图形 274"/>
                <wp:cNvGraphicFramePr/>
                <a:graphic xmlns:a="http://schemas.openxmlformats.org/drawingml/2006/main">
                  <a:graphicData uri="http://schemas.microsoft.com/office/word/2010/wordprocessingShape">
                    <wps:wsp>
                      <wps:cNvSpPr/>
                      <wps:spPr>
                        <a:xfrm>
                          <a:off x="0" y="0"/>
                          <a:ext cx="123825" cy="11430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274" o:spid="_x0000_s1026" o:spt="5" type="#_x0000_t5" style="position:absolute;left:0pt;margin-left:514.25pt;margin-top:357.85pt;height:9pt;width:9.75pt;z-index:251695104;mso-width-relative:page;mso-height-relative:page;" fillcolor="#FF0000" filled="t" stroked="t" coordsize="21600,21600" o:gfxdata="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4iWLW2gAAAA0BAAAPAAAAAAAAAAEAIAAAACIAAABkcnMv&#10;ZG93bnJldi54bWxQSwECFAAUAAAACACHTuJAEFbmpDoCAACJBAAADgAAAAAAAAABACAAAAApAQAA&#10;ZHJzL2Uyb0RvYy54bWxQSwUGAAAAAAYABgBZAQAA1QUAAAAA&#10;" adj="10800">
                <v:fill on="t" focussize="0,0"/>
                <v:stroke color="#FF0000" joinstyle="miter"/>
                <v:imagedata o:title=""/>
                <o:lock v:ext="edit" aspectratio="f"/>
              </v:shape>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94080" behindDoc="0" locked="0" layoutInCell="1" allowOverlap="1">
                <wp:simplePos x="0" y="0"/>
                <wp:positionH relativeFrom="column">
                  <wp:posOffset>6437630</wp:posOffset>
                </wp:positionH>
                <wp:positionV relativeFrom="paragraph">
                  <wp:posOffset>4469765</wp:posOffset>
                </wp:positionV>
                <wp:extent cx="1414145" cy="566420"/>
                <wp:effectExtent l="4445" t="5080" r="10160" b="19050"/>
                <wp:wrapNone/>
                <wp:docPr id="53" name="矩形 273"/>
                <wp:cNvGraphicFramePr/>
                <a:graphic xmlns:a="http://schemas.openxmlformats.org/drawingml/2006/main">
                  <a:graphicData uri="http://schemas.microsoft.com/office/word/2010/wordprocessingShape">
                    <wps:wsp>
                      <wps:cNvSpPr/>
                      <wps:spPr>
                        <a:xfrm>
                          <a:off x="0" y="0"/>
                          <a:ext cx="1414145" cy="5664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62302C9">
                            <w:pPr>
                              <w:keepNext w:val="0"/>
                              <w:keepLines w:val="0"/>
                              <w:pageBreakBefore w:val="0"/>
                              <w:widowControl w:val="0"/>
                              <w:kinsoku/>
                              <w:wordWrap/>
                              <w:overflowPunct/>
                              <w:topLinePunct w:val="0"/>
                              <w:bidi w:val="0"/>
                              <w:adjustRightInd/>
                              <w:snapToGrid/>
                              <w:spacing w:before="0"/>
                              <w:ind w:firstLine="360" w:firstLineChars="200"/>
                              <w:textAlignment w:val="auto"/>
                              <w:rPr>
                                <w:rFonts w:hint="eastAsia"/>
                                <w:sz w:val="18"/>
                                <w:szCs w:val="18"/>
                                <w:lang w:val="en-US" w:eastAsia="zh-CN"/>
                              </w:rPr>
                            </w:pPr>
                            <w:r>
                              <w:rPr>
                                <w:rFonts w:hint="eastAsia"/>
                                <w:sz w:val="18"/>
                                <w:szCs w:val="18"/>
                                <w:lang w:val="en-US" w:eastAsia="zh-CN"/>
                              </w:rPr>
                              <w:t>大气和噪声监测点</w:t>
                            </w:r>
                          </w:p>
                          <w:p w14:paraId="66DC3FD4">
                            <w:pPr>
                              <w:keepNext w:val="0"/>
                              <w:keepLines w:val="0"/>
                              <w:pageBreakBefore w:val="0"/>
                              <w:widowControl w:val="0"/>
                              <w:kinsoku/>
                              <w:wordWrap/>
                              <w:overflowPunct/>
                              <w:topLinePunct w:val="0"/>
                              <w:bidi w:val="0"/>
                              <w:adjustRightInd/>
                              <w:snapToGrid/>
                              <w:spacing w:before="0"/>
                              <w:ind w:firstLine="360" w:firstLineChars="200"/>
                              <w:textAlignment w:val="auto"/>
                              <w:rPr>
                                <w:rFonts w:hint="default"/>
                                <w:sz w:val="18"/>
                                <w:szCs w:val="18"/>
                                <w:lang w:val="en-US" w:eastAsia="zh-CN"/>
                              </w:rPr>
                            </w:pPr>
                            <w:r>
                              <w:rPr>
                                <w:rFonts w:hint="eastAsia"/>
                                <w:sz w:val="18"/>
                                <w:szCs w:val="18"/>
                                <w:lang w:val="en-US" w:eastAsia="zh-CN"/>
                              </w:rPr>
                              <w:t>地表水监测点</w:t>
                            </w:r>
                          </w:p>
                        </w:txbxContent>
                      </wps:txbx>
                      <wps:bodyPr vert="horz" wrap="square" anchor="t" anchorCtr="0" upright="1"/>
                    </wps:wsp>
                  </a:graphicData>
                </a:graphic>
              </wp:anchor>
            </w:drawing>
          </mc:Choice>
          <mc:Fallback>
            <w:pict>
              <v:rect id="矩形 273" o:spid="_x0000_s1026" o:spt="1" style="position:absolute;left:0pt;margin-left:506.9pt;margin-top:351.95pt;height:44.6pt;width:111.35pt;z-index:251694080;mso-width-relative:page;mso-height-relative:page;" fillcolor="#FFFFFF" filled="t" stroked="t" coordsize="21600,21600" o:gfxdata="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c&#10;URgM2QAAAA0BAAAPAAAAAAAAAAEAIAAAACIAAABkcnMvZG93bnJldi54bWxQSwECFAAUAAAACACH&#10;TuJA/nt4VyMCAABfBAAADgAAAAAAAAABACAAAAAoAQAAZHJzL2Uyb0RvYy54bWxQSwUGAAAAAAYA&#10;BgBZAQAAvQUAAAAA&#10;">
                <v:fill on="t" focussize="0,0"/>
                <v:stroke color="#000000" joinstyle="miter"/>
                <v:imagedata o:title=""/>
                <o:lock v:ext="edit" aspectratio="f"/>
                <v:textbox>
                  <w:txbxContent>
                    <w:p w14:paraId="362302C9">
                      <w:pPr>
                        <w:keepNext w:val="0"/>
                        <w:keepLines w:val="0"/>
                        <w:pageBreakBefore w:val="0"/>
                        <w:widowControl w:val="0"/>
                        <w:kinsoku/>
                        <w:wordWrap/>
                        <w:overflowPunct/>
                        <w:topLinePunct w:val="0"/>
                        <w:bidi w:val="0"/>
                        <w:adjustRightInd/>
                        <w:snapToGrid/>
                        <w:spacing w:before="0"/>
                        <w:ind w:firstLine="360" w:firstLineChars="200"/>
                        <w:textAlignment w:val="auto"/>
                        <w:rPr>
                          <w:rFonts w:hint="eastAsia"/>
                          <w:sz w:val="18"/>
                          <w:szCs w:val="18"/>
                          <w:lang w:val="en-US" w:eastAsia="zh-CN"/>
                        </w:rPr>
                      </w:pPr>
                      <w:r>
                        <w:rPr>
                          <w:rFonts w:hint="eastAsia"/>
                          <w:sz w:val="18"/>
                          <w:szCs w:val="18"/>
                          <w:lang w:val="en-US" w:eastAsia="zh-CN"/>
                        </w:rPr>
                        <w:t>大气和噪声监测点</w:t>
                      </w:r>
                    </w:p>
                    <w:p w14:paraId="66DC3FD4">
                      <w:pPr>
                        <w:keepNext w:val="0"/>
                        <w:keepLines w:val="0"/>
                        <w:pageBreakBefore w:val="0"/>
                        <w:widowControl w:val="0"/>
                        <w:kinsoku/>
                        <w:wordWrap/>
                        <w:overflowPunct/>
                        <w:topLinePunct w:val="0"/>
                        <w:bidi w:val="0"/>
                        <w:adjustRightInd/>
                        <w:snapToGrid/>
                        <w:spacing w:before="0"/>
                        <w:ind w:firstLine="360" w:firstLineChars="200"/>
                        <w:textAlignment w:val="auto"/>
                        <w:rPr>
                          <w:rFonts w:hint="default"/>
                          <w:sz w:val="18"/>
                          <w:szCs w:val="18"/>
                          <w:lang w:val="en-US" w:eastAsia="zh-CN"/>
                        </w:rPr>
                      </w:pPr>
                      <w:r>
                        <w:rPr>
                          <w:rFonts w:hint="eastAsia"/>
                          <w:sz w:val="18"/>
                          <w:szCs w:val="18"/>
                          <w:lang w:val="en-US" w:eastAsia="zh-CN"/>
                        </w:rPr>
                        <w:t>地表水监测点</w:t>
                      </w:r>
                    </w:p>
                  </w:txbxContent>
                </v:textbox>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98176" behindDoc="0" locked="0" layoutInCell="1" allowOverlap="1">
                <wp:simplePos x="0" y="0"/>
                <wp:positionH relativeFrom="column">
                  <wp:posOffset>648970</wp:posOffset>
                </wp:positionH>
                <wp:positionV relativeFrom="paragraph">
                  <wp:posOffset>3987800</wp:posOffset>
                </wp:positionV>
                <wp:extent cx="152400" cy="133350"/>
                <wp:effectExtent l="15875" t="14605" r="22225" b="23495"/>
                <wp:wrapNone/>
                <wp:docPr id="57" name="自选图形 277"/>
                <wp:cNvGraphicFramePr/>
                <a:graphic xmlns:a="http://schemas.openxmlformats.org/drawingml/2006/main">
                  <a:graphicData uri="http://schemas.microsoft.com/office/word/2010/wordprocessingShape">
                    <wps:wsp>
                      <wps:cNvSpPr/>
                      <wps:spPr>
                        <a:xfrm>
                          <a:off x="0" y="0"/>
                          <a:ext cx="152400" cy="133350"/>
                        </a:xfrm>
                        <a:prstGeom prst="star5">
                          <a:avLst/>
                        </a:prstGeom>
                        <a:solidFill>
                          <a:srgbClr val="00B0F0"/>
                        </a:solidFill>
                        <a:ln w="9525" cap="flat" cmpd="sng">
                          <a:solidFill>
                            <a:srgbClr val="00B0F0"/>
                          </a:solidFill>
                          <a:prstDash val="solid"/>
                          <a:miter/>
                          <a:headEnd type="none" w="med" len="med"/>
                          <a:tailEnd type="none" w="med" len="med"/>
                        </a:ln>
                      </wps:spPr>
                      <wps:bodyPr wrap="square" upright="1"/>
                    </wps:wsp>
                  </a:graphicData>
                </a:graphic>
              </wp:anchor>
            </w:drawing>
          </mc:Choice>
          <mc:Fallback>
            <w:pict>
              <v:shape id="自选图形 277" o:spid="_x0000_s1026" style="position:absolute;left:0pt;margin-left:51.1pt;margin-top:314pt;height:10.5pt;width:12pt;z-index:251698176;mso-width-relative:page;mso-height-relative:page;" fillcolor="#00B0F0" filled="t" stroked="t" coordsize="152400,133350" o:gfxdata="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GFYee1wAAAAsBAAAPAAAAAAAAAAEA&#10;IAAAACIAAABkcnMvZG93bnJldi54bWxQSwECFAAUAAAACACHTuJATkcpWxACAAA1BAAADgAAAAAA&#10;AAABACAAAAAmAQAAZHJzL2Uyb0RvYy54bWxQSwUGAAAAAAYABgBZAQAAqAUAAAAA&#10;" path="m0,50935l58211,50935,76200,0,94188,50935,152399,50935,105305,82414,123294,133349,76200,101869,29105,133349,47094,82414xe">
                <v:path o:connectlocs="76200,0;0,50935;29105,133349;123294,133349;152399,50935" o:connectangles="247,164,82,82,0"/>
                <v:fill on="t" focussize="0,0"/>
                <v:stroke color="#00B0F0" joinstyle="miter"/>
                <v:imagedata o:title=""/>
                <o:lock v:ext="edit" aspectratio="f"/>
              </v:shape>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99200" behindDoc="0" locked="0" layoutInCell="1" allowOverlap="1">
                <wp:simplePos x="0" y="0"/>
                <wp:positionH relativeFrom="column">
                  <wp:posOffset>6897370</wp:posOffset>
                </wp:positionH>
                <wp:positionV relativeFrom="paragraph">
                  <wp:posOffset>482600</wp:posOffset>
                </wp:positionV>
                <wp:extent cx="152400" cy="133350"/>
                <wp:effectExtent l="15875" t="14605" r="22225" b="23495"/>
                <wp:wrapNone/>
                <wp:docPr id="58" name="自选图形 278"/>
                <wp:cNvGraphicFramePr/>
                <a:graphic xmlns:a="http://schemas.openxmlformats.org/drawingml/2006/main">
                  <a:graphicData uri="http://schemas.microsoft.com/office/word/2010/wordprocessingShape">
                    <wps:wsp>
                      <wps:cNvSpPr/>
                      <wps:spPr>
                        <a:xfrm>
                          <a:off x="0" y="0"/>
                          <a:ext cx="152400" cy="133350"/>
                        </a:xfrm>
                        <a:prstGeom prst="star5">
                          <a:avLst/>
                        </a:prstGeom>
                        <a:solidFill>
                          <a:srgbClr val="00B0F0"/>
                        </a:solidFill>
                        <a:ln w="9525" cap="flat" cmpd="sng">
                          <a:solidFill>
                            <a:srgbClr val="00B0F0"/>
                          </a:solidFill>
                          <a:prstDash val="solid"/>
                          <a:miter/>
                          <a:headEnd type="none" w="med" len="med"/>
                          <a:tailEnd type="none" w="med" len="med"/>
                        </a:ln>
                      </wps:spPr>
                      <wps:bodyPr wrap="square" upright="1"/>
                    </wps:wsp>
                  </a:graphicData>
                </a:graphic>
              </wp:anchor>
            </w:drawing>
          </mc:Choice>
          <mc:Fallback>
            <w:pict>
              <v:shape id="自选图形 278" o:spid="_x0000_s1026" style="position:absolute;left:0pt;margin-left:543.1pt;margin-top:38pt;height:10.5pt;width:12pt;z-index:251699200;mso-width-relative:page;mso-height-relative:page;" fillcolor="#00B0F0" filled="t" stroked="t" coordsize="152400,133350" o:gfxdata="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Pz/N1wAAAAsBAAAPAAAAAAAAAAEA&#10;IAAAACIAAABkcnMvZG93bnJldi54bWxQSwECFAAUAAAACACHTuJALmNUaBACAAA1BAAADgAAAAAA&#10;AAABACAAAAAmAQAAZHJzL2Uyb0RvYy54bWxQSwUGAAAAAAYABgBZAQAAqAUAAAAA&#10;" path="m0,50935l58211,50935,76200,0,94188,50935,152399,50935,105305,82414,123294,133349,76200,101869,29105,133349,47094,82414xe">
                <v:path o:connectlocs="76200,0;0,50935;29105,133349;123294,133349;152399,50935" o:connectangles="247,164,82,82,0"/>
                <v:fill on="t" focussize="0,0"/>
                <v:stroke color="#00B0F0" joinstyle="miter"/>
                <v:imagedata o:title=""/>
                <o:lock v:ext="edit" aspectratio="f"/>
              </v:shape>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96128" behindDoc="0" locked="0" layoutInCell="1" allowOverlap="1">
                <wp:simplePos x="0" y="0"/>
                <wp:positionH relativeFrom="column">
                  <wp:posOffset>1763395</wp:posOffset>
                </wp:positionH>
                <wp:positionV relativeFrom="paragraph">
                  <wp:posOffset>3225800</wp:posOffset>
                </wp:positionV>
                <wp:extent cx="123825" cy="114300"/>
                <wp:effectExtent l="8255" t="10160" r="20320" b="8890"/>
                <wp:wrapNone/>
                <wp:docPr id="55" name="自选图形 275"/>
                <wp:cNvGraphicFramePr/>
                <a:graphic xmlns:a="http://schemas.openxmlformats.org/drawingml/2006/main">
                  <a:graphicData uri="http://schemas.microsoft.com/office/word/2010/wordprocessingShape">
                    <wps:wsp>
                      <wps:cNvSpPr/>
                      <wps:spPr>
                        <a:xfrm>
                          <a:off x="0" y="0"/>
                          <a:ext cx="123825" cy="11430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275" o:spid="_x0000_s1026" o:spt="5" type="#_x0000_t5" style="position:absolute;left:0pt;margin-left:138.85pt;margin-top:254pt;height:9pt;width:9.75pt;z-index:251696128;mso-width-relative:page;mso-height-relative:page;" fillcolor="#FF0000" filled="t" stroked="t" coordsize="21600,21600" o:gfxdata="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x&#10;f0sU2AAAAAsBAAAPAAAAAAAAAAEAIAAAACIAAABkcnMvZG93bnJldi54bWxQSwECFAAUAAAACACH&#10;TuJAYBAMpyQCAABkBAAADgAAAAAAAAABACAAAAAnAQAAZHJzL2Uyb0RvYy54bWxQSwUGAAAAAAYA&#10;BgBZAQAAvQUAAAAA&#10;" adj="10800">
                <v:fill on="t" focussize="0,0"/>
                <v:stroke color="#FF0000" joinstyle="miter"/>
                <v:imagedata o:title=""/>
                <o:lock v:ext="edit" aspectratio="f"/>
              </v:shape>
            </w:pict>
          </mc:Fallback>
        </mc:AlternateContent>
      </w:r>
      <w:r>
        <w:rPr>
          <w:rFonts w:hint="default" w:ascii="Times New Roman" w:hAnsi="Times New Roman" w:cs="Times New Roman"/>
          <w:highlight w:val="none"/>
        </w:rPr>
        <w:drawing>
          <wp:anchor distT="0" distB="0" distL="114300" distR="114300" simplePos="0" relativeHeight="251693056" behindDoc="0" locked="0" layoutInCell="1" allowOverlap="1">
            <wp:simplePos x="0" y="0"/>
            <wp:positionH relativeFrom="column">
              <wp:posOffset>741045</wp:posOffset>
            </wp:positionH>
            <wp:positionV relativeFrom="paragraph">
              <wp:posOffset>433070</wp:posOffset>
            </wp:positionV>
            <wp:extent cx="520700" cy="552450"/>
            <wp:effectExtent l="0" t="0" r="12700" b="0"/>
            <wp:wrapNone/>
            <wp:docPr id="5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72"/>
                    <pic:cNvPicPr>
                      <a:picLocks noChangeAspect="1"/>
                    </pic:cNvPicPr>
                  </pic:nvPicPr>
                  <pic:blipFill>
                    <a:blip r:embed="rId20"/>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7310755" cy="4967605"/>
            <wp:effectExtent l="0" t="0" r="4445" b="4445"/>
            <wp:docPr id="8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65"/>
                    <pic:cNvPicPr>
                      <a:picLocks noChangeAspect="1"/>
                    </pic:cNvPicPr>
                  </pic:nvPicPr>
                  <pic:blipFill>
                    <a:blip r:embed="rId45"/>
                    <a:stretch>
                      <a:fillRect/>
                    </a:stretch>
                  </pic:blipFill>
                  <pic:spPr>
                    <a:xfrm>
                      <a:off x="0" y="0"/>
                      <a:ext cx="7310755" cy="4967605"/>
                    </a:xfrm>
                    <a:prstGeom prst="rect">
                      <a:avLst/>
                    </a:prstGeom>
                    <a:noFill/>
                    <a:ln>
                      <a:noFill/>
                    </a:ln>
                  </pic:spPr>
                </pic:pic>
              </a:graphicData>
            </a:graphic>
          </wp:inline>
        </w:drawing>
      </w:r>
      <w:r>
        <w:rPr>
          <w:rFonts w:hint="default" w:ascii="Times New Roman" w:hAnsi="Times New Roman" w:cs="Times New Roman"/>
          <w:highlight w:val="none"/>
        </w:rPr>
        <w:br w:type="textWrapping"/>
      </w:r>
      <w:r>
        <w:rPr>
          <w:rStyle w:val="36"/>
          <w:rFonts w:hint="default" w:ascii="Times New Roman" w:hAnsi="Times New Roman" w:cs="Times New Roman"/>
          <w:b/>
          <w:bCs/>
          <w:highlight w:val="none"/>
          <w:lang w:val="en-US" w:eastAsia="zh-CN"/>
        </w:rPr>
        <w:t>附</w:t>
      </w:r>
      <w:r>
        <w:rPr>
          <w:rStyle w:val="36"/>
          <w:rFonts w:hint="default" w:ascii="Times New Roman" w:hAnsi="Times New Roman" w:eastAsia="宋体" w:cs="Times New Roman"/>
          <w:b/>
          <w:bCs/>
          <w:highlight w:val="none"/>
          <w:lang w:val="en-US" w:eastAsia="zh-CN"/>
        </w:rPr>
        <w:t>图</w:t>
      </w:r>
      <w:r>
        <w:rPr>
          <w:rStyle w:val="36"/>
          <w:rFonts w:hint="default" w:ascii="Times New Roman" w:hAnsi="Times New Roman" w:cs="Times New Roman"/>
          <w:b/>
          <w:bCs/>
          <w:highlight w:val="none"/>
          <w:lang w:val="en-US" w:eastAsia="zh-CN"/>
        </w:rPr>
        <w:t>10  生态监测布点图</w:t>
      </w:r>
      <w:bookmarkEnd w:id="78"/>
    </w:p>
    <w:p w14:paraId="4D88A25A">
      <w:pPr>
        <w:pStyle w:val="34"/>
        <w:rPr>
          <w:rFonts w:hint="default" w:ascii="Times New Roman" w:hAnsi="Times New Roman" w:cs="Times New Roman"/>
          <w:highlight w:val="none"/>
        </w:rPr>
      </w:pPr>
    </w:p>
    <w:p w14:paraId="46201A39">
      <w:pPr>
        <w:pStyle w:val="34"/>
        <w:rPr>
          <w:rFonts w:hint="default" w:ascii="Times New Roman" w:hAnsi="Times New Roman" w:cs="Times New Roman"/>
          <w:highlight w:val="none"/>
        </w:rPr>
        <w:sectPr>
          <w:pgSz w:w="16838" w:h="11906" w:orient="landscape"/>
          <w:pgMar w:top="1440" w:right="1803" w:bottom="1440" w:left="1803" w:header="851" w:footer="992" w:gutter="0"/>
          <w:cols w:space="720" w:num="1"/>
          <w:rtlGutter w:val="0"/>
          <w:docGrid w:type="lines" w:linePitch="32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724"/>
        <w:gridCol w:w="6724"/>
      </w:tblGrid>
      <w:tr w14:paraId="530893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24" w:type="dxa"/>
            <w:vAlign w:val="top"/>
          </w:tcPr>
          <w:p w14:paraId="350E63D6">
            <w:pPr>
              <w:pStyle w:val="3"/>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bookmarkStart w:id="79" w:name="_Toc14405"/>
            <w:bookmarkStart w:id="80" w:name="_Toc19857"/>
            <w:bookmarkStart w:id="81" w:name="_Toc2107"/>
            <w:bookmarkStart w:id="82" w:name="_Toc2568"/>
            <w:r>
              <w:rPr>
                <w:rFonts w:hint="default" w:ascii="Times New Roman" w:hAnsi="Times New Roman" w:cs="Times New Roman"/>
                <w:b/>
                <w:bCs/>
                <w:color w:val="auto"/>
                <w:sz w:val="21"/>
                <w:szCs w:val="21"/>
                <w:highlight w:val="none"/>
                <w:vertAlign w:val="baseline"/>
                <w:lang w:val="en-US" w:eastAsia="zh-CN"/>
              </w:rPr>
              <w:drawing>
                <wp:inline distT="0" distB="0" distL="114300" distR="114300">
                  <wp:extent cx="3239770" cy="1824990"/>
                  <wp:effectExtent l="0" t="0" r="17780" b="3810"/>
                  <wp:docPr id="124" name="图片 124" descr="微信图片_2026-05-29_092351_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微信图片_2026-05-29_092351_660"/>
                          <pic:cNvPicPr>
                            <a:picLocks noChangeAspect="1"/>
                          </pic:cNvPicPr>
                        </pic:nvPicPr>
                        <pic:blipFill>
                          <a:blip r:embed="rId46"/>
                          <a:stretch>
                            <a:fillRect/>
                          </a:stretch>
                        </pic:blipFill>
                        <pic:spPr>
                          <a:xfrm>
                            <a:off x="0" y="0"/>
                            <a:ext cx="3239770" cy="1824990"/>
                          </a:xfrm>
                          <a:prstGeom prst="rect">
                            <a:avLst/>
                          </a:prstGeom>
                        </pic:spPr>
                      </pic:pic>
                    </a:graphicData>
                  </a:graphic>
                </wp:inline>
              </w:drawing>
            </w:r>
            <w:bookmarkEnd w:id="79"/>
            <w:bookmarkEnd w:id="80"/>
            <w:bookmarkEnd w:id="81"/>
            <w:bookmarkEnd w:id="82"/>
          </w:p>
          <w:p w14:paraId="577E29CE">
            <w:pPr>
              <w:pStyle w:val="3"/>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bookmarkStart w:id="83" w:name="_Toc21628"/>
            <w:bookmarkStart w:id="84" w:name="_Toc13297"/>
            <w:bookmarkStart w:id="85" w:name="_Toc24815"/>
            <w:bookmarkStart w:id="86" w:name="_Toc17616"/>
            <w:r>
              <w:rPr>
                <w:rFonts w:hint="default" w:ascii="Times New Roman" w:hAnsi="Times New Roman" w:cs="Times New Roman"/>
                <w:b/>
                <w:bCs/>
                <w:color w:val="auto"/>
                <w:sz w:val="21"/>
                <w:szCs w:val="21"/>
                <w:highlight w:val="none"/>
                <w:vertAlign w:val="baseline"/>
                <w:lang w:val="en-US" w:eastAsia="zh-CN"/>
              </w:rPr>
              <w:t>取土场现状照片</w:t>
            </w:r>
            <w:bookmarkEnd w:id="83"/>
            <w:bookmarkEnd w:id="84"/>
            <w:bookmarkEnd w:id="85"/>
            <w:bookmarkEnd w:id="86"/>
          </w:p>
        </w:tc>
        <w:tc>
          <w:tcPr>
            <w:tcW w:w="6724" w:type="dxa"/>
            <w:vAlign w:val="top"/>
          </w:tcPr>
          <w:p w14:paraId="21FBF62B">
            <w:pPr>
              <w:pStyle w:val="3"/>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bookmarkStart w:id="87" w:name="_Toc26211"/>
            <w:bookmarkStart w:id="88" w:name="_Toc13852"/>
            <w:bookmarkStart w:id="89" w:name="_Toc17913"/>
            <w:bookmarkStart w:id="90" w:name="_Toc7986"/>
            <w:r>
              <w:rPr>
                <w:rFonts w:hint="default" w:ascii="Times New Roman" w:hAnsi="Times New Roman" w:eastAsia="宋体" w:cs="Times New Roman"/>
                <w:b/>
                <w:bCs/>
                <w:color w:val="auto"/>
                <w:sz w:val="21"/>
                <w:szCs w:val="21"/>
                <w:highlight w:val="none"/>
                <w:vertAlign w:val="baseline"/>
                <w:lang w:val="en-US" w:eastAsia="zh-CN"/>
              </w:rPr>
              <w:drawing>
                <wp:inline distT="0" distB="0" distL="114300" distR="114300">
                  <wp:extent cx="3239770" cy="1821180"/>
                  <wp:effectExtent l="0" t="0" r="17780" b="7620"/>
                  <wp:docPr id="125" name="图片 125" descr="微信图片_2026-05-29_092609_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微信图片_2026-05-29_092609_949"/>
                          <pic:cNvPicPr>
                            <a:picLocks noChangeAspect="1"/>
                          </pic:cNvPicPr>
                        </pic:nvPicPr>
                        <pic:blipFill>
                          <a:blip r:embed="rId47"/>
                          <a:stretch>
                            <a:fillRect/>
                          </a:stretch>
                        </pic:blipFill>
                        <pic:spPr>
                          <a:xfrm>
                            <a:off x="0" y="0"/>
                            <a:ext cx="3239770" cy="1821180"/>
                          </a:xfrm>
                          <a:prstGeom prst="rect">
                            <a:avLst/>
                          </a:prstGeom>
                        </pic:spPr>
                      </pic:pic>
                    </a:graphicData>
                  </a:graphic>
                </wp:inline>
              </w:drawing>
            </w:r>
            <w:bookmarkEnd w:id="87"/>
            <w:bookmarkEnd w:id="88"/>
            <w:bookmarkEnd w:id="89"/>
            <w:bookmarkEnd w:id="90"/>
          </w:p>
          <w:p w14:paraId="7E10CE8E">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b/>
                <w:bCs/>
                <w:color w:val="auto"/>
                <w:sz w:val="21"/>
                <w:szCs w:val="21"/>
                <w:highlight w:val="none"/>
                <w:vertAlign w:val="baseline"/>
                <w:lang w:val="en-US" w:eastAsia="zh-CN"/>
              </w:rPr>
              <w:t>欧根河现状</w:t>
            </w:r>
          </w:p>
        </w:tc>
      </w:tr>
      <w:tr w14:paraId="2CDB40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24" w:type="dxa"/>
            <w:vAlign w:val="top"/>
          </w:tcPr>
          <w:p w14:paraId="50702E65">
            <w:pPr>
              <w:pStyle w:val="3"/>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bookmarkStart w:id="91" w:name="_Toc26599"/>
            <w:bookmarkStart w:id="92" w:name="_Toc30236"/>
            <w:bookmarkStart w:id="93" w:name="_Toc16207"/>
            <w:bookmarkStart w:id="94" w:name="_Toc888"/>
            <w:r>
              <w:rPr>
                <w:rFonts w:hint="default" w:ascii="Times New Roman" w:hAnsi="Times New Roman" w:cs="Times New Roman"/>
                <w:b/>
                <w:bCs/>
                <w:color w:val="auto"/>
                <w:sz w:val="21"/>
                <w:szCs w:val="21"/>
                <w:highlight w:val="none"/>
                <w:vertAlign w:val="baseline"/>
                <w:lang w:val="en-US" w:eastAsia="zh-CN"/>
              </w:rPr>
              <w:drawing>
                <wp:inline distT="0" distB="0" distL="114300" distR="114300">
                  <wp:extent cx="3239770" cy="1821180"/>
                  <wp:effectExtent l="0" t="0" r="17780" b="7620"/>
                  <wp:docPr id="129" name="图片 129" descr="微信图片_2026-05-29_092552_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微信图片_2026-05-29_092552_939"/>
                          <pic:cNvPicPr>
                            <a:picLocks noChangeAspect="1"/>
                          </pic:cNvPicPr>
                        </pic:nvPicPr>
                        <pic:blipFill>
                          <a:blip r:embed="rId48"/>
                          <a:stretch>
                            <a:fillRect/>
                          </a:stretch>
                        </pic:blipFill>
                        <pic:spPr>
                          <a:xfrm>
                            <a:off x="0" y="0"/>
                            <a:ext cx="3239770" cy="1821180"/>
                          </a:xfrm>
                          <a:prstGeom prst="rect">
                            <a:avLst/>
                          </a:prstGeom>
                        </pic:spPr>
                      </pic:pic>
                    </a:graphicData>
                  </a:graphic>
                </wp:inline>
              </w:drawing>
            </w:r>
            <w:bookmarkEnd w:id="91"/>
            <w:bookmarkEnd w:id="92"/>
            <w:bookmarkEnd w:id="93"/>
            <w:bookmarkEnd w:id="94"/>
          </w:p>
        </w:tc>
        <w:tc>
          <w:tcPr>
            <w:tcW w:w="6724" w:type="dxa"/>
            <w:vAlign w:val="top"/>
          </w:tcPr>
          <w:p w14:paraId="49127235">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drawing>
                <wp:inline distT="0" distB="0" distL="114300" distR="114300">
                  <wp:extent cx="2879725" cy="2159635"/>
                  <wp:effectExtent l="0" t="0" r="15875" b="12065"/>
                  <wp:docPr id="130" name="图片 130" descr="微信图片_20260529092128_20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微信图片_20260529092128_20_3"/>
                          <pic:cNvPicPr>
                            <a:picLocks noChangeAspect="1"/>
                          </pic:cNvPicPr>
                        </pic:nvPicPr>
                        <pic:blipFill>
                          <a:blip r:embed="rId49"/>
                          <a:stretch>
                            <a:fillRect/>
                          </a:stretch>
                        </pic:blipFill>
                        <pic:spPr>
                          <a:xfrm>
                            <a:off x="0" y="0"/>
                            <a:ext cx="2879725" cy="2159635"/>
                          </a:xfrm>
                          <a:prstGeom prst="rect">
                            <a:avLst/>
                          </a:prstGeom>
                        </pic:spPr>
                      </pic:pic>
                    </a:graphicData>
                  </a:graphic>
                </wp:inline>
              </w:drawing>
            </w:r>
          </w:p>
        </w:tc>
      </w:tr>
      <w:tr w14:paraId="1846D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24" w:type="dxa"/>
            <w:vAlign w:val="top"/>
          </w:tcPr>
          <w:p w14:paraId="6CA85183">
            <w:pPr>
              <w:pStyle w:val="3"/>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bookmarkStart w:id="95" w:name="_Toc18765"/>
            <w:bookmarkStart w:id="96" w:name="_Toc4353"/>
            <w:bookmarkStart w:id="97" w:name="_Toc43"/>
            <w:bookmarkStart w:id="98" w:name="_Toc3050"/>
            <w:r>
              <w:rPr>
                <w:rFonts w:hint="default" w:ascii="Times New Roman" w:hAnsi="Times New Roman" w:cs="Times New Roman"/>
                <w:b/>
                <w:bCs/>
                <w:color w:val="auto"/>
                <w:sz w:val="21"/>
                <w:szCs w:val="21"/>
                <w:highlight w:val="none"/>
                <w:vertAlign w:val="baseline"/>
                <w:lang w:val="en-US" w:eastAsia="zh-CN"/>
              </w:rPr>
              <w:t>欧根河沿岸林地、草地</w:t>
            </w:r>
            <w:bookmarkEnd w:id="95"/>
            <w:bookmarkEnd w:id="96"/>
            <w:bookmarkEnd w:id="97"/>
            <w:bookmarkEnd w:id="98"/>
          </w:p>
        </w:tc>
        <w:tc>
          <w:tcPr>
            <w:tcW w:w="6724" w:type="dxa"/>
            <w:vAlign w:val="top"/>
          </w:tcPr>
          <w:p w14:paraId="77E392A4">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欧根河沿岸耕地</w:t>
            </w:r>
          </w:p>
        </w:tc>
      </w:tr>
      <w:tr w14:paraId="20793F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71" w:hRule="atLeast"/>
        </w:trPr>
        <w:tc>
          <w:tcPr>
            <w:tcW w:w="6724" w:type="dxa"/>
            <w:vAlign w:val="top"/>
          </w:tcPr>
          <w:p w14:paraId="0AAE4EF9">
            <w:pPr>
              <w:pStyle w:val="3"/>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bookmarkStart w:id="99" w:name="_Toc31407"/>
            <w:bookmarkStart w:id="100" w:name="_Toc8947"/>
            <w:bookmarkStart w:id="101" w:name="_Toc17415"/>
            <w:bookmarkStart w:id="102" w:name="_Toc31694"/>
            <w:r>
              <w:rPr>
                <w:rFonts w:hint="default" w:ascii="Times New Roman" w:hAnsi="Times New Roman" w:eastAsia="宋体" w:cs="Times New Roman"/>
                <w:b/>
                <w:bCs/>
                <w:color w:val="auto"/>
                <w:sz w:val="21"/>
                <w:szCs w:val="21"/>
                <w:highlight w:val="none"/>
                <w:vertAlign w:val="baseline"/>
                <w:lang w:val="en-US" w:eastAsia="zh-CN"/>
              </w:rPr>
              <w:drawing>
                <wp:inline distT="0" distB="0" distL="114300" distR="114300">
                  <wp:extent cx="3239770" cy="2429510"/>
                  <wp:effectExtent l="0" t="0" r="17780" b="8890"/>
                  <wp:docPr id="127" name="图片 127" descr="微信图片_20260529092144_28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微信图片_20260529092144_28_3"/>
                          <pic:cNvPicPr>
                            <a:picLocks noChangeAspect="1"/>
                          </pic:cNvPicPr>
                        </pic:nvPicPr>
                        <pic:blipFill>
                          <a:blip r:embed="rId50"/>
                          <a:stretch>
                            <a:fillRect/>
                          </a:stretch>
                        </pic:blipFill>
                        <pic:spPr>
                          <a:xfrm>
                            <a:off x="0" y="0"/>
                            <a:ext cx="3239770" cy="2429510"/>
                          </a:xfrm>
                          <a:prstGeom prst="rect">
                            <a:avLst/>
                          </a:prstGeom>
                        </pic:spPr>
                      </pic:pic>
                    </a:graphicData>
                  </a:graphic>
                </wp:inline>
              </w:drawing>
            </w:r>
            <w:bookmarkEnd w:id="99"/>
            <w:bookmarkEnd w:id="100"/>
            <w:bookmarkEnd w:id="101"/>
            <w:bookmarkEnd w:id="102"/>
          </w:p>
          <w:p w14:paraId="770C7355">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b/>
                <w:bCs/>
                <w:color w:val="auto"/>
                <w:sz w:val="21"/>
                <w:szCs w:val="21"/>
                <w:highlight w:val="none"/>
                <w:vertAlign w:val="baseline"/>
                <w:lang w:val="en-US" w:eastAsia="zh-CN"/>
              </w:rPr>
              <w:t>拟建施工生产生活区现状</w:t>
            </w:r>
          </w:p>
        </w:tc>
        <w:tc>
          <w:tcPr>
            <w:tcW w:w="6724" w:type="dxa"/>
            <w:vAlign w:val="top"/>
          </w:tcPr>
          <w:p w14:paraId="207430A8">
            <w:pPr>
              <w:pStyle w:val="3"/>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bookmarkStart w:id="103" w:name="_Toc13304"/>
            <w:bookmarkStart w:id="104" w:name="_Toc22959"/>
            <w:bookmarkStart w:id="105" w:name="_Toc11085"/>
            <w:bookmarkStart w:id="106" w:name="_Toc21866"/>
            <w:r>
              <w:rPr>
                <w:rFonts w:hint="default" w:ascii="Times New Roman" w:hAnsi="Times New Roman" w:eastAsia="宋体" w:cs="Times New Roman"/>
                <w:b/>
                <w:bCs/>
                <w:color w:val="auto"/>
                <w:sz w:val="21"/>
                <w:szCs w:val="21"/>
                <w:highlight w:val="none"/>
                <w:vertAlign w:val="baseline"/>
                <w:lang w:val="en-US" w:eastAsia="zh-CN"/>
              </w:rPr>
              <w:drawing>
                <wp:inline distT="0" distB="0" distL="114300" distR="114300">
                  <wp:extent cx="3239770" cy="2429510"/>
                  <wp:effectExtent l="0" t="0" r="17780" b="8890"/>
                  <wp:docPr id="128" name="图片 128" descr="微信图片_20260529092140_26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微信图片_20260529092140_26_3"/>
                          <pic:cNvPicPr>
                            <a:picLocks noChangeAspect="1"/>
                          </pic:cNvPicPr>
                        </pic:nvPicPr>
                        <pic:blipFill>
                          <a:blip r:embed="rId51"/>
                          <a:stretch>
                            <a:fillRect/>
                          </a:stretch>
                        </pic:blipFill>
                        <pic:spPr>
                          <a:xfrm>
                            <a:off x="0" y="0"/>
                            <a:ext cx="3239770" cy="2429510"/>
                          </a:xfrm>
                          <a:prstGeom prst="rect">
                            <a:avLst/>
                          </a:prstGeom>
                        </pic:spPr>
                      </pic:pic>
                    </a:graphicData>
                  </a:graphic>
                </wp:inline>
              </w:drawing>
            </w:r>
            <w:bookmarkEnd w:id="103"/>
            <w:bookmarkEnd w:id="104"/>
            <w:bookmarkEnd w:id="105"/>
            <w:bookmarkEnd w:id="106"/>
          </w:p>
          <w:p w14:paraId="2AF7E840">
            <w:pPr>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b/>
                <w:bCs/>
                <w:color w:val="auto"/>
                <w:sz w:val="21"/>
                <w:szCs w:val="21"/>
                <w:highlight w:val="none"/>
                <w:vertAlign w:val="baseline"/>
                <w:lang w:val="en-US" w:eastAsia="zh-CN"/>
              </w:rPr>
              <w:t>现有道路</w:t>
            </w:r>
          </w:p>
        </w:tc>
      </w:tr>
    </w:tbl>
    <w:p w14:paraId="608C2FFF">
      <w:pPr>
        <w:bidi w:val="0"/>
        <w:rPr>
          <w:rFonts w:hint="default" w:ascii="Times New Roman" w:hAnsi="Times New Roman" w:cs="Times New Roman"/>
          <w:highlight w:val="none"/>
          <w:lang w:val="en-US" w:eastAsia="zh-CN"/>
        </w:rPr>
      </w:pPr>
    </w:p>
    <w:p w14:paraId="6F1C0648">
      <w:pPr>
        <w:pStyle w:val="3"/>
        <w:bidi w:val="0"/>
        <w:rPr>
          <w:rFonts w:hint="default" w:ascii="Times New Roman" w:hAnsi="Times New Roman" w:cs="Times New Roman"/>
          <w:highlight w:val="none"/>
          <w:lang w:val="en-US" w:eastAsia="zh-CN"/>
        </w:rPr>
      </w:pPr>
      <w:bookmarkStart w:id="107" w:name="_Toc23954"/>
      <w:r>
        <w:rPr>
          <w:rFonts w:hint="default" w:ascii="Times New Roman" w:hAnsi="Times New Roman" w:cs="Times New Roman"/>
          <w:highlight w:val="none"/>
          <w:lang w:val="en-US" w:eastAsia="zh-CN"/>
        </w:rPr>
        <w:t>附图11  现场照片</w:t>
      </w:r>
      <w:bookmarkEnd w:id="107"/>
    </w:p>
    <w:p w14:paraId="093CA230">
      <w:pPr>
        <w:rPr>
          <w:rFonts w:hint="default" w:ascii="Times New Roman" w:hAnsi="Times New Roman" w:eastAsia="宋体" w:cs="Times New Roman"/>
          <w:b/>
          <w:bCs/>
          <w:color w:val="auto"/>
          <w:sz w:val="24"/>
          <w:szCs w:val="24"/>
          <w:highlight w:val="none"/>
          <w:lang w:val="en-US" w:eastAsia="zh-CN"/>
        </w:rPr>
        <w:sectPr>
          <w:pgSz w:w="16838" w:h="11906" w:orient="landscape"/>
          <w:pgMar w:top="1440" w:right="1803" w:bottom="1440" w:left="1803" w:header="851" w:footer="992" w:gutter="0"/>
          <w:cols w:space="720" w:num="1"/>
          <w:rtlGutter w:val="0"/>
          <w:docGrid w:type="lines" w:linePitch="322" w:charSpace="0"/>
        </w:sectPr>
      </w:pPr>
    </w:p>
    <w:p w14:paraId="54344F6F">
      <w:pPr>
        <w:outlineLvl w:val="0"/>
        <w:rPr>
          <w:rFonts w:hint="default" w:ascii="Times New Roman" w:hAnsi="Times New Roman" w:cs="Times New Roman"/>
          <w:b/>
          <w:color w:val="auto"/>
          <w:sz w:val="28"/>
          <w:szCs w:val="28"/>
          <w:highlight w:val="none"/>
        </w:rPr>
      </w:pPr>
      <w:bookmarkStart w:id="108" w:name="_Toc12433"/>
      <w:bookmarkStart w:id="109" w:name="_Toc22703"/>
      <w:r>
        <w:rPr>
          <w:rFonts w:hint="default" w:ascii="Times New Roman" w:hAnsi="Times New Roman" w:cs="Times New Roman"/>
          <w:b/>
          <w:color w:val="auto"/>
          <w:sz w:val="28"/>
          <w:szCs w:val="28"/>
          <w:highlight w:val="none"/>
        </w:rPr>
        <w:t>附件</w:t>
      </w:r>
      <w:bookmarkEnd w:id="108"/>
      <w:bookmarkEnd w:id="109"/>
    </w:p>
    <w:p w14:paraId="690BE0B5">
      <w:pPr>
        <w:pStyle w:val="3"/>
        <w:bidi w:val="0"/>
        <w:jc w:val="left"/>
        <w:rPr>
          <w:rFonts w:hint="default" w:ascii="Times New Roman" w:hAnsi="Times New Roman" w:cs="Times New Roman"/>
          <w:highlight w:val="none"/>
          <w:lang w:val="en-US" w:eastAsia="zh-CN"/>
        </w:rPr>
      </w:pPr>
      <w:bookmarkStart w:id="110" w:name="_Toc6044"/>
      <w:bookmarkStart w:id="111" w:name="_Toc82120813"/>
      <w:r>
        <w:rPr>
          <w:rFonts w:hint="default" w:ascii="Times New Roman" w:hAnsi="Times New Roman" w:cs="Times New Roman"/>
          <w:highlight w:val="none"/>
          <w:lang w:val="en-US" w:eastAsia="zh-CN"/>
        </w:rPr>
        <w:t>附件1 关于黑龙江省庆安县欧根河治理工程初步设计报告的批复</w:t>
      </w:r>
      <w:bookmarkEnd w:id="110"/>
      <w:bookmarkEnd w:id="111"/>
    </w:p>
    <w:p w14:paraId="621EEE9D">
      <w:pPr>
        <w:rPr>
          <w:rFonts w:hint="default" w:ascii="Times New Roman" w:hAnsi="Times New Roman" w:eastAsia="宋体" w:cs="Times New Roman"/>
          <w:color w:val="auto"/>
          <w:highlight w:val="none"/>
          <w:lang w:eastAsia="zh-CN"/>
        </w:rPr>
      </w:pPr>
      <w:r>
        <w:rPr>
          <w:rFonts w:hint="default" w:ascii="Times New Roman" w:hAnsi="Times New Roman" w:cs="Times New Roman"/>
          <w:highlight w:val="none"/>
        </w:rPr>
        <w:drawing>
          <wp:inline distT="0" distB="0" distL="114300" distR="114300">
            <wp:extent cx="5309235" cy="7263130"/>
            <wp:effectExtent l="0" t="0" r="5715" b="13970"/>
            <wp:docPr id="86"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72"/>
                    <pic:cNvPicPr>
                      <a:picLocks noChangeAspect="1"/>
                    </pic:cNvPicPr>
                  </pic:nvPicPr>
                  <pic:blipFill>
                    <a:blip r:embed="rId52"/>
                    <a:stretch>
                      <a:fillRect/>
                    </a:stretch>
                  </pic:blipFill>
                  <pic:spPr>
                    <a:xfrm>
                      <a:off x="0" y="0"/>
                      <a:ext cx="5309235" cy="7263130"/>
                    </a:xfrm>
                    <a:prstGeom prst="rect">
                      <a:avLst/>
                    </a:prstGeom>
                    <a:noFill/>
                    <a:ln>
                      <a:noFill/>
                    </a:ln>
                  </pic:spPr>
                </pic:pic>
              </a:graphicData>
            </a:graphic>
          </wp:inline>
        </w:drawing>
      </w:r>
      <w:r>
        <w:rPr>
          <w:rFonts w:hint="default" w:ascii="Times New Roman" w:hAnsi="Times New Roman" w:cs="Times New Roman"/>
          <w:highlight w:val="none"/>
        </w:rPr>
        <w:drawing>
          <wp:inline distT="0" distB="0" distL="114300" distR="114300">
            <wp:extent cx="5728335" cy="7995285"/>
            <wp:effectExtent l="0" t="0" r="5715" b="5715"/>
            <wp:docPr id="87"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73"/>
                    <pic:cNvPicPr>
                      <a:picLocks noChangeAspect="1"/>
                    </pic:cNvPicPr>
                  </pic:nvPicPr>
                  <pic:blipFill>
                    <a:blip r:embed="rId53"/>
                    <a:stretch>
                      <a:fillRect/>
                    </a:stretch>
                  </pic:blipFill>
                  <pic:spPr>
                    <a:xfrm>
                      <a:off x="0" y="0"/>
                      <a:ext cx="5728335" cy="7995285"/>
                    </a:xfrm>
                    <a:prstGeom prst="rect">
                      <a:avLst/>
                    </a:prstGeom>
                    <a:noFill/>
                    <a:ln>
                      <a:noFill/>
                    </a:ln>
                  </pic:spPr>
                </pic:pic>
              </a:graphicData>
            </a:graphic>
          </wp:inline>
        </w:drawing>
      </w:r>
    </w:p>
    <w:p w14:paraId="42E3C7C0">
      <w:pPr>
        <w:rPr>
          <w:rFonts w:hint="default" w:ascii="Times New Roman" w:hAnsi="Times New Roman" w:cs="Times New Roman"/>
          <w:color w:val="auto"/>
          <w:highlight w:val="none"/>
        </w:rPr>
      </w:pPr>
    </w:p>
    <w:p w14:paraId="6DD10708">
      <w:pPr>
        <w:pStyle w:val="3"/>
        <w:bidi w:val="0"/>
        <w:jc w:val="left"/>
        <w:rPr>
          <w:rFonts w:hint="default" w:ascii="Times New Roman" w:hAnsi="Times New Roman" w:cs="Times New Roman"/>
          <w:b/>
          <w:bCs/>
          <w:szCs w:val="32"/>
          <w:highlight w:val="none"/>
          <w:lang w:val="en-US" w:eastAsia="zh-CN"/>
        </w:rPr>
      </w:pPr>
      <w:bookmarkStart w:id="112" w:name="_Toc5137"/>
      <w:r>
        <w:rPr>
          <w:rFonts w:hint="default" w:ascii="Times New Roman" w:hAnsi="Times New Roman" w:cs="Times New Roman"/>
          <w:highlight w:val="none"/>
          <w:lang w:val="en-US" w:eastAsia="zh-CN"/>
        </w:rPr>
        <w:t>附件2 关于黑龙江省根河治理方案的批复</w:t>
      </w:r>
      <w:bookmarkEnd w:id="112"/>
    </w:p>
    <w:p w14:paraId="2A03611B">
      <w:pPr>
        <w:bidi w:val="0"/>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229225" cy="7534275"/>
            <wp:effectExtent l="0" t="0" r="9525" b="9525"/>
            <wp:docPr id="1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
                    <pic:cNvPicPr>
                      <a:picLocks noChangeAspect="1"/>
                    </pic:cNvPicPr>
                  </pic:nvPicPr>
                  <pic:blipFill>
                    <a:blip r:embed="rId54"/>
                    <a:stretch>
                      <a:fillRect/>
                    </a:stretch>
                  </pic:blipFill>
                  <pic:spPr>
                    <a:xfrm>
                      <a:off x="0" y="0"/>
                      <a:ext cx="5229225" cy="7534275"/>
                    </a:xfrm>
                    <a:prstGeom prst="rect">
                      <a:avLst/>
                    </a:prstGeom>
                    <a:noFill/>
                    <a:ln>
                      <a:noFill/>
                    </a:ln>
                  </pic:spPr>
                </pic:pic>
              </a:graphicData>
            </a:graphic>
          </wp:inline>
        </w:drawing>
      </w:r>
      <w:r>
        <w:rPr>
          <w:rFonts w:hint="default" w:ascii="Times New Roman" w:hAnsi="Times New Roman" w:cs="Times New Roman"/>
          <w:highlight w:val="none"/>
        </w:rPr>
        <w:drawing>
          <wp:inline distT="0" distB="0" distL="114300" distR="114300">
            <wp:extent cx="4829175" cy="7477125"/>
            <wp:effectExtent l="0" t="0" r="9525" b="9525"/>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3"/>
                    <pic:cNvPicPr>
                      <a:picLocks noChangeAspect="1"/>
                    </pic:cNvPicPr>
                  </pic:nvPicPr>
                  <pic:blipFill>
                    <a:blip r:embed="rId55"/>
                    <a:stretch>
                      <a:fillRect/>
                    </a:stretch>
                  </pic:blipFill>
                  <pic:spPr>
                    <a:xfrm>
                      <a:off x="0" y="0"/>
                      <a:ext cx="4829175" cy="7477125"/>
                    </a:xfrm>
                    <a:prstGeom prst="rect">
                      <a:avLst/>
                    </a:prstGeom>
                    <a:noFill/>
                    <a:ln>
                      <a:noFill/>
                    </a:ln>
                  </pic:spPr>
                </pic:pic>
              </a:graphicData>
            </a:graphic>
          </wp:inline>
        </w:drawing>
      </w:r>
    </w:p>
    <w:p w14:paraId="70D91007">
      <w:pPr>
        <w:bidi w:val="0"/>
        <w:rPr>
          <w:rFonts w:hint="default" w:ascii="Times New Roman" w:hAnsi="Times New Roman" w:cs="Times New Roman"/>
          <w:highlight w:val="none"/>
        </w:rPr>
      </w:pPr>
    </w:p>
    <w:p w14:paraId="666A3755">
      <w:pPr>
        <w:bidi w:val="0"/>
        <w:rPr>
          <w:rFonts w:hint="default" w:ascii="Times New Roman" w:hAnsi="Times New Roman" w:cs="Times New Roman"/>
          <w:highlight w:val="none"/>
        </w:rPr>
      </w:pPr>
    </w:p>
    <w:p w14:paraId="4285411B">
      <w:pPr>
        <w:bidi w:val="0"/>
        <w:rPr>
          <w:rFonts w:hint="default" w:ascii="Times New Roman" w:hAnsi="Times New Roman" w:cs="Times New Roman"/>
          <w:highlight w:val="none"/>
        </w:rPr>
      </w:pPr>
    </w:p>
    <w:p w14:paraId="6C1918E0">
      <w:pPr>
        <w:bidi w:val="0"/>
        <w:rPr>
          <w:rFonts w:hint="default" w:ascii="Times New Roman" w:hAnsi="Times New Roman" w:cs="Times New Roman"/>
          <w:highlight w:val="none"/>
        </w:rPr>
      </w:pPr>
    </w:p>
    <w:p w14:paraId="0D2ECD59">
      <w:pPr>
        <w:pStyle w:val="3"/>
        <w:bidi w:val="0"/>
        <w:jc w:val="left"/>
        <w:rPr>
          <w:rFonts w:hint="default" w:ascii="Times New Roman" w:hAnsi="Times New Roman" w:cs="Times New Roman"/>
          <w:highlight w:val="none"/>
          <w:lang w:val="en-US" w:eastAsia="zh-CN"/>
        </w:rPr>
      </w:pPr>
      <w:bookmarkStart w:id="113" w:name="_Toc21729"/>
      <w:r>
        <w:rPr>
          <w:rFonts w:hint="default" w:ascii="Times New Roman" w:hAnsi="Times New Roman" w:cs="Times New Roman"/>
          <w:highlight w:val="none"/>
          <w:lang w:val="en-US" w:eastAsia="zh-CN"/>
        </w:rPr>
        <w:t>附件3 关于加强"十五五"期间中小河流治理前期工作有关要求的通知</w:t>
      </w:r>
      <w:bookmarkEnd w:id="113"/>
    </w:p>
    <w:p w14:paraId="57B4707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drawing>
          <wp:inline distT="0" distB="0" distL="114300" distR="114300">
            <wp:extent cx="5010150" cy="7096125"/>
            <wp:effectExtent l="0" t="0" r="0" b="9525"/>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56"/>
                    <a:stretch>
                      <a:fillRect/>
                    </a:stretch>
                  </pic:blipFill>
                  <pic:spPr>
                    <a:xfrm>
                      <a:off x="0" y="0"/>
                      <a:ext cx="5010150" cy="7096125"/>
                    </a:xfrm>
                    <a:prstGeom prst="rect">
                      <a:avLst/>
                    </a:prstGeom>
                    <a:noFill/>
                    <a:ln>
                      <a:noFill/>
                    </a:ln>
                  </pic:spPr>
                </pic:pic>
              </a:graphicData>
            </a:graphic>
          </wp:inline>
        </w:drawing>
      </w:r>
      <w:r>
        <w:rPr>
          <w:rFonts w:hint="default" w:ascii="Times New Roman" w:hAnsi="Times New Roman" w:cs="Times New Roman"/>
          <w:highlight w:val="none"/>
        </w:rPr>
        <w:drawing>
          <wp:inline distT="0" distB="0" distL="114300" distR="114300">
            <wp:extent cx="4972050" cy="7029450"/>
            <wp:effectExtent l="0" t="0" r="0" b="0"/>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57"/>
                    <a:stretch>
                      <a:fillRect/>
                    </a:stretch>
                  </pic:blipFill>
                  <pic:spPr>
                    <a:xfrm>
                      <a:off x="0" y="0"/>
                      <a:ext cx="4972050" cy="7029450"/>
                    </a:xfrm>
                    <a:prstGeom prst="rect">
                      <a:avLst/>
                    </a:prstGeom>
                    <a:noFill/>
                    <a:ln>
                      <a:noFill/>
                    </a:ln>
                  </pic:spPr>
                </pic:pic>
              </a:graphicData>
            </a:graphic>
          </wp:inline>
        </w:drawing>
      </w:r>
      <w:r>
        <w:rPr>
          <w:rFonts w:hint="default" w:ascii="Times New Roman" w:hAnsi="Times New Roman" w:cs="Times New Roman"/>
          <w:highlight w:val="none"/>
        </w:rPr>
        <w:drawing>
          <wp:inline distT="0" distB="0" distL="114300" distR="114300">
            <wp:extent cx="4981575" cy="6972300"/>
            <wp:effectExtent l="0" t="0" r="9525" b="0"/>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58"/>
                    <a:stretch>
                      <a:fillRect/>
                    </a:stretch>
                  </pic:blipFill>
                  <pic:spPr>
                    <a:xfrm>
                      <a:off x="0" y="0"/>
                      <a:ext cx="4981575" cy="6972300"/>
                    </a:xfrm>
                    <a:prstGeom prst="rect">
                      <a:avLst/>
                    </a:prstGeom>
                    <a:noFill/>
                    <a:ln>
                      <a:noFill/>
                    </a:ln>
                  </pic:spPr>
                </pic:pic>
              </a:graphicData>
            </a:graphic>
          </wp:inline>
        </w:drawing>
      </w:r>
      <w:r>
        <w:rPr>
          <w:rFonts w:hint="default" w:ascii="Times New Roman" w:hAnsi="Times New Roman" w:cs="Times New Roman"/>
          <w:highlight w:val="none"/>
        </w:rPr>
        <w:drawing>
          <wp:inline distT="0" distB="0" distL="114300" distR="114300">
            <wp:extent cx="4895850" cy="6829425"/>
            <wp:effectExtent l="0" t="0" r="0" b="9525"/>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59"/>
                    <a:stretch>
                      <a:fillRect/>
                    </a:stretch>
                  </pic:blipFill>
                  <pic:spPr>
                    <a:xfrm>
                      <a:off x="0" y="0"/>
                      <a:ext cx="4895850" cy="6829425"/>
                    </a:xfrm>
                    <a:prstGeom prst="rect">
                      <a:avLst/>
                    </a:prstGeom>
                    <a:noFill/>
                    <a:ln>
                      <a:noFill/>
                    </a:ln>
                  </pic:spPr>
                </pic:pic>
              </a:graphicData>
            </a:graphic>
          </wp:inline>
        </w:drawing>
      </w:r>
      <w:r>
        <w:rPr>
          <w:rFonts w:hint="default" w:ascii="Times New Roman" w:hAnsi="Times New Roman" w:cs="Times New Roman"/>
          <w:highlight w:val="none"/>
        </w:rPr>
        <w:drawing>
          <wp:inline distT="0" distB="0" distL="114300" distR="114300">
            <wp:extent cx="4953000" cy="7038975"/>
            <wp:effectExtent l="0" t="0" r="0" b="9525"/>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60"/>
                    <a:stretch>
                      <a:fillRect/>
                    </a:stretch>
                  </pic:blipFill>
                  <pic:spPr>
                    <a:xfrm>
                      <a:off x="0" y="0"/>
                      <a:ext cx="4953000" cy="7038975"/>
                    </a:xfrm>
                    <a:prstGeom prst="rect">
                      <a:avLst/>
                    </a:prstGeom>
                    <a:noFill/>
                    <a:ln>
                      <a:noFill/>
                    </a:ln>
                  </pic:spPr>
                </pic:pic>
              </a:graphicData>
            </a:graphic>
          </wp:inline>
        </w:drawing>
      </w:r>
      <w:r>
        <w:rPr>
          <w:rFonts w:hint="default" w:ascii="Times New Roman" w:hAnsi="Times New Roman" w:cs="Times New Roman"/>
          <w:highlight w:val="none"/>
        </w:rPr>
        <w:drawing>
          <wp:inline distT="0" distB="0" distL="114300" distR="114300">
            <wp:extent cx="4962525" cy="7000875"/>
            <wp:effectExtent l="0" t="0" r="9525" b="952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61"/>
                    <a:stretch>
                      <a:fillRect/>
                    </a:stretch>
                  </pic:blipFill>
                  <pic:spPr>
                    <a:xfrm>
                      <a:off x="0" y="0"/>
                      <a:ext cx="4962525" cy="7000875"/>
                    </a:xfrm>
                    <a:prstGeom prst="rect">
                      <a:avLst/>
                    </a:prstGeom>
                    <a:noFill/>
                    <a:ln>
                      <a:noFill/>
                    </a:ln>
                  </pic:spPr>
                </pic:pic>
              </a:graphicData>
            </a:graphic>
          </wp:inline>
        </w:drawing>
      </w:r>
      <w:r>
        <w:rPr>
          <w:rFonts w:hint="default" w:ascii="Times New Roman" w:hAnsi="Times New Roman" w:cs="Times New Roman"/>
          <w:highlight w:val="none"/>
        </w:rPr>
        <w:drawing>
          <wp:inline distT="0" distB="0" distL="114300" distR="114300">
            <wp:extent cx="4953000" cy="7019925"/>
            <wp:effectExtent l="0" t="0" r="0" b="9525"/>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pic:cNvPicPr>
                      <a:picLocks noChangeAspect="1"/>
                    </pic:cNvPicPr>
                  </pic:nvPicPr>
                  <pic:blipFill>
                    <a:blip r:embed="rId62"/>
                    <a:stretch>
                      <a:fillRect/>
                    </a:stretch>
                  </pic:blipFill>
                  <pic:spPr>
                    <a:xfrm>
                      <a:off x="0" y="0"/>
                      <a:ext cx="4953000" cy="7019925"/>
                    </a:xfrm>
                    <a:prstGeom prst="rect">
                      <a:avLst/>
                    </a:prstGeom>
                    <a:noFill/>
                    <a:ln>
                      <a:noFill/>
                    </a:ln>
                  </pic:spPr>
                </pic:pic>
              </a:graphicData>
            </a:graphic>
          </wp:inline>
        </w:drawing>
      </w:r>
      <w:r>
        <w:rPr>
          <w:rFonts w:hint="default" w:ascii="Times New Roman" w:hAnsi="Times New Roman" w:cs="Times New Roman"/>
          <w:highlight w:val="none"/>
        </w:rPr>
        <w:drawing>
          <wp:inline distT="0" distB="0" distL="114300" distR="114300">
            <wp:extent cx="4991100" cy="6962775"/>
            <wp:effectExtent l="0" t="0" r="0" b="9525"/>
            <wp:docPr id="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pic:cNvPicPr>
                      <a:picLocks noChangeAspect="1"/>
                    </pic:cNvPicPr>
                  </pic:nvPicPr>
                  <pic:blipFill>
                    <a:blip r:embed="rId63"/>
                    <a:stretch>
                      <a:fillRect/>
                    </a:stretch>
                  </pic:blipFill>
                  <pic:spPr>
                    <a:xfrm>
                      <a:off x="0" y="0"/>
                      <a:ext cx="4991100" cy="6962775"/>
                    </a:xfrm>
                    <a:prstGeom prst="rect">
                      <a:avLst/>
                    </a:prstGeom>
                    <a:noFill/>
                    <a:ln>
                      <a:noFill/>
                    </a:ln>
                  </pic:spPr>
                </pic:pic>
              </a:graphicData>
            </a:graphic>
          </wp:inline>
        </w:drawing>
      </w:r>
    </w:p>
    <w:p w14:paraId="0C67FA6F">
      <w:pPr>
        <w:rPr>
          <w:rFonts w:hint="default" w:ascii="Times New Roman" w:hAnsi="Times New Roman" w:cs="Times New Roman"/>
          <w:color w:val="auto"/>
          <w:highlight w:val="none"/>
        </w:rPr>
      </w:pPr>
      <w:r>
        <w:rPr>
          <w:rFonts w:hint="default" w:ascii="Times New Roman" w:hAnsi="Times New Roman" w:cs="Times New Roman"/>
          <w:highlight w:val="none"/>
        </w:rPr>
        <w:drawing>
          <wp:inline distT="0" distB="0" distL="114300" distR="114300">
            <wp:extent cx="4924425" cy="6886575"/>
            <wp:effectExtent l="0" t="0" r="9525" b="9525"/>
            <wp:docPr id="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pic:cNvPicPr>
                      <a:picLocks noChangeAspect="1"/>
                    </pic:cNvPicPr>
                  </pic:nvPicPr>
                  <pic:blipFill>
                    <a:blip r:embed="rId64"/>
                    <a:stretch>
                      <a:fillRect/>
                    </a:stretch>
                  </pic:blipFill>
                  <pic:spPr>
                    <a:xfrm>
                      <a:off x="0" y="0"/>
                      <a:ext cx="4924425" cy="6886575"/>
                    </a:xfrm>
                    <a:prstGeom prst="rect">
                      <a:avLst/>
                    </a:prstGeom>
                    <a:noFill/>
                    <a:ln>
                      <a:noFill/>
                    </a:ln>
                  </pic:spPr>
                </pic:pic>
              </a:graphicData>
            </a:graphic>
          </wp:inline>
        </w:drawing>
      </w:r>
    </w:p>
    <w:p w14:paraId="7CBC9EDB">
      <w:pPr>
        <w:rPr>
          <w:rFonts w:hint="default" w:ascii="Times New Roman" w:hAnsi="Times New Roman" w:cs="Times New Roman"/>
          <w:color w:val="auto"/>
          <w:highlight w:val="none"/>
        </w:rPr>
      </w:pPr>
    </w:p>
    <w:p w14:paraId="341AA8D9">
      <w:pPr>
        <w:rPr>
          <w:rFonts w:hint="default" w:ascii="Times New Roman" w:hAnsi="Times New Roman" w:cs="Times New Roman"/>
          <w:highlight w:val="none"/>
        </w:rPr>
        <w:sectPr>
          <w:pgSz w:w="11906" w:h="16838"/>
          <w:pgMar w:top="1803" w:right="1440" w:bottom="1803" w:left="1440" w:header="851" w:footer="992" w:gutter="0"/>
          <w:cols w:space="720" w:num="1"/>
          <w:rtlGutter w:val="0"/>
          <w:docGrid w:type="lines" w:linePitch="322" w:charSpace="0"/>
        </w:sectPr>
      </w:pPr>
      <w:r>
        <w:rPr>
          <w:rFonts w:hint="default" w:ascii="Times New Roman" w:hAnsi="Times New Roman" w:cs="Times New Roman"/>
          <w:sz w:val="21"/>
          <w:highlight w:val="none"/>
        </w:rPr>
        <mc:AlternateContent>
          <mc:Choice Requires="wps">
            <w:drawing>
              <wp:anchor distT="0" distB="0" distL="114300" distR="114300" simplePos="0" relativeHeight="251700224" behindDoc="0" locked="0" layoutInCell="1" allowOverlap="1">
                <wp:simplePos x="0" y="0"/>
                <wp:positionH relativeFrom="column">
                  <wp:posOffset>332105</wp:posOffset>
                </wp:positionH>
                <wp:positionV relativeFrom="paragraph">
                  <wp:posOffset>1739900</wp:posOffset>
                </wp:positionV>
                <wp:extent cx="4305300" cy="171450"/>
                <wp:effectExtent l="12700" t="12700" r="25400" b="25400"/>
                <wp:wrapNone/>
                <wp:docPr id="100" name="矩形 100"/>
                <wp:cNvGraphicFramePr/>
                <a:graphic xmlns:a="http://schemas.openxmlformats.org/drawingml/2006/main">
                  <a:graphicData uri="http://schemas.microsoft.com/office/word/2010/wordprocessingShape">
                    <wps:wsp>
                      <wps:cNvSpPr/>
                      <wps:spPr>
                        <a:xfrm>
                          <a:off x="1246505" y="2884805"/>
                          <a:ext cx="4305300" cy="1714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15pt;margin-top:137pt;height:13.5pt;width:339pt;z-index:251700224;v-text-anchor:middle;mso-width-relative:page;mso-height-relative:page;" filled="f" stroked="t" coordsize="21600,21600" o:gfxdata="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p6z7fZAAAACgEAAA8AAAAAAAAAAQAgAAAAIgAAAGRycy9kb3ducmV2Lnht&#10;bFBLAQIUABQAAAAIAIdO4kBk+GNWagIAAMQEAAAOAAAAAAAAAAEAIAAAACgBAABkcnMvZTJvRG9j&#10;LnhtbFBLBQYAAAAABgAGAFkBAAAEBgAAAAA=&#10;">
                <v:fill on="f" focussize="0,0"/>
                <v:stroke weight="2pt" color="#FF0000 [2404]" joinstyle="round"/>
                <v:imagedata o:title=""/>
                <o:lock v:ext="edit" aspectratio="f"/>
              </v:rect>
            </w:pict>
          </mc:Fallback>
        </mc:AlternateContent>
      </w:r>
      <w:r>
        <w:rPr>
          <w:rFonts w:hint="default" w:ascii="Times New Roman" w:hAnsi="Times New Roman" w:cs="Times New Roman"/>
          <w:highlight w:val="none"/>
        </w:rPr>
        <w:drawing>
          <wp:inline distT="0" distB="0" distL="114300" distR="114300">
            <wp:extent cx="4819650" cy="6943725"/>
            <wp:effectExtent l="0" t="0" r="0" b="9525"/>
            <wp:docPr id="9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
                    <pic:cNvPicPr>
                      <a:picLocks noChangeAspect="1"/>
                    </pic:cNvPicPr>
                  </pic:nvPicPr>
                  <pic:blipFill>
                    <a:blip r:embed="rId65"/>
                    <a:stretch>
                      <a:fillRect/>
                    </a:stretch>
                  </pic:blipFill>
                  <pic:spPr>
                    <a:xfrm>
                      <a:off x="0" y="0"/>
                      <a:ext cx="4819650" cy="6943725"/>
                    </a:xfrm>
                    <a:prstGeom prst="rect">
                      <a:avLst/>
                    </a:prstGeom>
                    <a:noFill/>
                    <a:ln>
                      <a:noFill/>
                    </a:ln>
                  </pic:spPr>
                </pic:pic>
              </a:graphicData>
            </a:graphic>
          </wp:inline>
        </w:drawing>
      </w:r>
    </w:p>
    <w:p w14:paraId="68432C77">
      <w:pPr>
        <w:pStyle w:val="3"/>
        <w:bidi w:val="0"/>
        <w:jc w:val="left"/>
        <w:rPr>
          <w:rFonts w:hint="default" w:ascii="Times New Roman" w:hAnsi="Times New Roman" w:cs="Times New Roman"/>
          <w:highlight w:val="none"/>
          <w:lang w:val="en-US" w:eastAsia="zh-CN"/>
        </w:rPr>
      </w:pPr>
      <w:bookmarkStart w:id="114" w:name="_Toc20247"/>
      <w:r>
        <w:rPr>
          <w:rFonts w:hint="default" w:ascii="Times New Roman" w:hAnsi="Times New Roman" w:cs="Times New Roman"/>
          <w:highlight w:val="none"/>
          <w:lang w:val="en-US" w:eastAsia="zh-CN"/>
        </w:rPr>
        <w:t>附件4 生态环境分区管控报告</w:t>
      </w:r>
      <w:bookmarkEnd w:id="114"/>
    </w:p>
    <w:p w14:paraId="114800DA">
      <w:pPr>
        <w:jc w:val="center"/>
        <w:rPr>
          <w:rFonts w:hint="default" w:ascii="Times New Roman" w:hAnsi="Times New Roman" w:eastAsia="宋体" w:cs="Times New Roman"/>
          <w:color w:val="auto"/>
          <w:highlight w:val="none"/>
          <w:lang w:eastAsia="zh-CN"/>
        </w:rPr>
        <w:sectPr>
          <w:pgSz w:w="16838" w:h="11906" w:orient="landscape"/>
          <w:pgMar w:top="1440" w:right="1803" w:bottom="1440" w:left="1803" w:header="851" w:footer="992" w:gutter="0"/>
          <w:cols w:space="0" w:num="1"/>
          <w:rtlGutter w:val="0"/>
          <w:docGrid w:type="lines" w:linePitch="322" w:charSpace="0"/>
        </w:sectPr>
      </w:pPr>
      <w:r>
        <w:rPr>
          <w:rFonts w:hint="default" w:ascii="Times New Roman" w:hAnsi="Times New Roman" w:eastAsia="宋体" w:cs="Times New Roman"/>
          <w:color w:val="auto"/>
          <w:highlight w:val="none"/>
          <w:lang w:eastAsia="zh-CN"/>
        </w:rPr>
        <w:drawing>
          <wp:inline distT="0" distB="0" distL="114300" distR="114300">
            <wp:extent cx="4899025" cy="6929120"/>
            <wp:effectExtent l="0" t="0" r="5080" b="15875"/>
            <wp:docPr id="103" name="图片 103" descr="欧根河_2026年06月03日100531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欧根河_2026年06月03日100531_分析报告_01"/>
                    <pic:cNvPicPr>
                      <a:picLocks noChangeAspect="1"/>
                    </pic:cNvPicPr>
                  </pic:nvPicPr>
                  <pic:blipFill>
                    <a:blip r:embed="rId66"/>
                    <a:stretch>
                      <a:fillRect/>
                    </a:stretch>
                  </pic:blipFill>
                  <pic:spPr>
                    <a:xfrm rot="5400000">
                      <a:off x="0" y="0"/>
                      <a:ext cx="4899025" cy="69291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657215" cy="8002270"/>
            <wp:effectExtent l="0" t="0" r="17780" b="635"/>
            <wp:docPr id="104" name="图片 104" descr="欧根河_2026年06月03日100531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欧根河_2026年06月03日100531_分析报告_02"/>
                    <pic:cNvPicPr>
                      <a:picLocks noChangeAspect="1"/>
                    </pic:cNvPicPr>
                  </pic:nvPicPr>
                  <pic:blipFill>
                    <a:blip r:embed="rId67"/>
                    <a:stretch>
                      <a:fillRect/>
                    </a:stretch>
                  </pic:blipFill>
                  <pic:spPr>
                    <a:xfrm rot="5400000">
                      <a:off x="0" y="0"/>
                      <a:ext cx="5657215" cy="80022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05" name="图片 105" descr="欧根河_2026年06月03日100531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欧根河_2026年06月03日100531_分析报告_03"/>
                    <pic:cNvPicPr>
                      <a:picLocks noChangeAspect="1"/>
                    </pic:cNvPicPr>
                  </pic:nvPicPr>
                  <pic:blipFill>
                    <a:blip r:embed="rId68"/>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06" name="图片 106" descr="欧根河_2026年06月03日100531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欧根河_2026年06月03日100531_分析报告_04"/>
                    <pic:cNvPicPr>
                      <a:picLocks noChangeAspect="1"/>
                    </pic:cNvPicPr>
                  </pic:nvPicPr>
                  <pic:blipFill>
                    <a:blip r:embed="rId69"/>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07" name="图片 107" descr="欧根河_2026年06月03日100531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欧根河_2026年06月03日100531_分析报告_05"/>
                    <pic:cNvPicPr>
                      <a:picLocks noChangeAspect="1"/>
                    </pic:cNvPicPr>
                  </pic:nvPicPr>
                  <pic:blipFill>
                    <a:blip r:embed="rId70"/>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0" name="图片 110" descr="欧根河_2026年06月03日100531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欧根河_2026年06月03日100531_分析报告_07"/>
                    <pic:cNvPicPr>
                      <a:picLocks noChangeAspect="1"/>
                    </pic:cNvPicPr>
                  </pic:nvPicPr>
                  <pic:blipFill>
                    <a:blip r:embed="rId71"/>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08" name="图片 108" descr="欧根河_2026年06月03日100531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欧根河_2026年06月03日100531_分析报告_06"/>
                    <pic:cNvPicPr>
                      <a:picLocks noChangeAspect="1"/>
                    </pic:cNvPicPr>
                  </pic:nvPicPr>
                  <pic:blipFill>
                    <a:blip r:embed="rId72"/>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3" name="图片 113" descr="欧根河_2026年06月03日100531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欧根河_2026年06月03日100531_分析报告_07"/>
                    <pic:cNvPicPr>
                      <a:picLocks noChangeAspect="1"/>
                    </pic:cNvPicPr>
                  </pic:nvPicPr>
                  <pic:blipFill>
                    <a:blip r:embed="rId71"/>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2" name="图片 112" descr="欧根河_2026年06月03日100531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欧根河_2026年06月03日100531_分析报告_08"/>
                    <pic:cNvPicPr>
                      <a:picLocks noChangeAspect="1"/>
                    </pic:cNvPicPr>
                  </pic:nvPicPr>
                  <pic:blipFill>
                    <a:blip r:embed="rId73"/>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4" name="图片 114" descr="欧根河_2026年06月03日100531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欧根河_2026年06月03日100531_分析报告_09"/>
                    <pic:cNvPicPr>
                      <a:picLocks noChangeAspect="1"/>
                    </pic:cNvPicPr>
                  </pic:nvPicPr>
                  <pic:blipFill>
                    <a:blip r:embed="rId74"/>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1" name="图片 111" descr="欧根河_2026年06月03日100531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欧根河_2026年06月03日100531_分析报告_10"/>
                    <pic:cNvPicPr>
                      <a:picLocks noChangeAspect="1"/>
                    </pic:cNvPicPr>
                  </pic:nvPicPr>
                  <pic:blipFill>
                    <a:blip r:embed="rId75"/>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5" name="图片 115" descr="欧根河_2026年06月03日100531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欧根河_2026年06月03日100531_分析报告_11"/>
                    <pic:cNvPicPr>
                      <a:picLocks noChangeAspect="1"/>
                    </pic:cNvPicPr>
                  </pic:nvPicPr>
                  <pic:blipFill>
                    <a:blip r:embed="rId76"/>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6" name="图片 116" descr="欧根河_2026年06月03日100531_分析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欧根河_2026年06月03日100531_分析报告_12"/>
                    <pic:cNvPicPr>
                      <a:picLocks noChangeAspect="1"/>
                    </pic:cNvPicPr>
                  </pic:nvPicPr>
                  <pic:blipFill>
                    <a:blip r:embed="rId77"/>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7" name="图片 117" descr="欧根河_2026年06月03日100531_分析报告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欧根河_2026年06月03日100531_分析报告_13"/>
                    <pic:cNvPicPr>
                      <a:picLocks noChangeAspect="1"/>
                    </pic:cNvPicPr>
                  </pic:nvPicPr>
                  <pic:blipFill>
                    <a:blip r:embed="rId78"/>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8" name="图片 118" descr="欧根河_2026年06月03日100531_分析报告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欧根河_2026年06月03日100531_分析报告_14"/>
                    <pic:cNvPicPr>
                      <a:picLocks noChangeAspect="1"/>
                    </pic:cNvPicPr>
                  </pic:nvPicPr>
                  <pic:blipFill>
                    <a:blip r:embed="rId79"/>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19" name="图片 119" descr="欧根河_2026年06月03日100531_分析报告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欧根河_2026年06月03日100531_分析报告_15"/>
                    <pic:cNvPicPr>
                      <a:picLocks noChangeAspect="1"/>
                    </pic:cNvPicPr>
                  </pic:nvPicPr>
                  <pic:blipFill>
                    <a:blip r:embed="rId80"/>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22" name="图片 122" descr="欧根河_2026年06月03日100531_分析报告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欧根河_2026年06月03日100531_分析报告_16"/>
                    <pic:cNvPicPr>
                      <a:picLocks noChangeAspect="1"/>
                    </pic:cNvPicPr>
                  </pic:nvPicPr>
                  <pic:blipFill>
                    <a:blip r:embed="rId81"/>
                    <a:stretch>
                      <a:fillRect/>
                    </a:stretch>
                  </pic:blipFill>
                  <pic:spPr>
                    <a:xfrm rot="5400000">
                      <a:off x="0" y="0"/>
                      <a:ext cx="5725160" cy="80975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5725160" cy="8097520"/>
            <wp:effectExtent l="0" t="0" r="17780" b="8890"/>
            <wp:docPr id="121" name="图片 121" descr="欧根河_2026年06月03日100531_分析报告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欧根河_2026年06月03日100531_分析报告_17"/>
                    <pic:cNvPicPr>
                      <a:picLocks noChangeAspect="1"/>
                    </pic:cNvPicPr>
                  </pic:nvPicPr>
                  <pic:blipFill>
                    <a:blip r:embed="rId82"/>
                    <a:stretch>
                      <a:fillRect/>
                    </a:stretch>
                  </pic:blipFill>
                  <pic:spPr>
                    <a:xfrm rot="5400000">
                      <a:off x="0" y="0"/>
                      <a:ext cx="5725160" cy="8097520"/>
                    </a:xfrm>
                    <a:prstGeom prst="rect">
                      <a:avLst/>
                    </a:prstGeom>
                  </pic:spPr>
                </pic:pic>
              </a:graphicData>
            </a:graphic>
          </wp:inline>
        </w:drawing>
      </w:r>
    </w:p>
    <w:p w14:paraId="16854F14">
      <w:pPr>
        <w:pStyle w:val="3"/>
        <w:bidi w:val="0"/>
        <w:jc w:val="left"/>
        <w:rPr>
          <w:rFonts w:hint="default" w:ascii="Times New Roman" w:hAnsi="Times New Roman" w:cs="Times New Roman"/>
          <w:highlight w:val="none"/>
          <w:lang w:val="en-US" w:eastAsia="zh-CN"/>
        </w:rPr>
      </w:pPr>
      <w:bookmarkStart w:id="115" w:name="_Toc19699"/>
      <w:r>
        <w:rPr>
          <w:rFonts w:hint="default" w:ascii="Times New Roman" w:hAnsi="Times New Roman" w:cs="Times New Roman"/>
          <w:highlight w:val="none"/>
          <w:lang w:val="en-US" w:eastAsia="zh-CN"/>
        </w:rPr>
        <w:t>附件5 关于弃土说明</w:t>
      </w:r>
      <w:bookmarkEnd w:id="115"/>
    </w:p>
    <w:p w14:paraId="01F3F34D">
      <w:pPr>
        <w:bidi w:val="0"/>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728970" cy="7819390"/>
            <wp:effectExtent l="0" t="0" r="5080" b="10160"/>
            <wp:docPr id="88"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74"/>
                    <pic:cNvPicPr>
                      <a:picLocks noChangeAspect="1"/>
                    </pic:cNvPicPr>
                  </pic:nvPicPr>
                  <pic:blipFill>
                    <a:blip r:embed="rId83"/>
                    <a:stretch>
                      <a:fillRect/>
                    </a:stretch>
                  </pic:blipFill>
                  <pic:spPr>
                    <a:xfrm>
                      <a:off x="0" y="0"/>
                      <a:ext cx="5728970" cy="7819390"/>
                    </a:xfrm>
                    <a:prstGeom prst="rect">
                      <a:avLst/>
                    </a:prstGeom>
                    <a:noFill/>
                    <a:ln>
                      <a:noFill/>
                    </a:ln>
                  </pic:spPr>
                </pic:pic>
              </a:graphicData>
            </a:graphic>
          </wp:inline>
        </w:drawing>
      </w:r>
    </w:p>
    <w:p w14:paraId="23F63FD6">
      <w:pPr>
        <w:pStyle w:val="3"/>
        <w:bidi w:val="0"/>
        <w:jc w:val="left"/>
        <w:rPr>
          <w:rFonts w:hint="eastAsia" w:ascii="Times New Roman" w:hAnsi="Times New Roman" w:cs="Times New Roman"/>
          <w:highlight w:val="none"/>
          <w:lang w:val="en-US" w:eastAsia="zh-CN"/>
        </w:rPr>
      </w:pPr>
      <w:bookmarkStart w:id="116" w:name="_Toc26261"/>
      <w:r>
        <w:rPr>
          <w:rFonts w:hint="default" w:ascii="Times New Roman" w:hAnsi="Times New Roman" w:cs="Times New Roman"/>
          <w:highlight w:val="none"/>
          <w:lang w:val="en-US" w:eastAsia="zh-CN"/>
        </w:rPr>
        <w:t>附件</w:t>
      </w:r>
      <w:r>
        <w:rPr>
          <w:rFonts w:hint="eastAsia" w:ascii="Times New Roman" w:hAnsi="Times New Roman" w:cs="Times New Roman"/>
          <w:highlight w:val="none"/>
          <w:lang w:val="en-US" w:eastAsia="zh-CN"/>
        </w:rPr>
        <w:t>6关于用地范围不占用永久基本农田的情况说明</w:t>
      </w:r>
      <w:bookmarkEnd w:id="116"/>
    </w:p>
    <w:p w14:paraId="4EDD72F7">
      <w:pPr>
        <w:rPr>
          <w:rFonts w:hint="default"/>
          <w:highlight w:val="none"/>
          <w:lang w:val="en-US" w:eastAsia="zh-CN"/>
        </w:rPr>
      </w:pPr>
      <w:r>
        <w:rPr>
          <w:highlight w:val="none"/>
        </w:rPr>
        <w:drawing>
          <wp:inline distT="0" distB="0" distL="114300" distR="114300">
            <wp:extent cx="5343525" cy="7439025"/>
            <wp:effectExtent l="0" t="0" r="9525" b="952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84"/>
                    <a:stretch>
                      <a:fillRect/>
                    </a:stretch>
                  </pic:blipFill>
                  <pic:spPr>
                    <a:xfrm>
                      <a:off x="0" y="0"/>
                      <a:ext cx="5343525" cy="7439025"/>
                    </a:xfrm>
                    <a:prstGeom prst="rect">
                      <a:avLst/>
                    </a:prstGeom>
                    <a:noFill/>
                    <a:ln>
                      <a:noFill/>
                    </a:ln>
                  </pic:spPr>
                </pic:pic>
              </a:graphicData>
            </a:graphic>
          </wp:inline>
        </w:drawing>
      </w:r>
    </w:p>
    <w:p w14:paraId="343D482E">
      <w:pPr>
        <w:pStyle w:val="34"/>
        <w:rPr>
          <w:rFonts w:hint="default" w:ascii="Times New Roman" w:hAnsi="Times New Roman" w:cs="Times New Roman"/>
          <w:highlight w:val="none"/>
          <w:lang w:eastAsia="zh-CN"/>
        </w:rPr>
      </w:pPr>
    </w:p>
    <w:sectPr>
      <w:pgSz w:w="11906" w:h="16838"/>
      <w:pgMar w:top="1803" w:right="1440" w:bottom="1803" w:left="1440" w:header="851" w:footer="992" w:gutter="0"/>
      <w:cols w:space="0" w:num="1"/>
      <w:rtlGutter w:val="0"/>
      <w:docGrid w:type="lines" w:linePitch="32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modern"/>
    <w:pitch w:val="default"/>
    <w:sig w:usb0="A00002BF" w:usb1="38CF7CFA" w:usb2="00000016" w:usb3="00000000" w:csb0="0004000F" w:csb1="00000000"/>
  </w:font>
  <w:font w:name="永中宋体">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59A87">
    <w:pPr>
      <w:pStyle w:val="16"/>
      <w:framePr w:wrap="around" w:vAnchor="text" w:hAnchor="margin" w:xAlign="outside" w:y="1"/>
      <w:rPr>
        <w:rStyle w:val="30"/>
      </w:rPr>
    </w:pPr>
    <w:r>
      <w:fldChar w:fldCharType="begin"/>
    </w:r>
    <w:r>
      <w:rPr>
        <w:rStyle w:val="30"/>
      </w:rPr>
      <w:instrText xml:space="preserve">PAGE  </w:instrText>
    </w:r>
    <w:r>
      <w:fldChar w:fldCharType="end"/>
    </w:r>
  </w:p>
  <w:p w14:paraId="695C6E3E">
    <w:pPr>
      <w:pStyle w:val="16"/>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9E3250">
    <w:pPr>
      <w:pStyle w:val="1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0F3CC">
    <w:pPr>
      <w:pStyle w:val="16"/>
      <w:ind w:firstLine="360"/>
      <w:jc w:val="center"/>
    </w:pPr>
    <w:r>
      <w:fldChar w:fldCharType="begin"/>
    </w:r>
    <w:r>
      <w:instrText xml:space="preserve"> PAGE   \* MERGEFORMAT </w:instrText>
    </w:r>
    <w:r>
      <w:fldChar w:fldCharType="separate"/>
    </w:r>
    <w:r>
      <w:rPr>
        <w:lang w:val="zh-CN"/>
      </w:rPr>
      <w:t>122</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EDB56A">
    <w:pPr>
      <w:pStyle w:val="17"/>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A677810"/>
    <w:multiLevelType w:val="singleLevel"/>
    <w:tmpl w:val="FA677810"/>
    <w:lvl w:ilvl="0" w:tentative="0">
      <w:start w:val="4"/>
      <w:numFmt w:val="decimal"/>
      <w:suff w:val="nothing"/>
      <w:lvlText w:val="（%1）"/>
      <w:lvlJc w:val="left"/>
    </w:lvl>
  </w:abstractNum>
  <w:abstractNum w:abstractNumId="1">
    <w:nsid w:val="48467865"/>
    <w:multiLevelType w:val="multilevel"/>
    <w:tmpl w:val="48467865"/>
    <w:lvl w:ilvl="0" w:tentative="0">
      <w:start w:val="1"/>
      <w:numFmt w:val="decimal"/>
      <w:suff w:val="space"/>
      <w:lvlText w:val="%1"/>
      <w:lvlJc w:val="left"/>
      <w:pPr>
        <w:ind w:left="0" w:firstLine="0"/>
      </w:pPr>
      <w:rPr>
        <w:rFonts w:hint="default" w:ascii="Times New Roman" w:hAnsi="Times New Roman" w:eastAsia="黑体"/>
        <w:b w:val="0"/>
        <w:i w:val="0"/>
        <w:sz w:val="32"/>
      </w:rPr>
    </w:lvl>
    <w:lvl w:ilvl="1" w:tentative="0">
      <w:start w:val="1"/>
      <w:numFmt w:val="decimal"/>
      <w:suff w:val="space"/>
      <w:lvlText w:val="%1.%2"/>
      <w:lvlJc w:val="left"/>
      <w:pPr>
        <w:ind w:left="0" w:firstLine="0"/>
      </w:pPr>
      <w:rPr>
        <w:rFonts w:hint="default" w:ascii="Times New Roman" w:hAnsi="Times New Roman" w:eastAsia="黑体"/>
        <w:b w:val="0"/>
        <w:i w:val="0"/>
        <w:sz w:val="30"/>
      </w:rPr>
    </w:lvl>
    <w:lvl w:ilvl="2" w:tentative="0">
      <w:start w:val="1"/>
      <w:numFmt w:val="decimal"/>
      <w:suff w:val="space"/>
      <w:lvlText w:val="%1.%2.%3"/>
      <w:lvlJc w:val="left"/>
      <w:pPr>
        <w:ind w:left="0" w:firstLine="0"/>
      </w:pPr>
      <w:rPr>
        <w:rFonts w:hint="default" w:ascii="Times New Roman" w:hAnsi="Times New Roman" w:eastAsia="黑体"/>
        <w:b w:val="0"/>
        <w:i w:val="0"/>
        <w:sz w:val="28"/>
      </w:rPr>
    </w:lvl>
    <w:lvl w:ilvl="3" w:tentative="0">
      <w:start w:val="1"/>
      <w:numFmt w:val="decimal"/>
      <w:suff w:val="space"/>
      <w:lvlText w:val="%1.%2.%3.%4"/>
      <w:lvlJc w:val="left"/>
      <w:pPr>
        <w:ind w:left="0" w:firstLine="0"/>
      </w:pPr>
      <w:rPr>
        <w:rFonts w:hint="eastAsia" w:ascii="黑体" w:hAnsi="黑体" w:eastAsia="黑体"/>
        <w:b w:val="0"/>
        <w:i w:val="0"/>
        <w:sz w:val="24"/>
      </w:rPr>
    </w:lvl>
    <w:lvl w:ilvl="4" w:tentative="0">
      <w:start w:val="1"/>
      <w:numFmt w:val="decimal"/>
      <w:lvlRestart w:val="2"/>
      <w:suff w:val="space"/>
      <w:lvlText w:val="表%1.%2-%5"/>
      <w:lvlJc w:val="left"/>
      <w:pPr>
        <w:ind w:left="0" w:firstLine="0"/>
      </w:pPr>
      <w:rPr>
        <w:rFonts w:hint="default" w:ascii="Times New Roman" w:hAnsi="Times New Roman" w:eastAsia="黑体"/>
        <w:b w:val="0"/>
        <w:i w:val="0"/>
        <w:sz w:val="24"/>
      </w:rPr>
    </w:lvl>
    <w:lvl w:ilvl="5" w:tentative="0">
      <w:start w:val="1"/>
      <w:numFmt w:val="decimal"/>
      <w:lvlRestart w:val="2"/>
      <w:suff w:val="space"/>
      <w:lvlText w:val="图%1.%2-%6"/>
      <w:lvlJc w:val="left"/>
      <w:pPr>
        <w:ind w:left="0" w:firstLine="0"/>
      </w:pPr>
      <w:rPr>
        <w:rFonts w:hint="eastAsia" w:ascii="黑体" w:hAnsi="黑体" w:eastAsia="黑体"/>
        <w:b w:val="0"/>
        <w:i w:val="0"/>
        <w:sz w:val="24"/>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1"/>
    <w:lvlOverride w:ilvl="0">
      <w:lvl w:ilvl="0" w:tentative="1">
        <w:start w:val="1"/>
        <w:numFmt w:val="decimal"/>
        <w:suff w:val="space"/>
        <w:lvlText w:val="%1"/>
        <w:lvlJc w:val="left"/>
        <w:pPr>
          <w:ind w:left="0" w:firstLine="0"/>
        </w:pPr>
        <w:rPr>
          <w:rFonts w:hint="default" w:ascii="Times New Roman" w:hAnsi="Times New Roman" w:eastAsia="黑体"/>
          <w:b w:val="0"/>
          <w:i w:val="0"/>
          <w:sz w:val="32"/>
        </w:rPr>
      </w:lvl>
    </w:lvlOverride>
    <w:lvlOverride w:ilvl="1">
      <w:lvl w:ilvl="1" w:tentative="1">
        <w:start w:val="1"/>
        <w:numFmt w:val="decimal"/>
        <w:pStyle w:val="121"/>
        <w:suff w:val="space"/>
        <w:lvlText w:val="%1.%2"/>
        <w:lvlJc w:val="left"/>
        <w:pPr>
          <w:ind w:left="142" w:firstLine="0"/>
        </w:pPr>
        <w:rPr>
          <w:rFonts w:hint="eastAsia" w:cs="Times New Roman"/>
          <w:b w:val="0"/>
          <w:bCs w:val="0"/>
          <w:i w:val="0"/>
          <w:iCs w:val="0"/>
          <w:caps w:val="0"/>
          <w:smallCaps w:val="0"/>
          <w:strike w:val="0"/>
          <w:dstrike w:val="0"/>
          <w:outline w:val="0"/>
          <w:shadow w:val="0"/>
          <w:emboss w:val="0"/>
          <w:imprint w:val="0"/>
          <w:vanish w:val="0"/>
          <w:spacing w:val="0"/>
          <w:position w:val="0"/>
          <w:u w:val="none"/>
          <w:vertAlign w:val="baseline"/>
        </w:rPr>
      </w:lvl>
    </w:lvlOverride>
    <w:lvlOverride w:ilvl="2">
      <w:lvl w:ilvl="2" w:tentative="1">
        <w:start w:val="1"/>
        <w:numFmt w:val="decimal"/>
        <w:pStyle w:val="123"/>
        <w:suff w:val="space"/>
        <w:lvlText w:val="%1.%2.%3"/>
        <w:lvlJc w:val="left"/>
        <w:pPr>
          <w:ind w:left="426" w:firstLine="0"/>
        </w:pPr>
      </w:lvl>
    </w:lvlOverride>
    <w:lvlOverride w:ilvl="3">
      <w:lvl w:ilvl="3" w:tentative="1">
        <w:start w:val="1"/>
        <w:numFmt w:val="decimal"/>
        <w:suff w:val="space"/>
        <w:lvlText w:val="%1.%2.%3.%4"/>
        <w:lvlJc w:val="left"/>
        <w:pPr>
          <w:ind w:left="0" w:firstLine="0"/>
        </w:pPr>
        <w:rPr>
          <w:rFonts w:hint="default" w:ascii="Times New Roman" w:hAnsi="Times New Roman" w:eastAsia="黑体" w:cs="Times New Roman"/>
          <w:b w:val="0"/>
          <w:bCs w:val="0"/>
          <w:i w:val="0"/>
          <w:iCs w:val="0"/>
          <w:caps w:val="0"/>
          <w:smallCaps w:val="0"/>
          <w:strike w:val="0"/>
          <w:dstrike w:val="0"/>
          <w:outline w:val="0"/>
          <w:shadow w:val="0"/>
          <w:emboss w:val="0"/>
          <w:imprint w:val="0"/>
          <w:vanish w:val="0"/>
          <w:spacing w:val="0"/>
          <w:position w:val="0"/>
          <w:u w:val="none"/>
          <w:vertAlign w:val="baseline"/>
        </w:rPr>
      </w:lvl>
    </w:lvlOverride>
    <w:lvlOverride w:ilvl="4">
      <w:lvl w:ilvl="4" w:tentative="1">
        <w:start w:val="1"/>
        <w:numFmt w:val="decimal"/>
        <w:lvlRestart w:val="2"/>
        <w:suff w:val="space"/>
        <w:lvlText w:val="表%1.%2-%5"/>
        <w:lvlJc w:val="left"/>
        <w:pPr>
          <w:ind w:left="709" w:firstLine="0"/>
        </w:pPr>
      </w:lvl>
    </w:lvlOverride>
    <w:lvlOverride w:ilvl="5">
      <w:lvl w:ilvl="5" w:tentative="1">
        <w:start w:val="1"/>
        <w:numFmt w:val="decimal"/>
        <w:lvlRestart w:val="2"/>
        <w:suff w:val="space"/>
        <w:lvlText w:val="图%1.%2-%6"/>
        <w:lvlJc w:val="left"/>
        <w:pPr>
          <w:ind w:left="0" w:firstLine="0"/>
        </w:pPr>
        <w:rPr>
          <w:rFonts w:hint="eastAsia" w:ascii="黑体" w:hAnsi="黑体" w:eastAsia="黑体"/>
          <w:b w:val="0"/>
          <w:i w:val="0"/>
          <w:sz w:val="24"/>
        </w:rPr>
      </w:lvl>
    </w:lvlOverride>
    <w:lvlOverride w:ilvl="6">
      <w:lvl w:ilvl="6" w:tentative="1">
        <w:start w:val="1"/>
        <w:numFmt w:val="decimal"/>
        <w:lvlText w:val="%1.%2.%3.%4.%5.%6.%7"/>
        <w:lvlJc w:val="left"/>
        <w:pPr>
          <w:ind w:left="3827" w:hanging="1276"/>
        </w:pPr>
        <w:rPr>
          <w:rFonts w:hint="eastAsia"/>
        </w:rPr>
      </w:lvl>
    </w:lvlOverride>
    <w:lvlOverride w:ilvl="7">
      <w:lvl w:ilvl="7" w:tentative="1">
        <w:start w:val="1"/>
        <w:numFmt w:val="decimal"/>
        <w:lvlText w:val="%1.%2.%3.%4.%5.%6.%7.%8"/>
        <w:lvlJc w:val="left"/>
        <w:pPr>
          <w:ind w:left="4394" w:hanging="1418"/>
        </w:pPr>
        <w:rPr>
          <w:rFonts w:hint="eastAsia"/>
        </w:rPr>
      </w:lvl>
    </w:lvlOverride>
    <w:lvlOverride w:ilvl="8">
      <w:lvl w:ilvl="8" w:tentative="1">
        <w:start w:val="1"/>
        <w:numFmt w:val="decimal"/>
        <w:lvlText w:val="%1.%2.%3.%4.%5.%6.%7.%8.%9"/>
        <w:lvlJc w:val="left"/>
        <w:pPr>
          <w:ind w:left="5102" w:hanging="1700"/>
        </w:pPr>
        <w:rPr>
          <w:rFonts w:hint="eastAsia"/>
        </w:rPr>
      </w:lvl>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210"/>
  <w:drawingGridVerticalSpacing w:val="99999990"/>
  <w:displayHorizontalDrawingGridEvery w:val="1"/>
  <w:displayVerticalDrawingGridEvery w:val="2"/>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E5MjkzYjI4MGI2NTA3NjRjZmQzZGJhZjJjYmE3YmIifQ=="/>
    <w:docVar w:name="KSO_WPS_MARK_KEY" w:val="f61f2b69-a209-4062-8835-53803fe82da1"/>
  </w:docVars>
  <w:rsids>
    <w:rsidRoot w:val="00172A27"/>
    <w:rsid w:val="00000220"/>
    <w:rsid w:val="000019B2"/>
    <w:rsid w:val="00001CE0"/>
    <w:rsid w:val="00001CED"/>
    <w:rsid w:val="00001E67"/>
    <w:rsid w:val="0000214C"/>
    <w:rsid w:val="0000235C"/>
    <w:rsid w:val="00003CD8"/>
    <w:rsid w:val="00004525"/>
    <w:rsid w:val="000059A4"/>
    <w:rsid w:val="00005E14"/>
    <w:rsid w:val="000070B9"/>
    <w:rsid w:val="00011A9B"/>
    <w:rsid w:val="000129C3"/>
    <w:rsid w:val="000138E9"/>
    <w:rsid w:val="000146FB"/>
    <w:rsid w:val="00014965"/>
    <w:rsid w:val="0001523A"/>
    <w:rsid w:val="00015DB8"/>
    <w:rsid w:val="00015F03"/>
    <w:rsid w:val="00016A50"/>
    <w:rsid w:val="00016ECB"/>
    <w:rsid w:val="000173CE"/>
    <w:rsid w:val="00023434"/>
    <w:rsid w:val="000234AF"/>
    <w:rsid w:val="000235BA"/>
    <w:rsid w:val="00026166"/>
    <w:rsid w:val="000269F6"/>
    <w:rsid w:val="0003014C"/>
    <w:rsid w:val="00030956"/>
    <w:rsid w:val="00031939"/>
    <w:rsid w:val="00032D25"/>
    <w:rsid w:val="00032F8F"/>
    <w:rsid w:val="00034C64"/>
    <w:rsid w:val="00034D60"/>
    <w:rsid w:val="00036197"/>
    <w:rsid w:val="000375B1"/>
    <w:rsid w:val="00042106"/>
    <w:rsid w:val="00045BC3"/>
    <w:rsid w:val="00046B58"/>
    <w:rsid w:val="0005025C"/>
    <w:rsid w:val="0005219D"/>
    <w:rsid w:val="000526F1"/>
    <w:rsid w:val="00053C10"/>
    <w:rsid w:val="00054BEF"/>
    <w:rsid w:val="0005568F"/>
    <w:rsid w:val="0006153D"/>
    <w:rsid w:val="00061923"/>
    <w:rsid w:val="00061B1F"/>
    <w:rsid w:val="0006328C"/>
    <w:rsid w:val="00065D1D"/>
    <w:rsid w:val="000664DB"/>
    <w:rsid w:val="00066EA9"/>
    <w:rsid w:val="00067303"/>
    <w:rsid w:val="0006762B"/>
    <w:rsid w:val="0007127D"/>
    <w:rsid w:val="000713BB"/>
    <w:rsid w:val="00071AE5"/>
    <w:rsid w:val="00074783"/>
    <w:rsid w:val="000750F3"/>
    <w:rsid w:val="0007605D"/>
    <w:rsid w:val="0007618E"/>
    <w:rsid w:val="00077A2F"/>
    <w:rsid w:val="000801E0"/>
    <w:rsid w:val="00082A29"/>
    <w:rsid w:val="00082A52"/>
    <w:rsid w:val="0008331D"/>
    <w:rsid w:val="00083C18"/>
    <w:rsid w:val="0008490C"/>
    <w:rsid w:val="00084A03"/>
    <w:rsid w:val="00085C85"/>
    <w:rsid w:val="000871C0"/>
    <w:rsid w:val="0008792B"/>
    <w:rsid w:val="000905F6"/>
    <w:rsid w:val="000913CF"/>
    <w:rsid w:val="00091901"/>
    <w:rsid w:val="000924F7"/>
    <w:rsid w:val="00092899"/>
    <w:rsid w:val="00093020"/>
    <w:rsid w:val="00097541"/>
    <w:rsid w:val="000A08BB"/>
    <w:rsid w:val="000A0F22"/>
    <w:rsid w:val="000A178E"/>
    <w:rsid w:val="000A1F97"/>
    <w:rsid w:val="000A3F41"/>
    <w:rsid w:val="000A557E"/>
    <w:rsid w:val="000A56B7"/>
    <w:rsid w:val="000A6300"/>
    <w:rsid w:val="000A7069"/>
    <w:rsid w:val="000A7986"/>
    <w:rsid w:val="000A7AA3"/>
    <w:rsid w:val="000A7F09"/>
    <w:rsid w:val="000B058F"/>
    <w:rsid w:val="000B1C04"/>
    <w:rsid w:val="000B21B6"/>
    <w:rsid w:val="000B437B"/>
    <w:rsid w:val="000B5EDD"/>
    <w:rsid w:val="000B632F"/>
    <w:rsid w:val="000B693F"/>
    <w:rsid w:val="000C09AC"/>
    <w:rsid w:val="000C0A63"/>
    <w:rsid w:val="000C14D9"/>
    <w:rsid w:val="000C1880"/>
    <w:rsid w:val="000C1AE9"/>
    <w:rsid w:val="000C1DD8"/>
    <w:rsid w:val="000C1EA5"/>
    <w:rsid w:val="000C2204"/>
    <w:rsid w:val="000C437E"/>
    <w:rsid w:val="000C654B"/>
    <w:rsid w:val="000C6AE4"/>
    <w:rsid w:val="000D278A"/>
    <w:rsid w:val="000D2974"/>
    <w:rsid w:val="000D38BB"/>
    <w:rsid w:val="000D51C8"/>
    <w:rsid w:val="000D6BD8"/>
    <w:rsid w:val="000D7BF8"/>
    <w:rsid w:val="000E0106"/>
    <w:rsid w:val="000E021E"/>
    <w:rsid w:val="000E3E96"/>
    <w:rsid w:val="000E4FB1"/>
    <w:rsid w:val="000E5470"/>
    <w:rsid w:val="000E5F16"/>
    <w:rsid w:val="000E6A99"/>
    <w:rsid w:val="000F1C80"/>
    <w:rsid w:val="000F4452"/>
    <w:rsid w:val="000F5645"/>
    <w:rsid w:val="000F5C72"/>
    <w:rsid w:val="000F5CA5"/>
    <w:rsid w:val="000F6DA1"/>
    <w:rsid w:val="000F701B"/>
    <w:rsid w:val="00103BB1"/>
    <w:rsid w:val="001056A0"/>
    <w:rsid w:val="00106AB4"/>
    <w:rsid w:val="0010716A"/>
    <w:rsid w:val="001072FE"/>
    <w:rsid w:val="0011028C"/>
    <w:rsid w:val="001124D1"/>
    <w:rsid w:val="001148F9"/>
    <w:rsid w:val="0011512D"/>
    <w:rsid w:val="00115279"/>
    <w:rsid w:val="00116CA0"/>
    <w:rsid w:val="00117459"/>
    <w:rsid w:val="0011749A"/>
    <w:rsid w:val="0012020B"/>
    <w:rsid w:val="00122108"/>
    <w:rsid w:val="001231E3"/>
    <w:rsid w:val="001235AE"/>
    <w:rsid w:val="001243E5"/>
    <w:rsid w:val="00125210"/>
    <w:rsid w:val="00126F4C"/>
    <w:rsid w:val="00127A68"/>
    <w:rsid w:val="00130D45"/>
    <w:rsid w:val="00131405"/>
    <w:rsid w:val="00132EE3"/>
    <w:rsid w:val="00133EF6"/>
    <w:rsid w:val="00135D09"/>
    <w:rsid w:val="00135E05"/>
    <w:rsid w:val="00136BA6"/>
    <w:rsid w:val="00137925"/>
    <w:rsid w:val="00137C06"/>
    <w:rsid w:val="00140B13"/>
    <w:rsid w:val="00141B68"/>
    <w:rsid w:val="00143FA2"/>
    <w:rsid w:val="00146051"/>
    <w:rsid w:val="001466DA"/>
    <w:rsid w:val="00147BEF"/>
    <w:rsid w:val="001517A0"/>
    <w:rsid w:val="001529DA"/>
    <w:rsid w:val="00152D6E"/>
    <w:rsid w:val="00154DE1"/>
    <w:rsid w:val="00155A38"/>
    <w:rsid w:val="00155B40"/>
    <w:rsid w:val="0015734B"/>
    <w:rsid w:val="00157435"/>
    <w:rsid w:val="00161156"/>
    <w:rsid w:val="00161DBB"/>
    <w:rsid w:val="001633CE"/>
    <w:rsid w:val="001637D0"/>
    <w:rsid w:val="00163DD2"/>
    <w:rsid w:val="00163EEA"/>
    <w:rsid w:val="00165DCD"/>
    <w:rsid w:val="00166F88"/>
    <w:rsid w:val="00167A07"/>
    <w:rsid w:val="00167AAD"/>
    <w:rsid w:val="0017046A"/>
    <w:rsid w:val="001704A3"/>
    <w:rsid w:val="00170EA1"/>
    <w:rsid w:val="0017232B"/>
    <w:rsid w:val="00173FBE"/>
    <w:rsid w:val="0017504D"/>
    <w:rsid w:val="001757CA"/>
    <w:rsid w:val="00176CBE"/>
    <w:rsid w:val="00177422"/>
    <w:rsid w:val="00177A77"/>
    <w:rsid w:val="0018062F"/>
    <w:rsid w:val="00180BF8"/>
    <w:rsid w:val="00181D4A"/>
    <w:rsid w:val="0018321B"/>
    <w:rsid w:val="00184F10"/>
    <w:rsid w:val="00185546"/>
    <w:rsid w:val="0018577D"/>
    <w:rsid w:val="00186726"/>
    <w:rsid w:val="00190B5E"/>
    <w:rsid w:val="00190EA6"/>
    <w:rsid w:val="001912AB"/>
    <w:rsid w:val="0019146B"/>
    <w:rsid w:val="00191DAB"/>
    <w:rsid w:val="00191F5F"/>
    <w:rsid w:val="00192E52"/>
    <w:rsid w:val="00194398"/>
    <w:rsid w:val="00196825"/>
    <w:rsid w:val="00197E2D"/>
    <w:rsid w:val="001A1D39"/>
    <w:rsid w:val="001A226D"/>
    <w:rsid w:val="001A5524"/>
    <w:rsid w:val="001A5D34"/>
    <w:rsid w:val="001A6337"/>
    <w:rsid w:val="001A767F"/>
    <w:rsid w:val="001A7D2A"/>
    <w:rsid w:val="001B0DF6"/>
    <w:rsid w:val="001B0FEE"/>
    <w:rsid w:val="001B161C"/>
    <w:rsid w:val="001B1A5E"/>
    <w:rsid w:val="001B1AB8"/>
    <w:rsid w:val="001B2E1F"/>
    <w:rsid w:val="001B4F03"/>
    <w:rsid w:val="001B574C"/>
    <w:rsid w:val="001B6498"/>
    <w:rsid w:val="001B7ECF"/>
    <w:rsid w:val="001C0AF9"/>
    <w:rsid w:val="001C1255"/>
    <w:rsid w:val="001C138B"/>
    <w:rsid w:val="001C155A"/>
    <w:rsid w:val="001C240E"/>
    <w:rsid w:val="001C2EED"/>
    <w:rsid w:val="001C42BC"/>
    <w:rsid w:val="001C48C0"/>
    <w:rsid w:val="001C48EF"/>
    <w:rsid w:val="001C7DFD"/>
    <w:rsid w:val="001D0877"/>
    <w:rsid w:val="001D0D40"/>
    <w:rsid w:val="001D2543"/>
    <w:rsid w:val="001D26FC"/>
    <w:rsid w:val="001D2DC9"/>
    <w:rsid w:val="001D381A"/>
    <w:rsid w:val="001D56E3"/>
    <w:rsid w:val="001D5E1A"/>
    <w:rsid w:val="001D640D"/>
    <w:rsid w:val="001D658E"/>
    <w:rsid w:val="001D6726"/>
    <w:rsid w:val="001D6CB0"/>
    <w:rsid w:val="001D750D"/>
    <w:rsid w:val="001D7A46"/>
    <w:rsid w:val="001E001C"/>
    <w:rsid w:val="001E0518"/>
    <w:rsid w:val="001E1330"/>
    <w:rsid w:val="001E1794"/>
    <w:rsid w:val="001E26FC"/>
    <w:rsid w:val="001E3CCF"/>
    <w:rsid w:val="001E6437"/>
    <w:rsid w:val="001E72FD"/>
    <w:rsid w:val="001E79D7"/>
    <w:rsid w:val="001F12A8"/>
    <w:rsid w:val="001F13BE"/>
    <w:rsid w:val="001F1705"/>
    <w:rsid w:val="001F17B5"/>
    <w:rsid w:val="001F3347"/>
    <w:rsid w:val="001F4440"/>
    <w:rsid w:val="001F5BFC"/>
    <w:rsid w:val="001F64F9"/>
    <w:rsid w:val="001F69E4"/>
    <w:rsid w:val="001F6BAC"/>
    <w:rsid w:val="00200E14"/>
    <w:rsid w:val="00201AE6"/>
    <w:rsid w:val="00202CF7"/>
    <w:rsid w:val="0020364F"/>
    <w:rsid w:val="00203C61"/>
    <w:rsid w:val="00206A65"/>
    <w:rsid w:val="00211F56"/>
    <w:rsid w:val="00212D31"/>
    <w:rsid w:val="002130C7"/>
    <w:rsid w:val="002143C6"/>
    <w:rsid w:val="00214813"/>
    <w:rsid w:val="00214B56"/>
    <w:rsid w:val="0021636A"/>
    <w:rsid w:val="002163ED"/>
    <w:rsid w:val="002206B1"/>
    <w:rsid w:val="002215FE"/>
    <w:rsid w:val="002218A8"/>
    <w:rsid w:val="0022306D"/>
    <w:rsid w:val="002239A3"/>
    <w:rsid w:val="00223C40"/>
    <w:rsid w:val="00226574"/>
    <w:rsid w:val="002278EC"/>
    <w:rsid w:val="00231640"/>
    <w:rsid w:val="002325C6"/>
    <w:rsid w:val="002334DC"/>
    <w:rsid w:val="00233832"/>
    <w:rsid w:val="00234B62"/>
    <w:rsid w:val="002357C7"/>
    <w:rsid w:val="002367C4"/>
    <w:rsid w:val="00236F33"/>
    <w:rsid w:val="00243780"/>
    <w:rsid w:val="00244D0A"/>
    <w:rsid w:val="0024675E"/>
    <w:rsid w:val="00246F15"/>
    <w:rsid w:val="00250730"/>
    <w:rsid w:val="00250794"/>
    <w:rsid w:val="00251049"/>
    <w:rsid w:val="002534AE"/>
    <w:rsid w:val="00255F23"/>
    <w:rsid w:val="00256164"/>
    <w:rsid w:val="002566D7"/>
    <w:rsid w:val="0025679E"/>
    <w:rsid w:val="00256A88"/>
    <w:rsid w:val="00260584"/>
    <w:rsid w:val="00260C68"/>
    <w:rsid w:val="00262891"/>
    <w:rsid w:val="002648B0"/>
    <w:rsid w:val="00264C4E"/>
    <w:rsid w:val="00265FD5"/>
    <w:rsid w:val="0027176F"/>
    <w:rsid w:val="00271E1B"/>
    <w:rsid w:val="002729F4"/>
    <w:rsid w:val="00275271"/>
    <w:rsid w:val="0027535E"/>
    <w:rsid w:val="00275AA6"/>
    <w:rsid w:val="00277C71"/>
    <w:rsid w:val="002807D5"/>
    <w:rsid w:val="00282CCD"/>
    <w:rsid w:val="00283F76"/>
    <w:rsid w:val="002862DF"/>
    <w:rsid w:val="002873FD"/>
    <w:rsid w:val="002901A0"/>
    <w:rsid w:val="00292B79"/>
    <w:rsid w:val="00292CC2"/>
    <w:rsid w:val="00293877"/>
    <w:rsid w:val="00293CFB"/>
    <w:rsid w:val="00294618"/>
    <w:rsid w:val="00295529"/>
    <w:rsid w:val="00295ABB"/>
    <w:rsid w:val="00295E46"/>
    <w:rsid w:val="00297364"/>
    <w:rsid w:val="002A0FA1"/>
    <w:rsid w:val="002A10D0"/>
    <w:rsid w:val="002A168C"/>
    <w:rsid w:val="002A216D"/>
    <w:rsid w:val="002A28CC"/>
    <w:rsid w:val="002A2926"/>
    <w:rsid w:val="002A2C48"/>
    <w:rsid w:val="002A3618"/>
    <w:rsid w:val="002A3E08"/>
    <w:rsid w:val="002A3EED"/>
    <w:rsid w:val="002A4A39"/>
    <w:rsid w:val="002A51DA"/>
    <w:rsid w:val="002A5A17"/>
    <w:rsid w:val="002A6425"/>
    <w:rsid w:val="002A6C8D"/>
    <w:rsid w:val="002A78FD"/>
    <w:rsid w:val="002B0EE5"/>
    <w:rsid w:val="002B3FD7"/>
    <w:rsid w:val="002B42AE"/>
    <w:rsid w:val="002B49E2"/>
    <w:rsid w:val="002B53A0"/>
    <w:rsid w:val="002B5C47"/>
    <w:rsid w:val="002B7020"/>
    <w:rsid w:val="002B7B00"/>
    <w:rsid w:val="002B7C44"/>
    <w:rsid w:val="002C0A10"/>
    <w:rsid w:val="002C1388"/>
    <w:rsid w:val="002C3460"/>
    <w:rsid w:val="002C3C6A"/>
    <w:rsid w:val="002C630A"/>
    <w:rsid w:val="002D1821"/>
    <w:rsid w:val="002D295E"/>
    <w:rsid w:val="002D391D"/>
    <w:rsid w:val="002D42DB"/>
    <w:rsid w:val="002D7E88"/>
    <w:rsid w:val="002E0EF6"/>
    <w:rsid w:val="002E10AA"/>
    <w:rsid w:val="002E1F3A"/>
    <w:rsid w:val="002E298A"/>
    <w:rsid w:val="002E2DBD"/>
    <w:rsid w:val="002E51DB"/>
    <w:rsid w:val="002E6E75"/>
    <w:rsid w:val="002E7879"/>
    <w:rsid w:val="002F001D"/>
    <w:rsid w:val="002F02A4"/>
    <w:rsid w:val="002F098F"/>
    <w:rsid w:val="002F261F"/>
    <w:rsid w:val="002F272B"/>
    <w:rsid w:val="002F479E"/>
    <w:rsid w:val="002F6AB4"/>
    <w:rsid w:val="002F7C6D"/>
    <w:rsid w:val="003017E8"/>
    <w:rsid w:val="00301FE8"/>
    <w:rsid w:val="003027E4"/>
    <w:rsid w:val="0030332C"/>
    <w:rsid w:val="00303AC3"/>
    <w:rsid w:val="00303CC2"/>
    <w:rsid w:val="00304560"/>
    <w:rsid w:val="00304723"/>
    <w:rsid w:val="00306B13"/>
    <w:rsid w:val="003106D1"/>
    <w:rsid w:val="00312226"/>
    <w:rsid w:val="00312296"/>
    <w:rsid w:val="00312AD2"/>
    <w:rsid w:val="0031340E"/>
    <w:rsid w:val="00313692"/>
    <w:rsid w:val="00313A7A"/>
    <w:rsid w:val="00316464"/>
    <w:rsid w:val="00317977"/>
    <w:rsid w:val="0032073A"/>
    <w:rsid w:val="0032101F"/>
    <w:rsid w:val="00321D8E"/>
    <w:rsid w:val="003225EF"/>
    <w:rsid w:val="003234E4"/>
    <w:rsid w:val="003278AB"/>
    <w:rsid w:val="00327F8E"/>
    <w:rsid w:val="00330383"/>
    <w:rsid w:val="00330A5E"/>
    <w:rsid w:val="00332462"/>
    <w:rsid w:val="0033352A"/>
    <w:rsid w:val="003337CA"/>
    <w:rsid w:val="00334996"/>
    <w:rsid w:val="00335F5E"/>
    <w:rsid w:val="00336969"/>
    <w:rsid w:val="00336C52"/>
    <w:rsid w:val="00337238"/>
    <w:rsid w:val="00341B3E"/>
    <w:rsid w:val="00341B42"/>
    <w:rsid w:val="00342618"/>
    <w:rsid w:val="00343EBE"/>
    <w:rsid w:val="003444DD"/>
    <w:rsid w:val="00345154"/>
    <w:rsid w:val="0034560E"/>
    <w:rsid w:val="00345D76"/>
    <w:rsid w:val="00350406"/>
    <w:rsid w:val="00350523"/>
    <w:rsid w:val="0035075F"/>
    <w:rsid w:val="00350DF3"/>
    <w:rsid w:val="00351B80"/>
    <w:rsid w:val="00352975"/>
    <w:rsid w:val="003541C4"/>
    <w:rsid w:val="00354A59"/>
    <w:rsid w:val="003566B1"/>
    <w:rsid w:val="00356868"/>
    <w:rsid w:val="003574AE"/>
    <w:rsid w:val="00360A4C"/>
    <w:rsid w:val="00360A94"/>
    <w:rsid w:val="003632BE"/>
    <w:rsid w:val="00363E13"/>
    <w:rsid w:val="00364653"/>
    <w:rsid w:val="0036485B"/>
    <w:rsid w:val="00365C23"/>
    <w:rsid w:val="00371D0E"/>
    <w:rsid w:val="00373B0D"/>
    <w:rsid w:val="00373B76"/>
    <w:rsid w:val="00376988"/>
    <w:rsid w:val="00376A14"/>
    <w:rsid w:val="003778D0"/>
    <w:rsid w:val="0038002B"/>
    <w:rsid w:val="00380374"/>
    <w:rsid w:val="00381A72"/>
    <w:rsid w:val="00382BF5"/>
    <w:rsid w:val="003837E9"/>
    <w:rsid w:val="00384096"/>
    <w:rsid w:val="003900B3"/>
    <w:rsid w:val="0039091C"/>
    <w:rsid w:val="003960CC"/>
    <w:rsid w:val="00396A6E"/>
    <w:rsid w:val="00396B7C"/>
    <w:rsid w:val="00397D34"/>
    <w:rsid w:val="003A0011"/>
    <w:rsid w:val="003A175A"/>
    <w:rsid w:val="003A1948"/>
    <w:rsid w:val="003A5529"/>
    <w:rsid w:val="003A5A91"/>
    <w:rsid w:val="003A74F7"/>
    <w:rsid w:val="003A77BC"/>
    <w:rsid w:val="003B051F"/>
    <w:rsid w:val="003B152A"/>
    <w:rsid w:val="003B1B72"/>
    <w:rsid w:val="003B545B"/>
    <w:rsid w:val="003B7473"/>
    <w:rsid w:val="003C1016"/>
    <w:rsid w:val="003C2A2A"/>
    <w:rsid w:val="003C2A58"/>
    <w:rsid w:val="003C4D9F"/>
    <w:rsid w:val="003C5366"/>
    <w:rsid w:val="003C63F3"/>
    <w:rsid w:val="003C66EA"/>
    <w:rsid w:val="003C67FE"/>
    <w:rsid w:val="003C6F1D"/>
    <w:rsid w:val="003D1E06"/>
    <w:rsid w:val="003D3BB6"/>
    <w:rsid w:val="003D3DA8"/>
    <w:rsid w:val="003D3EE9"/>
    <w:rsid w:val="003D69FC"/>
    <w:rsid w:val="003D6E6C"/>
    <w:rsid w:val="003D7CF3"/>
    <w:rsid w:val="003E01E9"/>
    <w:rsid w:val="003E2B43"/>
    <w:rsid w:val="003E362C"/>
    <w:rsid w:val="003E4EAF"/>
    <w:rsid w:val="003E6F29"/>
    <w:rsid w:val="003E7681"/>
    <w:rsid w:val="003F0809"/>
    <w:rsid w:val="003F0905"/>
    <w:rsid w:val="003F6089"/>
    <w:rsid w:val="003F611C"/>
    <w:rsid w:val="003F6D1A"/>
    <w:rsid w:val="003F6D73"/>
    <w:rsid w:val="003F755C"/>
    <w:rsid w:val="004012AB"/>
    <w:rsid w:val="00403B84"/>
    <w:rsid w:val="00406F01"/>
    <w:rsid w:val="0040785D"/>
    <w:rsid w:val="004100F1"/>
    <w:rsid w:val="004109A0"/>
    <w:rsid w:val="00410D6C"/>
    <w:rsid w:val="00410E20"/>
    <w:rsid w:val="00411B36"/>
    <w:rsid w:val="00411E9D"/>
    <w:rsid w:val="004121D7"/>
    <w:rsid w:val="00413B0C"/>
    <w:rsid w:val="00413B9F"/>
    <w:rsid w:val="00416D50"/>
    <w:rsid w:val="00417772"/>
    <w:rsid w:val="00420E6A"/>
    <w:rsid w:val="004225CC"/>
    <w:rsid w:val="00422EE2"/>
    <w:rsid w:val="00425499"/>
    <w:rsid w:val="00426879"/>
    <w:rsid w:val="004275F8"/>
    <w:rsid w:val="004278D9"/>
    <w:rsid w:val="00430754"/>
    <w:rsid w:val="00430CE6"/>
    <w:rsid w:val="00431E9D"/>
    <w:rsid w:val="00432B95"/>
    <w:rsid w:val="00433CA9"/>
    <w:rsid w:val="0043473F"/>
    <w:rsid w:val="0043521D"/>
    <w:rsid w:val="00435881"/>
    <w:rsid w:val="004362D4"/>
    <w:rsid w:val="004401FC"/>
    <w:rsid w:val="004418CF"/>
    <w:rsid w:val="004419EF"/>
    <w:rsid w:val="00442024"/>
    <w:rsid w:val="0044254C"/>
    <w:rsid w:val="004432FC"/>
    <w:rsid w:val="004435A5"/>
    <w:rsid w:val="00443F6A"/>
    <w:rsid w:val="00445427"/>
    <w:rsid w:val="00445588"/>
    <w:rsid w:val="004470E6"/>
    <w:rsid w:val="004505FC"/>
    <w:rsid w:val="00450A17"/>
    <w:rsid w:val="00456290"/>
    <w:rsid w:val="00456898"/>
    <w:rsid w:val="004574B5"/>
    <w:rsid w:val="00457CD4"/>
    <w:rsid w:val="00461B4A"/>
    <w:rsid w:val="0046310A"/>
    <w:rsid w:val="004637B3"/>
    <w:rsid w:val="00466321"/>
    <w:rsid w:val="004663E6"/>
    <w:rsid w:val="004672AF"/>
    <w:rsid w:val="00467501"/>
    <w:rsid w:val="00467DBB"/>
    <w:rsid w:val="004727B0"/>
    <w:rsid w:val="00473487"/>
    <w:rsid w:val="00474718"/>
    <w:rsid w:val="00475AC5"/>
    <w:rsid w:val="00475C2F"/>
    <w:rsid w:val="004773A1"/>
    <w:rsid w:val="00480247"/>
    <w:rsid w:val="004802A2"/>
    <w:rsid w:val="0048081D"/>
    <w:rsid w:val="0048117E"/>
    <w:rsid w:val="00484195"/>
    <w:rsid w:val="00484DFE"/>
    <w:rsid w:val="004855F6"/>
    <w:rsid w:val="00486F0C"/>
    <w:rsid w:val="00487558"/>
    <w:rsid w:val="0049167A"/>
    <w:rsid w:val="00491753"/>
    <w:rsid w:val="00491C88"/>
    <w:rsid w:val="00493783"/>
    <w:rsid w:val="00494670"/>
    <w:rsid w:val="00495C49"/>
    <w:rsid w:val="00497C46"/>
    <w:rsid w:val="004A0AF8"/>
    <w:rsid w:val="004A0EB4"/>
    <w:rsid w:val="004A3823"/>
    <w:rsid w:val="004A51C4"/>
    <w:rsid w:val="004A59BB"/>
    <w:rsid w:val="004A6AD6"/>
    <w:rsid w:val="004A6BD3"/>
    <w:rsid w:val="004B2686"/>
    <w:rsid w:val="004B3B5C"/>
    <w:rsid w:val="004B43A3"/>
    <w:rsid w:val="004B47DB"/>
    <w:rsid w:val="004B4AF0"/>
    <w:rsid w:val="004B4C49"/>
    <w:rsid w:val="004B4FCE"/>
    <w:rsid w:val="004B58A5"/>
    <w:rsid w:val="004B63D9"/>
    <w:rsid w:val="004B7DCF"/>
    <w:rsid w:val="004C06FA"/>
    <w:rsid w:val="004C0882"/>
    <w:rsid w:val="004C0A28"/>
    <w:rsid w:val="004C0BBD"/>
    <w:rsid w:val="004C24D2"/>
    <w:rsid w:val="004C266B"/>
    <w:rsid w:val="004C30BC"/>
    <w:rsid w:val="004C55BE"/>
    <w:rsid w:val="004C63F1"/>
    <w:rsid w:val="004C745C"/>
    <w:rsid w:val="004C7ECE"/>
    <w:rsid w:val="004D04E8"/>
    <w:rsid w:val="004D3048"/>
    <w:rsid w:val="004D50BA"/>
    <w:rsid w:val="004D655B"/>
    <w:rsid w:val="004D69CF"/>
    <w:rsid w:val="004E0CB2"/>
    <w:rsid w:val="004E226D"/>
    <w:rsid w:val="004E4A0B"/>
    <w:rsid w:val="004E5B30"/>
    <w:rsid w:val="004E68A8"/>
    <w:rsid w:val="004E74BD"/>
    <w:rsid w:val="004F0779"/>
    <w:rsid w:val="004F1230"/>
    <w:rsid w:val="004F173F"/>
    <w:rsid w:val="004F177C"/>
    <w:rsid w:val="004F1ACE"/>
    <w:rsid w:val="004F2DCE"/>
    <w:rsid w:val="004F4336"/>
    <w:rsid w:val="004F4551"/>
    <w:rsid w:val="004F4DD9"/>
    <w:rsid w:val="004F55BD"/>
    <w:rsid w:val="004F5B72"/>
    <w:rsid w:val="004F6522"/>
    <w:rsid w:val="004F6AE3"/>
    <w:rsid w:val="005019AB"/>
    <w:rsid w:val="005033E5"/>
    <w:rsid w:val="005039CB"/>
    <w:rsid w:val="00504DBB"/>
    <w:rsid w:val="0050558F"/>
    <w:rsid w:val="005057E0"/>
    <w:rsid w:val="00506286"/>
    <w:rsid w:val="00506451"/>
    <w:rsid w:val="005100C1"/>
    <w:rsid w:val="0051048C"/>
    <w:rsid w:val="00510813"/>
    <w:rsid w:val="00510976"/>
    <w:rsid w:val="0051135B"/>
    <w:rsid w:val="00511DE0"/>
    <w:rsid w:val="0051463E"/>
    <w:rsid w:val="00515315"/>
    <w:rsid w:val="00515BE3"/>
    <w:rsid w:val="00515CCF"/>
    <w:rsid w:val="005165A4"/>
    <w:rsid w:val="005176DD"/>
    <w:rsid w:val="005178ED"/>
    <w:rsid w:val="00517F02"/>
    <w:rsid w:val="00521353"/>
    <w:rsid w:val="00521CDC"/>
    <w:rsid w:val="005232C9"/>
    <w:rsid w:val="00523442"/>
    <w:rsid w:val="00524547"/>
    <w:rsid w:val="0052468F"/>
    <w:rsid w:val="005258A2"/>
    <w:rsid w:val="00527783"/>
    <w:rsid w:val="0053072C"/>
    <w:rsid w:val="00530F7C"/>
    <w:rsid w:val="005311FB"/>
    <w:rsid w:val="00533BBA"/>
    <w:rsid w:val="00534567"/>
    <w:rsid w:val="00534B69"/>
    <w:rsid w:val="00534F43"/>
    <w:rsid w:val="00535549"/>
    <w:rsid w:val="00535A84"/>
    <w:rsid w:val="00536889"/>
    <w:rsid w:val="00537C0C"/>
    <w:rsid w:val="00542075"/>
    <w:rsid w:val="00542E07"/>
    <w:rsid w:val="00544814"/>
    <w:rsid w:val="00544916"/>
    <w:rsid w:val="0054605D"/>
    <w:rsid w:val="00546DEB"/>
    <w:rsid w:val="00546F96"/>
    <w:rsid w:val="005538EE"/>
    <w:rsid w:val="00553E4A"/>
    <w:rsid w:val="00554A7B"/>
    <w:rsid w:val="0055572C"/>
    <w:rsid w:val="0055637E"/>
    <w:rsid w:val="00556D17"/>
    <w:rsid w:val="0056064F"/>
    <w:rsid w:val="00561B84"/>
    <w:rsid w:val="00561ED5"/>
    <w:rsid w:val="00564518"/>
    <w:rsid w:val="0056496F"/>
    <w:rsid w:val="005660BD"/>
    <w:rsid w:val="00570C4D"/>
    <w:rsid w:val="00571C41"/>
    <w:rsid w:val="00571D98"/>
    <w:rsid w:val="005720AE"/>
    <w:rsid w:val="0057226D"/>
    <w:rsid w:val="00573900"/>
    <w:rsid w:val="00573D31"/>
    <w:rsid w:val="0057403D"/>
    <w:rsid w:val="0057429A"/>
    <w:rsid w:val="00574329"/>
    <w:rsid w:val="00574EBB"/>
    <w:rsid w:val="00575D55"/>
    <w:rsid w:val="005775D0"/>
    <w:rsid w:val="0058030D"/>
    <w:rsid w:val="00582045"/>
    <w:rsid w:val="00583697"/>
    <w:rsid w:val="00583894"/>
    <w:rsid w:val="00583C76"/>
    <w:rsid w:val="00590AE3"/>
    <w:rsid w:val="00590D33"/>
    <w:rsid w:val="005918F1"/>
    <w:rsid w:val="00594824"/>
    <w:rsid w:val="00595135"/>
    <w:rsid w:val="005967E3"/>
    <w:rsid w:val="00597A0E"/>
    <w:rsid w:val="005A00DB"/>
    <w:rsid w:val="005A06B7"/>
    <w:rsid w:val="005A08DF"/>
    <w:rsid w:val="005A1759"/>
    <w:rsid w:val="005A18A4"/>
    <w:rsid w:val="005A339A"/>
    <w:rsid w:val="005A438A"/>
    <w:rsid w:val="005A53D0"/>
    <w:rsid w:val="005A7FD2"/>
    <w:rsid w:val="005B303B"/>
    <w:rsid w:val="005B3839"/>
    <w:rsid w:val="005B4299"/>
    <w:rsid w:val="005B6E51"/>
    <w:rsid w:val="005C0060"/>
    <w:rsid w:val="005C12AC"/>
    <w:rsid w:val="005C2140"/>
    <w:rsid w:val="005C2D94"/>
    <w:rsid w:val="005C48CA"/>
    <w:rsid w:val="005C5D25"/>
    <w:rsid w:val="005C72A6"/>
    <w:rsid w:val="005C7374"/>
    <w:rsid w:val="005D0369"/>
    <w:rsid w:val="005D0D7B"/>
    <w:rsid w:val="005D1735"/>
    <w:rsid w:val="005D4571"/>
    <w:rsid w:val="005D4970"/>
    <w:rsid w:val="005D53FE"/>
    <w:rsid w:val="005D5A64"/>
    <w:rsid w:val="005D657C"/>
    <w:rsid w:val="005D6AEA"/>
    <w:rsid w:val="005D710D"/>
    <w:rsid w:val="005D7A0F"/>
    <w:rsid w:val="005E0010"/>
    <w:rsid w:val="005E0438"/>
    <w:rsid w:val="005E1791"/>
    <w:rsid w:val="005E29B8"/>
    <w:rsid w:val="005E2CE6"/>
    <w:rsid w:val="005E4D8E"/>
    <w:rsid w:val="005E5B94"/>
    <w:rsid w:val="005E6324"/>
    <w:rsid w:val="005E7B4E"/>
    <w:rsid w:val="005F0171"/>
    <w:rsid w:val="005F0D5F"/>
    <w:rsid w:val="005F228B"/>
    <w:rsid w:val="005F29CD"/>
    <w:rsid w:val="005F4DFB"/>
    <w:rsid w:val="005F5898"/>
    <w:rsid w:val="005F6CC0"/>
    <w:rsid w:val="005F7A80"/>
    <w:rsid w:val="005F7B66"/>
    <w:rsid w:val="00600B37"/>
    <w:rsid w:val="00602C64"/>
    <w:rsid w:val="00603E5B"/>
    <w:rsid w:val="006047F7"/>
    <w:rsid w:val="00604B9D"/>
    <w:rsid w:val="00604BC8"/>
    <w:rsid w:val="00604F68"/>
    <w:rsid w:val="00606A47"/>
    <w:rsid w:val="00607CF5"/>
    <w:rsid w:val="00610467"/>
    <w:rsid w:val="006107CC"/>
    <w:rsid w:val="0061094B"/>
    <w:rsid w:val="0061104A"/>
    <w:rsid w:val="006110EB"/>
    <w:rsid w:val="0061114F"/>
    <w:rsid w:val="00611BED"/>
    <w:rsid w:val="00611DB9"/>
    <w:rsid w:val="00612A2B"/>
    <w:rsid w:val="00614EB3"/>
    <w:rsid w:val="00615B4C"/>
    <w:rsid w:val="00615B5D"/>
    <w:rsid w:val="00617853"/>
    <w:rsid w:val="00620EBC"/>
    <w:rsid w:val="00621302"/>
    <w:rsid w:val="0062146F"/>
    <w:rsid w:val="00621FE6"/>
    <w:rsid w:val="006229A9"/>
    <w:rsid w:val="00623939"/>
    <w:rsid w:val="006309B4"/>
    <w:rsid w:val="00630D2F"/>
    <w:rsid w:val="006334CF"/>
    <w:rsid w:val="006343AF"/>
    <w:rsid w:val="0063448A"/>
    <w:rsid w:val="0063634A"/>
    <w:rsid w:val="00636631"/>
    <w:rsid w:val="00636F44"/>
    <w:rsid w:val="0064160D"/>
    <w:rsid w:val="0064250D"/>
    <w:rsid w:val="00643090"/>
    <w:rsid w:val="0064452B"/>
    <w:rsid w:val="0065126E"/>
    <w:rsid w:val="006518F5"/>
    <w:rsid w:val="006535EB"/>
    <w:rsid w:val="00653B71"/>
    <w:rsid w:val="00657E44"/>
    <w:rsid w:val="006608CE"/>
    <w:rsid w:val="00663016"/>
    <w:rsid w:val="006644FE"/>
    <w:rsid w:val="00666FC4"/>
    <w:rsid w:val="00667302"/>
    <w:rsid w:val="00670464"/>
    <w:rsid w:val="00671C4F"/>
    <w:rsid w:val="006726D5"/>
    <w:rsid w:val="00673600"/>
    <w:rsid w:val="006737A5"/>
    <w:rsid w:val="00674605"/>
    <w:rsid w:val="00674739"/>
    <w:rsid w:val="006748B8"/>
    <w:rsid w:val="006764D5"/>
    <w:rsid w:val="00676FC2"/>
    <w:rsid w:val="00680F48"/>
    <w:rsid w:val="00681DEA"/>
    <w:rsid w:val="0068266F"/>
    <w:rsid w:val="00683006"/>
    <w:rsid w:val="0068535B"/>
    <w:rsid w:val="00687002"/>
    <w:rsid w:val="0068736E"/>
    <w:rsid w:val="0069113E"/>
    <w:rsid w:val="0069290A"/>
    <w:rsid w:val="0069383D"/>
    <w:rsid w:val="006942DD"/>
    <w:rsid w:val="006959C0"/>
    <w:rsid w:val="0069640B"/>
    <w:rsid w:val="00697032"/>
    <w:rsid w:val="006971B1"/>
    <w:rsid w:val="006975AC"/>
    <w:rsid w:val="00697F47"/>
    <w:rsid w:val="006A15FB"/>
    <w:rsid w:val="006A1B7E"/>
    <w:rsid w:val="006A2F1E"/>
    <w:rsid w:val="006A2FAE"/>
    <w:rsid w:val="006A4B52"/>
    <w:rsid w:val="006A6325"/>
    <w:rsid w:val="006A72BF"/>
    <w:rsid w:val="006B2381"/>
    <w:rsid w:val="006B332A"/>
    <w:rsid w:val="006B33BD"/>
    <w:rsid w:val="006B5B35"/>
    <w:rsid w:val="006C0B84"/>
    <w:rsid w:val="006C0DDE"/>
    <w:rsid w:val="006C1668"/>
    <w:rsid w:val="006C1A6A"/>
    <w:rsid w:val="006C3068"/>
    <w:rsid w:val="006C3726"/>
    <w:rsid w:val="006C3F75"/>
    <w:rsid w:val="006C46C7"/>
    <w:rsid w:val="006C4BD4"/>
    <w:rsid w:val="006C4CC5"/>
    <w:rsid w:val="006C50FE"/>
    <w:rsid w:val="006C58D8"/>
    <w:rsid w:val="006D0FB2"/>
    <w:rsid w:val="006D170E"/>
    <w:rsid w:val="006D1862"/>
    <w:rsid w:val="006D2CC8"/>
    <w:rsid w:val="006D3475"/>
    <w:rsid w:val="006D6E11"/>
    <w:rsid w:val="006D6FC8"/>
    <w:rsid w:val="006E06AF"/>
    <w:rsid w:val="006E1A4E"/>
    <w:rsid w:val="006E29D4"/>
    <w:rsid w:val="006E4135"/>
    <w:rsid w:val="006E460F"/>
    <w:rsid w:val="006E602C"/>
    <w:rsid w:val="006E68A3"/>
    <w:rsid w:val="006E70F4"/>
    <w:rsid w:val="006F0240"/>
    <w:rsid w:val="006F03AA"/>
    <w:rsid w:val="006F09FD"/>
    <w:rsid w:val="006F1789"/>
    <w:rsid w:val="006F1BFE"/>
    <w:rsid w:val="006F4D7D"/>
    <w:rsid w:val="006F52AA"/>
    <w:rsid w:val="007007AB"/>
    <w:rsid w:val="007020D6"/>
    <w:rsid w:val="00702AEF"/>
    <w:rsid w:val="007031A3"/>
    <w:rsid w:val="007032E7"/>
    <w:rsid w:val="00706C5D"/>
    <w:rsid w:val="0070731A"/>
    <w:rsid w:val="0070732C"/>
    <w:rsid w:val="007079A2"/>
    <w:rsid w:val="00707A1B"/>
    <w:rsid w:val="007118E6"/>
    <w:rsid w:val="0071290F"/>
    <w:rsid w:val="007143C0"/>
    <w:rsid w:val="0071500A"/>
    <w:rsid w:val="007158F8"/>
    <w:rsid w:val="00715E10"/>
    <w:rsid w:val="00720661"/>
    <w:rsid w:val="00720C94"/>
    <w:rsid w:val="00721965"/>
    <w:rsid w:val="00721F08"/>
    <w:rsid w:val="007225C9"/>
    <w:rsid w:val="0072368B"/>
    <w:rsid w:val="007256AD"/>
    <w:rsid w:val="007277F9"/>
    <w:rsid w:val="00731808"/>
    <w:rsid w:val="00732D5D"/>
    <w:rsid w:val="00733683"/>
    <w:rsid w:val="00733F67"/>
    <w:rsid w:val="007351EB"/>
    <w:rsid w:val="00735CD7"/>
    <w:rsid w:val="0073792C"/>
    <w:rsid w:val="00740463"/>
    <w:rsid w:val="00744E20"/>
    <w:rsid w:val="00747CD1"/>
    <w:rsid w:val="00752A17"/>
    <w:rsid w:val="00752AB4"/>
    <w:rsid w:val="00754034"/>
    <w:rsid w:val="00754BF1"/>
    <w:rsid w:val="00755A30"/>
    <w:rsid w:val="00755E1C"/>
    <w:rsid w:val="007563B3"/>
    <w:rsid w:val="00756556"/>
    <w:rsid w:val="0076132B"/>
    <w:rsid w:val="007623AE"/>
    <w:rsid w:val="00765AB0"/>
    <w:rsid w:val="00770B19"/>
    <w:rsid w:val="00772139"/>
    <w:rsid w:val="00772A95"/>
    <w:rsid w:val="00773699"/>
    <w:rsid w:val="00774FA0"/>
    <w:rsid w:val="00775B73"/>
    <w:rsid w:val="00776620"/>
    <w:rsid w:val="00777B6D"/>
    <w:rsid w:val="007800AB"/>
    <w:rsid w:val="00780121"/>
    <w:rsid w:val="00780924"/>
    <w:rsid w:val="007828CB"/>
    <w:rsid w:val="0078376F"/>
    <w:rsid w:val="00784855"/>
    <w:rsid w:val="00784F39"/>
    <w:rsid w:val="0078517B"/>
    <w:rsid w:val="0078545C"/>
    <w:rsid w:val="007854ED"/>
    <w:rsid w:val="00785900"/>
    <w:rsid w:val="00786DC4"/>
    <w:rsid w:val="007906C4"/>
    <w:rsid w:val="0079235A"/>
    <w:rsid w:val="0079310F"/>
    <w:rsid w:val="0079313F"/>
    <w:rsid w:val="007934C1"/>
    <w:rsid w:val="007940EA"/>
    <w:rsid w:val="007946BB"/>
    <w:rsid w:val="007967E8"/>
    <w:rsid w:val="00797211"/>
    <w:rsid w:val="007A0CB8"/>
    <w:rsid w:val="007A1829"/>
    <w:rsid w:val="007A38F7"/>
    <w:rsid w:val="007A40ED"/>
    <w:rsid w:val="007A4480"/>
    <w:rsid w:val="007A4798"/>
    <w:rsid w:val="007A60C9"/>
    <w:rsid w:val="007A63F2"/>
    <w:rsid w:val="007B181B"/>
    <w:rsid w:val="007B4A13"/>
    <w:rsid w:val="007B68DE"/>
    <w:rsid w:val="007B6E89"/>
    <w:rsid w:val="007B70CF"/>
    <w:rsid w:val="007B7B25"/>
    <w:rsid w:val="007B7BDE"/>
    <w:rsid w:val="007C015E"/>
    <w:rsid w:val="007C0A03"/>
    <w:rsid w:val="007C12CE"/>
    <w:rsid w:val="007C1857"/>
    <w:rsid w:val="007C240C"/>
    <w:rsid w:val="007C4433"/>
    <w:rsid w:val="007C514F"/>
    <w:rsid w:val="007C530D"/>
    <w:rsid w:val="007C63B9"/>
    <w:rsid w:val="007D0006"/>
    <w:rsid w:val="007D0970"/>
    <w:rsid w:val="007D0BE9"/>
    <w:rsid w:val="007D0F95"/>
    <w:rsid w:val="007D44D2"/>
    <w:rsid w:val="007D5531"/>
    <w:rsid w:val="007D7ECB"/>
    <w:rsid w:val="007E0215"/>
    <w:rsid w:val="007E15B1"/>
    <w:rsid w:val="007E25A1"/>
    <w:rsid w:val="007E2894"/>
    <w:rsid w:val="007E2DFB"/>
    <w:rsid w:val="007E3A28"/>
    <w:rsid w:val="007E433B"/>
    <w:rsid w:val="007E4BD2"/>
    <w:rsid w:val="007E6943"/>
    <w:rsid w:val="007E7145"/>
    <w:rsid w:val="007E7CCD"/>
    <w:rsid w:val="007E7D72"/>
    <w:rsid w:val="007E7D9E"/>
    <w:rsid w:val="007F0C38"/>
    <w:rsid w:val="007F1B13"/>
    <w:rsid w:val="007F3821"/>
    <w:rsid w:val="007F3908"/>
    <w:rsid w:val="007F3916"/>
    <w:rsid w:val="007F4C7E"/>
    <w:rsid w:val="007F57EB"/>
    <w:rsid w:val="007F75AA"/>
    <w:rsid w:val="00801179"/>
    <w:rsid w:val="0080245E"/>
    <w:rsid w:val="00802479"/>
    <w:rsid w:val="00802AD9"/>
    <w:rsid w:val="0080445B"/>
    <w:rsid w:val="008048F1"/>
    <w:rsid w:val="00805372"/>
    <w:rsid w:val="008053C6"/>
    <w:rsid w:val="0080594D"/>
    <w:rsid w:val="00805B7B"/>
    <w:rsid w:val="00807385"/>
    <w:rsid w:val="0081293E"/>
    <w:rsid w:val="008140BE"/>
    <w:rsid w:val="00814FFB"/>
    <w:rsid w:val="00817B86"/>
    <w:rsid w:val="00820568"/>
    <w:rsid w:val="0082084D"/>
    <w:rsid w:val="00822005"/>
    <w:rsid w:val="00822742"/>
    <w:rsid w:val="00824BE1"/>
    <w:rsid w:val="00825C1E"/>
    <w:rsid w:val="00825E2A"/>
    <w:rsid w:val="00826FB4"/>
    <w:rsid w:val="008276DD"/>
    <w:rsid w:val="008315CD"/>
    <w:rsid w:val="0083189E"/>
    <w:rsid w:val="00831A80"/>
    <w:rsid w:val="00832A9F"/>
    <w:rsid w:val="008332C8"/>
    <w:rsid w:val="00833743"/>
    <w:rsid w:val="008340A4"/>
    <w:rsid w:val="0083499F"/>
    <w:rsid w:val="008353F4"/>
    <w:rsid w:val="00836799"/>
    <w:rsid w:val="00837028"/>
    <w:rsid w:val="00837131"/>
    <w:rsid w:val="00840947"/>
    <w:rsid w:val="008428CA"/>
    <w:rsid w:val="008455EE"/>
    <w:rsid w:val="00845F57"/>
    <w:rsid w:val="00847745"/>
    <w:rsid w:val="00847F90"/>
    <w:rsid w:val="00852193"/>
    <w:rsid w:val="008521E0"/>
    <w:rsid w:val="008525B0"/>
    <w:rsid w:val="00855CF1"/>
    <w:rsid w:val="0085614C"/>
    <w:rsid w:val="008571A4"/>
    <w:rsid w:val="008631F8"/>
    <w:rsid w:val="00865C0D"/>
    <w:rsid w:val="00867CBC"/>
    <w:rsid w:val="008707FC"/>
    <w:rsid w:val="00870AB4"/>
    <w:rsid w:val="0087526D"/>
    <w:rsid w:val="008757FA"/>
    <w:rsid w:val="00876691"/>
    <w:rsid w:val="00876C30"/>
    <w:rsid w:val="00877017"/>
    <w:rsid w:val="008773C0"/>
    <w:rsid w:val="00880364"/>
    <w:rsid w:val="00881635"/>
    <w:rsid w:val="00882A2A"/>
    <w:rsid w:val="00884146"/>
    <w:rsid w:val="008850A1"/>
    <w:rsid w:val="00885740"/>
    <w:rsid w:val="00885897"/>
    <w:rsid w:val="008866D7"/>
    <w:rsid w:val="00886C4C"/>
    <w:rsid w:val="0088711C"/>
    <w:rsid w:val="0089118C"/>
    <w:rsid w:val="008914BF"/>
    <w:rsid w:val="00892ECF"/>
    <w:rsid w:val="00892F06"/>
    <w:rsid w:val="00894285"/>
    <w:rsid w:val="008946BA"/>
    <w:rsid w:val="00895796"/>
    <w:rsid w:val="00896EDA"/>
    <w:rsid w:val="008970A2"/>
    <w:rsid w:val="008977EC"/>
    <w:rsid w:val="00897BC4"/>
    <w:rsid w:val="008A242C"/>
    <w:rsid w:val="008A2B9D"/>
    <w:rsid w:val="008A40AE"/>
    <w:rsid w:val="008A4885"/>
    <w:rsid w:val="008A4E19"/>
    <w:rsid w:val="008A67C5"/>
    <w:rsid w:val="008A6B26"/>
    <w:rsid w:val="008B08BE"/>
    <w:rsid w:val="008B22E1"/>
    <w:rsid w:val="008B3C78"/>
    <w:rsid w:val="008B4AE9"/>
    <w:rsid w:val="008B4D33"/>
    <w:rsid w:val="008B55FA"/>
    <w:rsid w:val="008C093B"/>
    <w:rsid w:val="008C0B3D"/>
    <w:rsid w:val="008C2415"/>
    <w:rsid w:val="008C2C44"/>
    <w:rsid w:val="008C3087"/>
    <w:rsid w:val="008C30AD"/>
    <w:rsid w:val="008C407A"/>
    <w:rsid w:val="008C5750"/>
    <w:rsid w:val="008C64AE"/>
    <w:rsid w:val="008D068E"/>
    <w:rsid w:val="008D08AD"/>
    <w:rsid w:val="008D0F7A"/>
    <w:rsid w:val="008D3FAA"/>
    <w:rsid w:val="008D53D7"/>
    <w:rsid w:val="008D63BE"/>
    <w:rsid w:val="008D66A1"/>
    <w:rsid w:val="008E0CFF"/>
    <w:rsid w:val="008E4385"/>
    <w:rsid w:val="008E5D6B"/>
    <w:rsid w:val="008E689B"/>
    <w:rsid w:val="008E76F0"/>
    <w:rsid w:val="008F067C"/>
    <w:rsid w:val="008F15FE"/>
    <w:rsid w:val="008F2A94"/>
    <w:rsid w:val="008F5187"/>
    <w:rsid w:val="008F5FFE"/>
    <w:rsid w:val="008F709C"/>
    <w:rsid w:val="008F7258"/>
    <w:rsid w:val="00900930"/>
    <w:rsid w:val="00900E10"/>
    <w:rsid w:val="00901216"/>
    <w:rsid w:val="00901EA1"/>
    <w:rsid w:val="00902DB3"/>
    <w:rsid w:val="0090312B"/>
    <w:rsid w:val="00904961"/>
    <w:rsid w:val="00905151"/>
    <w:rsid w:val="00910B88"/>
    <w:rsid w:val="00911E60"/>
    <w:rsid w:val="00912713"/>
    <w:rsid w:val="0091273E"/>
    <w:rsid w:val="009128E7"/>
    <w:rsid w:val="0091736D"/>
    <w:rsid w:val="00920340"/>
    <w:rsid w:val="00920648"/>
    <w:rsid w:val="00920E1E"/>
    <w:rsid w:val="00921ECC"/>
    <w:rsid w:val="00921EFF"/>
    <w:rsid w:val="00923ED4"/>
    <w:rsid w:val="00926AD1"/>
    <w:rsid w:val="0093002B"/>
    <w:rsid w:val="00930BB2"/>
    <w:rsid w:val="00931001"/>
    <w:rsid w:val="00931236"/>
    <w:rsid w:val="00931863"/>
    <w:rsid w:val="00933524"/>
    <w:rsid w:val="00936EEC"/>
    <w:rsid w:val="009419D4"/>
    <w:rsid w:val="00941AE3"/>
    <w:rsid w:val="0094278D"/>
    <w:rsid w:val="0094414D"/>
    <w:rsid w:val="009460A1"/>
    <w:rsid w:val="00946E41"/>
    <w:rsid w:val="00946E6A"/>
    <w:rsid w:val="00952BAE"/>
    <w:rsid w:val="00953011"/>
    <w:rsid w:val="0095308A"/>
    <w:rsid w:val="009555C1"/>
    <w:rsid w:val="00955AEE"/>
    <w:rsid w:val="0095689A"/>
    <w:rsid w:val="00956F14"/>
    <w:rsid w:val="00957BA8"/>
    <w:rsid w:val="00957BAB"/>
    <w:rsid w:val="00957C97"/>
    <w:rsid w:val="00961521"/>
    <w:rsid w:val="0096165F"/>
    <w:rsid w:val="009620FD"/>
    <w:rsid w:val="009621A2"/>
    <w:rsid w:val="0096247A"/>
    <w:rsid w:val="00965A39"/>
    <w:rsid w:val="00965F4B"/>
    <w:rsid w:val="00967B6D"/>
    <w:rsid w:val="00970986"/>
    <w:rsid w:val="00970F8A"/>
    <w:rsid w:val="009716FF"/>
    <w:rsid w:val="00971FB5"/>
    <w:rsid w:val="00972D2A"/>
    <w:rsid w:val="00975CC5"/>
    <w:rsid w:val="00976328"/>
    <w:rsid w:val="00976B4E"/>
    <w:rsid w:val="009770B4"/>
    <w:rsid w:val="00982218"/>
    <w:rsid w:val="009824AA"/>
    <w:rsid w:val="00982E85"/>
    <w:rsid w:val="009839D9"/>
    <w:rsid w:val="00984458"/>
    <w:rsid w:val="00984AB2"/>
    <w:rsid w:val="00985283"/>
    <w:rsid w:val="00985402"/>
    <w:rsid w:val="009859AB"/>
    <w:rsid w:val="0098600F"/>
    <w:rsid w:val="00986452"/>
    <w:rsid w:val="00987322"/>
    <w:rsid w:val="009903CC"/>
    <w:rsid w:val="00996427"/>
    <w:rsid w:val="00996DC1"/>
    <w:rsid w:val="00997775"/>
    <w:rsid w:val="00997A0C"/>
    <w:rsid w:val="009A0409"/>
    <w:rsid w:val="009A0F3B"/>
    <w:rsid w:val="009A1DB1"/>
    <w:rsid w:val="009A3A20"/>
    <w:rsid w:val="009A3A4F"/>
    <w:rsid w:val="009A3DA5"/>
    <w:rsid w:val="009A453B"/>
    <w:rsid w:val="009A543D"/>
    <w:rsid w:val="009A5BA4"/>
    <w:rsid w:val="009A64C7"/>
    <w:rsid w:val="009A6A20"/>
    <w:rsid w:val="009A72C7"/>
    <w:rsid w:val="009B032D"/>
    <w:rsid w:val="009B0897"/>
    <w:rsid w:val="009B1B71"/>
    <w:rsid w:val="009B2DEF"/>
    <w:rsid w:val="009C0E85"/>
    <w:rsid w:val="009C1763"/>
    <w:rsid w:val="009C266F"/>
    <w:rsid w:val="009C579B"/>
    <w:rsid w:val="009C6BBE"/>
    <w:rsid w:val="009C7137"/>
    <w:rsid w:val="009C7DAA"/>
    <w:rsid w:val="009D07D2"/>
    <w:rsid w:val="009D0852"/>
    <w:rsid w:val="009D1D69"/>
    <w:rsid w:val="009D1FBF"/>
    <w:rsid w:val="009D2BDF"/>
    <w:rsid w:val="009D32B8"/>
    <w:rsid w:val="009D6B81"/>
    <w:rsid w:val="009D71BF"/>
    <w:rsid w:val="009E0220"/>
    <w:rsid w:val="009E08D2"/>
    <w:rsid w:val="009E3857"/>
    <w:rsid w:val="009E399C"/>
    <w:rsid w:val="009E3A08"/>
    <w:rsid w:val="009E43C1"/>
    <w:rsid w:val="009E4627"/>
    <w:rsid w:val="009E4F1F"/>
    <w:rsid w:val="009E5DCB"/>
    <w:rsid w:val="009E652E"/>
    <w:rsid w:val="009E7445"/>
    <w:rsid w:val="009E7E95"/>
    <w:rsid w:val="009F0960"/>
    <w:rsid w:val="009F0C7C"/>
    <w:rsid w:val="009F116F"/>
    <w:rsid w:val="009F329E"/>
    <w:rsid w:val="009F4987"/>
    <w:rsid w:val="009F49A7"/>
    <w:rsid w:val="009F4AA1"/>
    <w:rsid w:val="009F527B"/>
    <w:rsid w:val="009F7ED3"/>
    <w:rsid w:val="00A012F5"/>
    <w:rsid w:val="00A015A7"/>
    <w:rsid w:val="00A020D2"/>
    <w:rsid w:val="00A03607"/>
    <w:rsid w:val="00A047FF"/>
    <w:rsid w:val="00A0489E"/>
    <w:rsid w:val="00A04FEF"/>
    <w:rsid w:val="00A060F0"/>
    <w:rsid w:val="00A06D7C"/>
    <w:rsid w:val="00A10FFE"/>
    <w:rsid w:val="00A11A7A"/>
    <w:rsid w:val="00A11E90"/>
    <w:rsid w:val="00A122CD"/>
    <w:rsid w:val="00A12A32"/>
    <w:rsid w:val="00A14248"/>
    <w:rsid w:val="00A14947"/>
    <w:rsid w:val="00A15958"/>
    <w:rsid w:val="00A15D6F"/>
    <w:rsid w:val="00A173A4"/>
    <w:rsid w:val="00A176C9"/>
    <w:rsid w:val="00A20A4F"/>
    <w:rsid w:val="00A22B21"/>
    <w:rsid w:val="00A23B1B"/>
    <w:rsid w:val="00A23DC5"/>
    <w:rsid w:val="00A24AF2"/>
    <w:rsid w:val="00A261C2"/>
    <w:rsid w:val="00A268BE"/>
    <w:rsid w:val="00A30D47"/>
    <w:rsid w:val="00A33082"/>
    <w:rsid w:val="00A339B4"/>
    <w:rsid w:val="00A34028"/>
    <w:rsid w:val="00A34D0C"/>
    <w:rsid w:val="00A35568"/>
    <w:rsid w:val="00A37056"/>
    <w:rsid w:val="00A371C1"/>
    <w:rsid w:val="00A401AF"/>
    <w:rsid w:val="00A40918"/>
    <w:rsid w:val="00A41C9B"/>
    <w:rsid w:val="00A42BAD"/>
    <w:rsid w:val="00A4358F"/>
    <w:rsid w:val="00A44025"/>
    <w:rsid w:val="00A44563"/>
    <w:rsid w:val="00A458C6"/>
    <w:rsid w:val="00A46F67"/>
    <w:rsid w:val="00A51254"/>
    <w:rsid w:val="00A5172D"/>
    <w:rsid w:val="00A52C76"/>
    <w:rsid w:val="00A549F5"/>
    <w:rsid w:val="00A54AA1"/>
    <w:rsid w:val="00A55455"/>
    <w:rsid w:val="00A55FD1"/>
    <w:rsid w:val="00A56061"/>
    <w:rsid w:val="00A568FF"/>
    <w:rsid w:val="00A57B26"/>
    <w:rsid w:val="00A606D2"/>
    <w:rsid w:val="00A61496"/>
    <w:rsid w:val="00A61833"/>
    <w:rsid w:val="00A6202E"/>
    <w:rsid w:val="00A62199"/>
    <w:rsid w:val="00A624C6"/>
    <w:rsid w:val="00A62F51"/>
    <w:rsid w:val="00A63CEC"/>
    <w:rsid w:val="00A63D29"/>
    <w:rsid w:val="00A65C72"/>
    <w:rsid w:val="00A6657D"/>
    <w:rsid w:val="00A672B5"/>
    <w:rsid w:val="00A7031E"/>
    <w:rsid w:val="00A7070A"/>
    <w:rsid w:val="00A7116E"/>
    <w:rsid w:val="00A728B1"/>
    <w:rsid w:val="00A72B45"/>
    <w:rsid w:val="00A72CA4"/>
    <w:rsid w:val="00A75422"/>
    <w:rsid w:val="00A763DE"/>
    <w:rsid w:val="00A76A7C"/>
    <w:rsid w:val="00A76B01"/>
    <w:rsid w:val="00A76E92"/>
    <w:rsid w:val="00A77E4D"/>
    <w:rsid w:val="00A803D6"/>
    <w:rsid w:val="00A81102"/>
    <w:rsid w:val="00A81282"/>
    <w:rsid w:val="00A81647"/>
    <w:rsid w:val="00A8206D"/>
    <w:rsid w:val="00A84AE4"/>
    <w:rsid w:val="00A85CB8"/>
    <w:rsid w:val="00A8713F"/>
    <w:rsid w:val="00A8775D"/>
    <w:rsid w:val="00A91167"/>
    <w:rsid w:val="00A9171C"/>
    <w:rsid w:val="00A928A8"/>
    <w:rsid w:val="00A9292F"/>
    <w:rsid w:val="00A92FFD"/>
    <w:rsid w:val="00A95812"/>
    <w:rsid w:val="00A95975"/>
    <w:rsid w:val="00A95984"/>
    <w:rsid w:val="00A9708D"/>
    <w:rsid w:val="00AA167E"/>
    <w:rsid w:val="00AA1843"/>
    <w:rsid w:val="00AA2C17"/>
    <w:rsid w:val="00AA4172"/>
    <w:rsid w:val="00AA76BC"/>
    <w:rsid w:val="00AB0DFB"/>
    <w:rsid w:val="00AB1733"/>
    <w:rsid w:val="00AB1914"/>
    <w:rsid w:val="00AB1963"/>
    <w:rsid w:val="00AB1E50"/>
    <w:rsid w:val="00AB4DE5"/>
    <w:rsid w:val="00AB5330"/>
    <w:rsid w:val="00AB5555"/>
    <w:rsid w:val="00AB55EC"/>
    <w:rsid w:val="00AB65EA"/>
    <w:rsid w:val="00AB7747"/>
    <w:rsid w:val="00AC06E3"/>
    <w:rsid w:val="00AC0DBC"/>
    <w:rsid w:val="00AC2532"/>
    <w:rsid w:val="00AC26FE"/>
    <w:rsid w:val="00AC739E"/>
    <w:rsid w:val="00AD1507"/>
    <w:rsid w:val="00AD19BF"/>
    <w:rsid w:val="00AD208C"/>
    <w:rsid w:val="00AD2DC3"/>
    <w:rsid w:val="00AD3037"/>
    <w:rsid w:val="00AD33B5"/>
    <w:rsid w:val="00AD5A70"/>
    <w:rsid w:val="00AD738B"/>
    <w:rsid w:val="00AD7865"/>
    <w:rsid w:val="00AE13FA"/>
    <w:rsid w:val="00AE153C"/>
    <w:rsid w:val="00AE1BF4"/>
    <w:rsid w:val="00AE2DBD"/>
    <w:rsid w:val="00AE56DC"/>
    <w:rsid w:val="00AE5D97"/>
    <w:rsid w:val="00AE6794"/>
    <w:rsid w:val="00AE7377"/>
    <w:rsid w:val="00AE7CC4"/>
    <w:rsid w:val="00AF096C"/>
    <w:rsid w:val="00AF0CA4"/>
    <w:rsid w:val="00AF289D"/>
    <w:rsid w:val="00AF66D4"/>
    <w:rsid w:val="00AF7DAC"/>
    <w:rsid w:val="00B0057A"/>
    <w:rsid w:val="00B00A0E"/>
    <w:rsid w:val="00B01110"/>
    <w:rsid w:val="00B02262"/>
    <w:rsid w:val="00B02EA6"/>
    <w:rsid w:val="00B03CEC"/>
    <w:rsid w:val="00B04419"/>
    <w:rsid w:val="00B04D7A"/>
    <w:rsid w:val="00B06324"/>
    <w:rsid w:val="00B06452"/>
    <w:rsid w:val="00B0736A"/>
    <w:rsid w:val="00B07861"/>
    <w:rsid w:val="00B07A91"/>
    <w:rsid w:val="00B10D49"/>
    <w:rsid w:val="00B1209F"/>
    <w:rsid w:val="00B120CE"/>
    <w:rsid w:val="00B12AD0"/>
    <w:rsid w:val="00B1342E"/>
    <w:rsid w:val="00B148DD"/>
    <w:rsid w:val="00B1490A"/>
    <w:rsid w:val="00B150AD"/>
    <w:rsid w:val="00B1558B"/>
    <w:rsid w:val="00B2237B"/>
    <w:rsid w:val="00B239BD"/>
    <w:rsid w:val="00B24F30"/>
    <w:rsid w:val="00B25DE9"/>
    <w:rsid w:val="00B263BF"/>
    <w:rsid w:val="00B2662E"/>
    <w:rsid w:val="00B266DC"/>
    <w:rsid w:val="00B26715"/>
    <w:rsid w:val="00B3051F"/>
    <w:rsid w:val="00B30734"/>
    <w:rsid w:val="00B31ABF"/>
    <w:rsid w:val="00B335AE"/>
    <w:rsid w:val="00B33860"/>
    <w:rsid w:val="00B34C3A"/>
    <w:rsid w:val="00B3556D"/>
    <w:rsid w:val="00B35D5B"/>
    <w:rsid w:val="00B370AD"/>
    <w:rsid w:val="00B37CE1"/>
    <w:rsid w:val="00B40ACF"/>
    <w:rsid w:val="00B415AE"/>
    <w:rsid w:val="00B46BAA"/>
    <w:rsid w:val="00B471AE"/>
    <w:rsid w:val="00B508C7"/>
    <w:rsid w:val="00B50B5F"/>
    <w:rsid w:val="00B50BB2"/>
    <w:rsid w:val="00B5115F"/>
    <w:rsid w:val="00B536C7"/>
    <w:rsid w:val="00B54128"/>
    <w:rsid w:val="00B5423A"/>
    <w:rsid w:val="00B54F3E"/>
    <w:rsid w:val="00B55430"/>
    <w:rsid w:val="00B55826"/>
    <w:rsid w:val="00B56759"/>
    <w:rsid w:val="00B5727A"/>
    <w:rsid w:val="00B57D71"/>
    <w:rsid w:val="00B57DEA"/>
    <w:rsid w:val="00B60426"/>
    <w:rsid w:val="00B6194D"/>
    <w:rsid w:val="00B61F6D"/>
    <w:rsid w:val="00B622DD"/>
    <w:rsid w:val="00B63522"/>
    <w:rsid w:val="00B6785C"/>
    <w:rsid w:val="00B7054C"/>
    <w:rsid w:val="00B72391"/>
    <w:rsid w:val="00B735CC"/>
    <w:rsid w:val="00B737F3"/>
    <w:rsid w:val="00B76ECA"/>
    <w:rsid w:val="00B76F1D"/>
    <w:rsid w:val="00B804A8"/>
    <w:rsid w:val="00B806B2"/>
    <w:rsid w:val="00B806F3"/>
    <w:rsid w:val="00B83896"/>
    <w:rsid w:val="00B83E30"/>
    <w:rsid w:val="00B83FD8"/>
    <w:rsid w:val="00B86242"/>
    <w:rsid w:val="00B92A19"/>
    <w:rsid w:val="00B92EF4"/>
    <w:rsid w:val="00B950FF"/>
    <w:rsid w:val="00B951E7"/>
    <w:rsid w:val="00B9544C"/>
    <w:rsid w:val="00B95F6A"/>
    <w:rsid w:val="00BA021F"/>
    <w:rsid w:val="00BA29E9"/>
    <w:rsid w:val="00BA43DD"/>
    <w:rsid w:val="00BA51E5"/>
    <w:rsid w:val="00BA5493"/>
    <w:rsid w:val="00BA5ABC"/>
    <w:rsid w:val="00BA6027"/>
    <w:rsid w:val="00BB012A"/>
    <w:rsid w:val="00BB067E"/>
    <w:rsid w:val="00BB2456"/>
    <w:rsid w:val="00BB2659"/>
    <w:rsid w:val="00BB3221"/>
    <w:rsid w:val="00BB3618"/>
    <w:rsid w:val="00BB5E4C"/>
    <w:rsid w:val="00BB6F98"/>
    <w:rsid w:val="00BC0C9E"/>
    <w:rsid w:val="00BC32DC"/>
    <w:rsid w:val="00BC5EE6"/>
    <w:rsid w:val="00BC600E"/>
    <w:rsid w:val="00BC6478"/>
    <w:rsid w:val="00BC6BB0"/>
    <w:rsid w:val="00BC7287"/>
    <w:rsid w:val="00BC7D6F"/>
    <w:rsid w:val="00BD0AD3"/>
    <w:rsid w:val="00BD19E1"/>
    <w:rsid w:val="00BD1B51"/>
    <w:rsid w:val="00BD38BD"/>
    <w:rsid w:val="00BD3BA7"/>
    <w:rsid w:val="00BD4487"/>
    <w:rsid w:val="00BD47BE"/>
    <w:rsid w:val="00BD47F6"/>
    <w:rsid w:val="00BD4DE7"/>
    <w:rsid w:val="00BD5CB5"/>
    <w:rsid w:val="00BD62A8"/>
    <w:rsid w:val="00BD78C2"/>
    <w:rsid w:val="00BE24A8"/>
    <w:rsid w:val="00BE312D"/>
    <w:rsid w:val="00BE35F6"/>
    <w:rsid w:val="00BE3FCA"/>
    <w:rsid w:val="00BE56DD"/>
    <w:rsid w:val="00BE7150"/>
    <w:rsid w:val="00BF0F27"/>
    <w:rsid w:val="00BF31BF"/>
    <w:rsid w:val="00BF4F63"/>
    <w:rsid w:val="00BF5467"/>
    <w:rsid w:val="00BF7904"/>
    <w:rsid w:val="00C00938"/>
    <w:rsid w:val="00C03E47"/>
    <w:rsid w:val="00C04FFD"/>
    <w:rsid w:val="00C05314"/>
    <w:rsid w:val="00C05719"/>
    <w:rsid w:val="00C06251"/>
    <w:rsid w:val="00C06365"/>
    <w:rsid w:val="00C06413"/>
    <w:rsid w:val="00C10188"/>
    <w:rsid w:val="00C10578"/>
    <w:rsid w:val="00C10C91"/>
    <w:rsid w:val="00C12BC5"/>
    <w:rsid w:val="00C138FC"/>
    <w:rsid w:val="00C14595"/>
    <w:rsid w:val="00C16224"/>
    <w:rsid w:val="00C1622C"/>
    <w:rsid w:val="00C17D62"/>
    <w:rsid w:val="00C21FDC"/>
    <w:rsid w:val="00C2304B"/>
    <w:rsid w:val="00C23190"/>
    <w:rsid w:val="00C24EE7"/>
    <w:rsid w:val="00C250C7"/>
    <w:rsid w:val="00C2596A"/>
    <w:rsid w:val="00C26237"/>
    <w:rsid w:val="00C271BE"/>
    <w:rsid w:val="00C27425"/>
    <w:rsid w:val="00C321AE"/>
    <w:rsid w:val="00C328FE"/>
    <w:rsid w:val="00C33A05"/>
    <w:rsid w:val="00C33F3A"/>
    <w:rsid w:val="00C35BB5"/>
    <w:rsid w:val="00C35C3D"/>
    <w:rsid w:val="00C36F56"/>
    <w:rsid w:val="00C40217"/>
    <w:rsid w:val="00C409E7"/>
    <w:rsid w:val="00C40E26"/>
    <w:rsid w:val="00C41B2F"/>
    <w:rsid w:val="00C41CCA"/>
    <w:rsid w:val="00C42500"/>
    <w:rsid w:val="00C42AAA"/>
    <w:rsid w:val="00C42FBC"/>
    <w:rsid w:val="00C43D56"/>
    <w:rsid w:val="00C4409D"/>
    <w:rsid w:val="00C44828"/>
    <w:rsid w:val="00C4501D"/>
    <w:rsid w:val="00C455BE"/>
    <w:rsid w:val="00C51E5F"/>
    <w:rsid w:val="00C52367"/>
    <w:rsid w:val="00C5395C"/>
    <w:rsid w:val="00C54743"/>
    <w:rsid w:val="00C54D76"/>
    <w:rsid w:val="00C56770"/>
    <w:rsid w:val="00C618EB"/>
    <w:rsid w:val="00C61E4B"/>
    <w:rsid w:val="00C62E0C"/>
    <w:rsid w:val="00C62E3A"/>
    <w:rsid w:val="00C640CA"/>
    <w:rsid w:val="00C644A9"/>
    <w:rsid w:val="00C64503"/>
    <w:rsid w:val="00C64A1F"/>
    <w:rsid w:val="00C64BFF"/>
    <w:rsid w:val="00C65939"/>
    <w:rsid w:val="00C66B08"/>
    <w:rsid w:val="00C67BAF"/>
    <w:rsid w:val="00C70576"/>
    <w:rsid w:val="00C7291E"/>
    <w:rsid w:val="00C729F5"/>
    <w:rsid w:val="00C733C9"/>
    <w:rsid w:val="00C7378C"/>
    <w:rsid w:val="00C744B3"/>
    <w:rsid w:val="00C763C9"/>
    <w:rsid w:val="00C76417"/>
    <w:rsid w:val="00C80057"/>
    <w:rsid w:val="00C803D2"/>
    <w:rsid w:val="00C80C20"/>
    <w:rsid w:val="00C82C79"/>
    <w:rsid w:val="00C8341E"/>
    <w:rsid w:val="00C8389C"/>
    <w:rsid w:val="00C84753"/>
    <w:rsid w:val="00C852A6"/>
    <w:rsid w:val="00C85F8F"/>
    <w:rsid w:val="00C90824"/>
    <w:rsid w:val="00C91611"/>
    <w:rsid w:val="00C93B1A"/>
    <w:rsid w:val="00C948C9"/>
    <w:rsid w:val="00C95417"/>
    <w:rsid w:val="00C957EF"/>
    <w:rsid w:val="00C96BE3"/>
    <w:rsid w:val="00CA0DD0"/>
    <w:rsid w:val="00CA1F34"/>
    <w:rsid w:val="00CA2768"/>
    <w:rsid w:val="00CA3585"/>
    <w:rsid w:val="00CA3744"/>
    <w:rsid w:val="00CA3D5A"/>
    <w:rsid w:val="00CA41BE"/>
    <w:rsid w:val="00CA4C7C"/>
    <w:rsid w:val="00CA64DC"/>
    <w:rsid w:val="00CA71CE"/>
    <w:rsid w:val="00CA7501"/>
    <w:rsid w:val="00CA7825"/>
    <w:rsid w:val="00CA797C"/>
    <w:rsid w:val="00CA7C68"/>
    <w:rsid w:val="00CB0183"/>
    <w:rsid w:val="00CB0C82"/>
    <w:rsid w:val="00CB1803"/>
    <w:rsid w:val="00CB1854"/>
    <w:rsid w:val="00CB1EA3"/>
    <w:rsid w:val="00CB468D"/>
    <w:rsid w:val="00CB552C"/>
    <w:rsid w:val="00CB5F38"/>
    <w:rsid w:val="00CB6A9E"/>
    <w:rsid w:val="00CB7903"/>
    <w:rsid w:val="00CC0C87"/>
    <w:rsid w:val="00CC1FB1"/>
    <w:rsid w:val="00CC2086"/>
    <w:rsid w:val="00CC236A"/>
    <w:rsid w:val="00CC26B3"/>
    <w:rsid w:val="00CC28DA"/>
    <w:rsid w:val="00CC310D"/>
    <w:rsid w:val="00CC3AA1"/>
    <w:rsid w:val="00CC44AB"/>
    <w:rsid w:val="00CC4D0A"/>
    <w:rsid w:val="00CC540E"/>
    <w:rsid w:val="00CC54D3"/>
    <w:rsid w:val="00CC5D1E"/>
    <w:rsid w:val="00CC6181"/>
    <w:rsid w:val="00CD1F7B"/>
    <w:rsid w:val="00CD2BCD"/>
    <w:rsid w:val="00CD36AA"/>
    <w:rsid w:val="00CD3791"/>
    <w:rsid w:val="00CD5646"/>
    <w:rsid w:val="00CD65B0"/>
    <w:rsid w:val="00CD6ED2"/>
    <w:rsid w:val="00CE02CD"/>
    <w:rsid w:val="00CE0E14"/>
    <w:rsid w:val="00CE10E9"/>
    <w:rsid w:val="00CE1D3E"/>
    <w:rsid w:val="00CE560E"/>
    <w:rsid w:val="00CE7410"/>
    <w:rsid w:val="00CF051A"/>
    <w:rsid w:val="00CF1D40"/>
    <w:rsid w:val="00CF2610"/>
    <w:rsid w:val="00CF4088"/>
    <w:rsid w:val="00CF4997"/>
    <w:rsid w:val="00CF7AD5"/>
    <w:rsid w:val="00D0072E"/>
    <w:rsid w:val="00D0108A"/>
    <w:rsid w:val="00D01163"/>
    <w:rsid w:val="00D02DF2"/>
    <w:rsid w:val="00D02FC8"/>
    <w:rsid w:val="00D0736A"/>
    <w:rsid w:val="00D11271"/>
    <w:rsid w:val="00D1190B"/>
    <w:rsid w:val="00D12515"/>
    <w:rsid w:val="00D13CC2"/>
    <w:rsid w:val="00D13FC8"/>
    <w:rsid w:val="00D15727"/>
    <w:rsid w:val="00D15850"/>
    <w:rsid w:val="00D15A20"/>
    <w:rsid w:val="00D16332"/>
    <w:rsid w:val="00D16A22"/>
    <w:rsid w:val="00D17DB6"/>
    <w:rsid w:val="00D20162"/>
    <w:rsid w:val="00D201AE"/>
    <w:rsid w:val="00D215D1"/>
    <w:rsid w:val="00D24226"/>
    <w:rsid w:val="00D242A9"/>
    <w:rsid w:val="00D24972"/>
    <w:rsid w:val="00D2515E"/>
    <w:rsid w:val="00D266BB"/>
    <w:rsid w:val="00D2757D"/>
    <w:rsid w:val="00D2758C"/>
    <w:rsid w:val="00D308ED"/>
    <w:rsid w:val="00D309F0"/>
    <w:rsid w:val="00D3160C"/>
    <w:rsid w:val="00D32608"/>
    <w:rsid w:val="00D32FD8"/>
    <w:rsid w:val="00D3348A"/>
    <w:rsid w:val="00D33633"/>
    <w:rsid w:val="00D33E7E"/>
    <w:rsid w:val="00D348BD"/>
    <w:rsid w:val="00D34E62"/>
    <w:rsid w:val="00D355C6"/>
    <w:rsid w:val="00D35C5D"/>
    <w:rsid w:val="00D364AC"/>
    <w:rsid w:val="00D428DE"/>
    <w:rsid w:val="00D429AD"/>
    <w:rsid w:val="00D437CD"/>
    <w:rsid w:val="00D443C0"/>
    <w:rsid w:val="00D44693"/>
    <w:rsid w:val="00D45048"/>
    <w:rsid w:val="00D47896"/>
    <w:rsid w:val="00D5391B"/>
    <w:rsid w:val="00D556BB"/>
    <w:rsid w:val="00D56178"/>
    <w:rsid w:val="00D5635E"/>
    <w:rsid w:val="00D56CF0"/>
    <w:rsid w:val="00D56F5C"/>
    <w:rsid w:val="00D60337"/>
    <w:rsid w:val="00D63D6C"/>
    <w:rsid w:val="00D63DFE"/>
    <w:rsid w:val="00D652AB"/>
    <w:rsid w:val="00D65EEE"/>
    <w:rsid w:val="00D672C5"/>
    <w:rsid w:val="00D704B1"/>
    <w:rsid w:val="00D709B8"/>
    <w:rsid w:val="00D70B63"/>
    <w:rsid w:val="00D72B92"/>
    <w:rsid w:val="00D72ED4"/>
    <w:rsid w:val="00D73287"/>
    <w:rsid w:val="00D73F61"/>
    <w:rsid w:val="00D7467F"/>
    <w:rsid w:val="00D74AFB"/>
    <w:rsid w:val="00D754C0"/>
    <w:rsid w:val="00D776A2"/>
    <w:rsid w:val="00D77C98"/>
    <w:rsid w:val="00D801C4"/>
    <w:rsid w:val="00D80862"/>
    <w:rsid w:val="00D81D8D"/>
    <w:rsid w:val="00D84CC9"/>
    <w:rsid w:val="00D84CD8"/>
    <w:rsid w:val="00D90836"/>
    <w:rsid w:val="00D92142"/>
    <w:rsid w:val="00D937DD"/>
    <w:rsid w:val="00D9384E"/>
    <w:rsid w:val="00D9531F"/>
    <w:rsid w:val="00D95896"/>
    <w:rsid w:val="00D95CC6"/>
    <w:rsid w:val="00DA11B7"/>
    <w:rsid w:val="00DA1E89"/>
    <w:rsid w:val="00DA2DA3"/>
    <w:rsid w:val="00DA2E1B"/>
    <w:rsid w:val="00DA46D0"/>
    <w:rsid w:val="00DA48A9"/>
    <w:rsid w:val="00DA6615"/>
    <w:rsid w:val="00DA716D"/>
    <w:rsid w:val="00DA76AE"/>
    <w:rsid w:val="00DB135C"/>
    <w:rsid w:val="00DB181E"/>
    <w:rsid w:val="00DB1917"/>
    <w:rsid w:val="00DB1C7A"/>
    <w:rsid w:val="00DB2983"/>
    <w:rsid w:val="00DB343D"/>
    <w:rsid w:val="00DB41DD"/>
    <w:rsid w:val="00DB4C84"/>
    <w:rsid w:val="00DB5579"/>
    <w:rsid w:val="00DB5CFE"/>
    <w:rsid w:val="00DB6503"/>
    <w:rsid w:val="00DB787F"/>
    <w:rsid w:val="00DC208E"/>
    <w:rsid w:val="00DC2307"/>
    <w:rsid w:val="00DC26B8"/>
    <w:rsid w:val="00DC2747"/>
    <w:rsid w:val="00DC28D5"/>
    <w:rsid w:val="00DC3C4A"/>
    <w:rsid w:val="00DC4798"/>
    <w:rsid w:val="00DC6CF2"/>
    <w:rsid w:val="00DC72A6"/>
    <w:rsid w:val="00DD0066"/>
    <w:rsid w:val="00DD2113"/>
    <w:rsid w:val="00DD265E"/>
    <w:rsid w:val="00DD435E"/>
    <w:rsid w:val="00DD4788"/>
    <w:rsid w:val="00DD482C"/>
    <w:rsid w:val="00DD52B0"/>
    <w:rsid w:val="00DD5C63"/>
    <w:rsid w:val="00DD5E50"/>
    <w:rsid w:val="00DD732F"/>
    <w:rsid w:val="00DD7434"/>
    <w:rsid w:val="00DD7485"/>
    <w:rsid w:val="00DE08F7"/>
    <w:rsid w:val="00DE0982"/>
    <w:rsid w:val="00DE329E"/>
    <w:rsid w:val="00DE381B"/>
    <w:rsid w:val="00DE4AA0"/>
    <w:rsid w:val="00DE5500"/>
    <w:rsid w:val="00DE7641"/>
    <w:rsid w:val="00DF06AF"/>
    <w:rsid w:val="00DF1930"/>
    <w:rsid w:val="00DF1956"/>
    <w:rsid w:val="00DF514A"/>
    <w:rsid w:val="00DF530C"/>
    <w:rsid w:val="00DF5AF9"/>
    <w:rsid w:val="00DF60B1"/>
    <w:rsid w:val="00DF6E92"/>
    <w:rsid w:val="00E0220A"/>
    <w:rsid w:val="00E02777"/>
    <w:rsid w:val="00E02B93"/>
    <w:rsid w:val="00E0358D"/>
    <w:rsid w:val="00E04B61"/>
    <w:rsid w:val="00E04CAE"/>
    <w:rsid w:val="00E04EFC"/>
    <w:rsid w:val="00E05363"/>
    <w:rsid w:val="00E054B2"/>
    <w:rsid w:val="00E06327"/>
    <w:rsid w:val="00E06D9B"/>
    <w:rsid w:val="00E0776D"/>
    <w:rsid w:val="00E104DB"/>
    <w:rsid w:val="00E107A4"/>
    <w:rsid w:val="00E118A0"/>
    <w:rsid w:val="00E12A25"/>
    <w:rsid w:val="00E1493E"/>
    <w:rsid w:val="00E15780"/>
    <w:rsid w:val="00E16850"/>
    <w:rsid w:val="00E2064B"/>
    <w:rsid w:val="00E20ADA"/>
    <w:rsid w:val="00E20EB3"/>
    <w:rsid w:val="00E21481"/>
    <w:rsid w:val="00E25239"/>
    <w:rsid w:val="00E265B1"/>
    <w:rsid w:val="00E2672A"/>
    <w:rsid w:val="00E275B0"/>
    <w:rsid w:val="00E30BE5"/>
    <w:rsid w:val="00E31B26"/>
    <w:rsid w:val="00E31F7D"/>
    <w:rsid w:val="00E3705A"/>
    <w:rsid w:val="00E37ACC"/>
    <w:rsid w:val="00E37E1B"/>
    <w:rsid w:val="00E40B25"/>
    <w:rsid w:val="00E412B2"/>
    <w:rsid w:val="00E412D0"/>
    <w:rsid w:val="00E437C5"/>
    <w:rsid w:val="00E4529D"/>
    <w:rsid w:val="00E455A1"/>
    <w:rsid w:val="00E45712"/>
    <w:rsid w:val="00E45C97"/>
    <w:rsid w:val="00E47375"/>
    <w:rsid w:val="00E47559"/>
    <w:rsid w:val="00E47CDB"/>
    <w:rsid w:val="00E47CFC"/>
    <w:rsid w:val="00E503C3"/>
    <w:rsid w:val="00E51F76"/>
    <w:rsid w:val="00E521E8"/>
    <w:rsid w:val="00E5520A"/>
    <w:rsid w:val="00E566BC"/>
    <w:rsid w:val="00E56E33"/>
    <w:rsid w:val="00E57B84"/>
    <w:rsid w:val="00E57E5A"/>
    <w:rsid w:val="00E60982"/>
    <w:rsid w:val="00E60C68"/>
    <w:rsid w:val="00E60C8D"/>
    <w:rsid w:val="00E6162F"/>
    <w:rsid w:val="00E630F0"/>
    <w:rsid w:val="00E6311B"/>
    <w:rsid w:val="00E65D97"/>
    <w:rsid w:val="00E66F20"/>
    <w:rsid w:val="00E67961"/>
    <w:rsid w:val="00E67D82"/>
    <w:rsid w:val="00E67EFD"/>
    <w:rsid w:val="00E702DC"/>
    <w:rsid w:val="00E70BAA"/>
    <w:rsid w:val="00E71FFB"/>
    <w:rsid w:val="00E72347"/>
    <w:rsid w:val="00E74383"/>
    <w:rsid w:val="00E75929"/>
    <w:rsid w:val="00E76D1D"/>
    <w:rsid w:val="00E77DC8"/>
    <w:rsid w:val="00E77ECF"/>
    <w:rsid w:val="00E806F8"/>
    <w:rsid w:val="00E813A7"/>
    <w:rsid w:val="00E833DC"/>
    <w:rsid w:val="00E83D37"/>
    <w:rsid w:val="00E84053"/>
    <w:rsid w:val="00E8428A"/>
    <w:rsid w:val="00E84814"/>
    <w:rsid w:val="00E85C91"/>
    <w:rsid w:val="00E8758D"/>
    <w:rsid w:val="00E87752"/>
    <w:rsid w:val="00E8784E"/>
    <w:rsid w:val="00E87913"/>
    <w:rsid w:val="00E8793B"/>
    <w:rsid w:val="00E90F81"/>
    <w:rsid w:val="00E91452"/>
    <w:rsid w:val="00E91A6D"/>
    <w:rsid w:val="00E9242D"/>
    <w:rsid w:val="00E93034"/>
    <w:rsid w:val="00E94F59"/>
    <w:rsid w:val="00E97C1D"/>
    <w:rsid w:val="00EA28C7"/>
    <w:rsid w:val="00EA421A"/>
    <w:rsid w:val="00EA5232"/>
    <w:rsid w:val="00EB041C"/>
    <w:rsid w:val="00EB0E9A"/>
    <w:rsid w:val="00EB1BBE"/>
    <w:rsid w:val="00EB230B"/>
    <w:rsid w:val="00EB31E6"/>
    <w:rsid w:val="00EB52FA"/>
    <w:rsid w:val="00EB6733"/>
    <w:rsid w:val="00EC4025"/>
    <w:rsid w:val="00EC4B3D"/>
    <w:rsid w:val="00EC5874"/>
    <w:rsid w:val="00EC6AC7"/>
    <w:rsid w:val="00EC7258"/>
    <w:rsid w:val="00ED02CC"/>
    <w:rsid w:val="00ED02E2"/>
    <w:rsid w:val="00ED192D"/>
    <w:rsid w:val="00ED30B4"/>
    <w:rsid w:val="00ED31F5"/>
    <w:rsid w:val="00ED3890"/>
    <w:rsid w:val="00ED3E1B"/>
    <w:rsid w:val="00ED4937"/>
    <w:rsid w:val="00ED6026"/>
    <w:rsid w:val="00ED638D"/>
    <w:rsid w:val="00ED74C1"/>
    <w:rsid w:val="00ED7AB3"/>
    <w:rsid w:val="00EE45A4"/>
    <w:rsid w:val="00EE7210"/>
    <w:rsid w:val="00EF1F5F"/>
    <w:rsid w:val="00EF2759"/>
    <w:rsid w:val="00EF3D09"/>
    <w:rsid w:val="00EF4475"/>
    <w:rsid w:val="00EF45EB"/>
    <w:rsid w:val="00EF5099"/>
    <w:rsid w:val="00EF523A"/>
    <w:rsid w:val="00EF5E33"/>
    <w:rsid w:val="00EF75FA"/>
    <w:rsid w:val="00EF7BFE"/>
    <w:rsid w:val="00F00075"/>
    <w:rsid w:val="00F003DF"/>
    <w:rsid w:val="00F0090A"/>
    <w:rsid w:val="00F01A8E"/>
    <w:rsid w:val="00F05080"/>
    <w:rsid w:val="00F07822"/>
    <w:rsid w:val="00F11E23"/>
    <w:rsid w:val="00F13F35"/>
    <w:rsid w:val="00F140AD"/>
    <w:rsid w:val="00F155EB"/>
    <w:rsid w:val="00F15C95"/>
    <w:rsid w:val="00F16D8D"/>
    <w:rsid w:val="00F17E7D"/>
    <w:rsid w:val="00F22956"/>
    <w:rsid w:val="00F22985"/>
    <w:rsid w:val="00F22DE2"/>
    <w:rsid w:val="00F241AB"/>
    <w:rsid w:val="00F31382"/>
    <w:rsid w:val="00F31731"/>
    <w:rsid w:val="00F34014"/>
    <w:rsid w:val="00F342BC"/>
    <w:rsid w:val="00F35695"/>
    <w:rsid w:val="00F35829"/>
    <w:rsid w:val="00F35DCB"/>
    <w:rsid w:val="00F36366"/>
    <w:rsid w:val="00F42868"/>
    <w:rsid w:val="00F42D99"/>
    <w:rsid w:val="00F465A7"/>
    <w:rsid w:val="00F466F0"/>
    <w:rsid w:val="00F4760D"/>
    <w:rsid w:val="00F50B7C"/>
    <w:rsid w:val="00F5202D"/>
    <w:rsid w:val="00F52CF6"/>
    <w:rsid w:val="00F54496"/>
    <w:rsid w:val="00F6021C"/>
    <w:rsid w:val="00F61097"/>
    <w:rsid w:val="00F6331F"/>
    <w:rsid w:val="00F715B4"/>
    <w:rsid w:val="00F7236A"/>
    <w:rsid w:val="00F7373E"/>
    <w:rsid w:val="00F74345"/>
    <w:rsid w:val="00F74441"/>
    <w:rsid w:val="00F747DC"/>
    <w:rsid w:val="00F74B57"/>
    <w:rsid w:val="00F77F30"/>
    <w:rsid w:val="00F800DA"/>
    <w:rsid w:val="00F80CEE"/>
    <w:rsid w:val="00F82589"/>
    <w:rsid w:val="00F82695"/>
    <w:rsid w:val="00F82B19"/>
    <w:rsid w:val="00F83058"/>
    <w:rsid w:val="00F85050"/>
    <w:rsid w:val="00F876F5"/>
    <w:rsid w:val="00F87EB1"/>
    <w:rsid w:val="00F907F1"/>
    <w:rsid w:val="00F90AA7"/>
    <w:rsid w:val="00F9212D"/>
    <w:rsid w:val="00F93476"/>
    <w:rsid w:val="00F937BD"/>
    <w:rsid w:val="00F949A9"/>
    <w:rsid w:val="00F9782A"/>
    <w:rsid w:val="00F979E6"/>
    <w:rsid w:val="00FA08EA"/>
    <w:rsid w:val="00FA19E5"/>
    <w:rsid w:val="00FA250A"/>
    <w:rsid w:val="00FA287D"/>
    <w:rsid w:val="00FA301A"/>
    <w:rsid w:val="00FA33A6"/>
    <w:rsid w:val="00FA3531"/>
    <w:rsid w:val="00FA406A"/>
    <w:rsid w:val="00FA48BE"/>
    <w:rsid w:val="00FA4CE9"/>
    <w:rsid w:val="00FA5CB6"/>
    <w:rsid w:val="00FA7C6D"/>
    <w:rsid w:val="00FB3482"/>
    <w:rsid w:val="00FB38BC"/>
    <w:rsid w:val="00FB5530"/>
    <w:rsid w:val="00FB6A14"/>
    <w:rsid w:val="00FB6D2A"/>
    <w:rsid w:val="00FB7EF1"/>
    <w:rsid w:val="00FC1373"/>
    <w:rsid w:val="00FC14AD"/>
    <w:rsid w:val="00FC161D"/>
    <w:rsid w:val="00FC3D05"/>
    <w:rsid w:val="00FC40C9"/>
    <w:rsid w:val="00FC433E"/>
    <w:rsid w:val="00FC5382"/>
    <w:rsid w:val="00FC53F3"/>
    <w:rsid w:val="00FC5BBD"/>
    <w:rsid w:val="00FC5E0A"/>
    <w:rsid w:val="00FC66AC"/>
    <w:rsid w:val="00FC6ECD"/>
    <w:rsid w:val="00FD061F"/>
    <w:rsid w:val="00FD18F4"/>
    <w:rsid w:val="00FD1FE9"/>
    <w:rsid w:val="00FD2825"/>
    <w:rsid w:val="00FD2CD9"/>
    <w:rsid w:val="00FD2E36"/>
    <w:rsid w:val="00FD74B4"/>
    <w:rsid w:val="00FD76B2"/>
    <w:rsid w:val="00FD76E2"/>
    <w:rsid w:val="00FD7851"/>
    <w:rsid w:val="00FE1936"/>
    <w:rsid w:val="00FE2C39"/>
    <w:rsid w:val="00FE550D"/>
    <w:rsid w:val="00FE5A82"/>
    <w:rsid w:val="00FE68D8"/>
    <w:rsid w:val="00FE6E09"/>
    <w:rsid w:val="00FE7332"/>
    <w:rsid w:val="00FE738E"/>
    <w:rsid w:val="00FF0884"/>
    <w:rsid w:val="00FF1573"/>
    <w:rsid w:val="00FF2BF9"/>
    <w:rsid w:val="00FF3774"/>
    <w:rsid w:val="00FF3DCB"/>
    <w:rsid w:val="00FF4642"/>
    <w:rsid w:val="00FF46A6"/>
    <w:rsid w:val="00FF58DB"/>
    <w:rsid w:val="00FF61A8"/>
    <w:rsid w:val="00FF6FCE"/>
    <w:rsid w:val="00FF7518"/>
    <w:rsid w:val="00FF7FD8"/>
    <w:rsid w:val="01325A8F"/>
    <w:rsid w:val="01652B2F"/>
    <w:rsid w:val="01840BB5"/>
    <w:rsid w:val="018A2598"/>
    <w:rsid w:val="01AE3368"/>
    <w:rsid w:val="01B841CE"/>
    <w:rsid w:val="01BA22B8"/>
    <w:rsid w:val="01C35D3E"/>
    <w:rsid w:val="020C0D2B"/>
    <w:rsid w:val="024737BC"/>
    <w:rsid w:val="029E016E"/>
    <w:rsid w:val="02FD6493"/>
    <w:rsid w:val="030B388D"/>
    <w:rsid w:val="03250913"/>
    <w:rsid w:val="036D2DAF"/>
    <w:rsid w:val="03791F51"/>
    <w:rsid w:val="03CA6964"/>
    <w:rsid w:val="03D2580E"/>
    <w:rsid w:val="04097F02"/>
    <w:rsid w:val="04255A76"/>
    <w:rsid w:val="04472FCF"/>
    <w:rsid w:val="048B33C9"/>
    <w:rsid w:val="04935CE7"/>
    <w:rsid w:val="04AD3516"/>
    <w:rsid w:val="050B7BC1"/>
    <w:rsid w:val="052129A1"/>
    <w:rsid w:val="052247F0"/>
    <w:rsid w:val="053F6E04"/>
    <w:rsid w:val="05742AC8"/>
    <w:rsid w:val="05872CC9"/>
    <w:rsid w:val="058C6E17"/>
    <w:rsid w:val="05912076"/>
    <w:rsid w:val="05CE0012"/>
    <w:rsid w:val="05EF72B6"/>
    <w:rsid w:val="06007F0A"/>
    <w:rsid w:val="06352F05"/>
    <w:rsid w:val="063E7D85"/>
    <w:rsid w:val="068218BB"/>
    <w:rsid w:val="069468A4"/>
    <w:rsid w:val="06A927DF"/>
    <w:rsid w:val="06C55DD4"/>
    <w:rsid w:val="06CA0BB7"/>
    <w:rsid w:val="06E50BCF"/>
    <w:rsid w:val="07052B23"/>
    <w:rsid w:val="070875E0"/>
    <w:rsid w:val="07293586"/>
    <w:rsid w:val="07295285"/>
    <w:rsid w:val="07416327"/>
    <w:rsid w:val="074B1CC4"/>
    <w:rsid w:val="07770C56"/>
    <w:rsid w:val="077753AB"/>
    <w:rsid w:val="07D450B7"/>
    <w:rsid w:val="07F819D1"/>
    <w:rsid w:val="081B3A19"/>
    <w:rsid w:val="085714EB"/>
    <w:rsid w:val="08793B9B"/>
    <w:rsid w:val="088A61B1"/>
    <w:rsid w:val="08A748A3"/>
    <w:rsid w:val="08AE1E9F"/>
    <w:rsid w:val="08E474D4"/>
    <w:rsid w:val="09000221"/>
    <w:rsid w:val="091D09BE"/>
    <w:rsid w:val="092217DD"/>
    <w:rsid w:val="093A7294"/>
    <w:rsid w:val="093E1725"/>
    <w:rsid w:val="09436B6C"/>
    <w:rsid w:val="09883572"/>
    <w:rsid w:val="0998366B"/>
    <w:rsid w:val="09FD0DFD"/>
    <w:rsid w:val="0A362E60"/>
    <w:rsid w:val="0A381E37"/>
    <w:rsid w:val="0A570314"/>
    <w:rsid w:val="0A8670D2"/>
    <w:rsid w:val="0AB671DD"/>
    <w:rsid w:val="0AC4641E"/>
    <w:rsid w:val="0AF25902"/>
    <w:rsid w:val="0B0D6008"/>
    <w:rsid w:val="0B0E131B"/>
    <w:rsid w:val="0B113DED"/>
    <w:rsid w:val="0B3B6682"/>
    <w:rsid w:val="0B8D6ACF"/>
    <w:rsid w:val="0B955B9A"/>
    <w:rsid w:val="0B963AEC"/>
    <w:rsid w:val="0BA67416"/>
    <w:rsid w:val="0BD27BF6"/>
    <w:rsid w:val="0BEE2322"/>
    <w:rsid w:val="0C3E77CB"/>
    <w:rsid w:val="0C63115C"/>
    <w:rsid w:val="0C6C00A7"/>
    <w:rsid w:val="0C923042"/>
    <w:rsid w:val="0CB952B6"/>
    <w:rsid w:val="0CD36569"/>
    <w:rsid w:val="0CD46CA9"/>
    <w:rsid w:val="0CD72B89"/>
    <w:rsid w:val="0CDA1A87"/>
    <w:rsid w:val="0CFF34DF"/>
    <w:rsid w:val="0D0A43E8"/>
    <w:rsid w:val="0D156991"/>
    <w:rsid w:val="0D2C62DE"/>
    <w:rsid w:val="0D31711B"/>
    <w:rsid w:val="0D804797"/>
    <w:rsid w:val="0D8138C6"/>
    <w:rsid w:val="0D98330A"/>
    <w:rsid w:val="0E0A2F32"/>
    <w:rsid w:val="0E110D06"/>
    <w:rsid w:val="0EA556A7"/>
    <w:rsid w:val="0ED9579C"/>
    <w:rsid w:val="0EDA433D"/>
    <w:rsid w:val="0EF146A7"/>
    <w:rsid w:val="0F136F00"/>
    <w:rsid w:val="0F13775A"/>
    <w:rsid w:val="0F1F38D3"/>
    <w:rsid w:val="0F36499C"/>
    <w:rsid w:val="0F416C8B"/>
    <w:rsid w:val="0F9A112B"/>
    <w:rsid w:val="0FAD318D"/>
    <w:rsid w:val="0FC11657"/>
    <w:rsid w:val="0FC14BAE"/>
    <w:rsid w:val="0FD13EBE"/>
    <w:rsid w:val="0FD20B97"/>
    <w:rsid w:val="0FDE143F"/>
    <w:rsid w:val="0FE708DB"/>
    <w:rsid w:val="102854E8"/>
    <w:rsid w:val="10466E61"/>
    <w:rsid w:val="106D2F64"/>
    <w:rsid w:val="106F62D4"/>
    <w:rsid w:val="10744EF1"/>
    <w:rsid w:val="10A4718B"/>
    <w:rsid w:val="10B63710"/>
    <w:rsid w:val="110A4333"/>
    <w:rsid w:val="111C2F7A"/>
    <w:rsid w:val="113013DE"/>
    <w:rsid w:val="114C04A7"/>
    <w:rsid w:val="11853D3E"/>
    <w:rsid w:val="118C0B72"/>
    <w:rsid w:val="11BC2DDF"/>
    <w:rsid w:val="11DD5F37"/>
    <w:rsid w:val="12246685"/>
    <w:rsid w:val="122A3566"/>
    <w:rsid w:val="122B06C2"/>
    <w:rsid w:val="129E2F84"/>
    <w:rsid w:val="129E553B"/>
    <w:rsid w:val="12BC165D"/>
    <w:rsid w:val="12CF1390"/>
    <w:rsid w:val="12DB4D5B"/>
    <w:rsid w:val="12FC3D1C"/>
    <w:rsid w:val="13056E6A"/>
    <w:rsid w:val="1322220A"/>
    <w:rsid w:val="1356560D"/>
    <w:rsid w:val="137B2604"/>
    <w:rsid w:val="1383005A"/>
    <w:rsid w:val="13951726"/>
    <w:rsid w:val="13D125D7"/>
    <w:rsid w:val="14396509"/>
    <w:rsid w:val="1447165C"/>
    <w:rsid w:val="146A2E8A"/>
    <w:rsid w:val="14AE5274"/>
    <w:rsid w:val="14FE7D0A"/>
    <w:rsid w:val="150B2580"/>
    <w:rsid w:val="15B82ED9"/>
    <w:rsid w:val="15D553E2"/>
    <w:rsid w:val="15F64E85"/>
    <w:rsid w:val="1643333A"/>
    <w:rsid w:val="16504596"/>
    <w:rsid w:val="165559B8"/>
    <w:rsid w:val="16556617"/>
    <w:rsid w:val="167B7F3D"/>
    <w:rsid w:val="16872E8C"/>
    <w:rsid w:val="16C77E18"/>
    <w:rsid w:val="16D1595C"/>
    <w:rsid w:val="172D64A6"/>
    <w:rsid w:val="17345B41"/>
    <w:rsid w:val="173C4B1A"/>
    <w:rsid w:val="175F75EE"/>
    <w:rsid w:val="17735226"/>
    <w:rsid w:val="17B9472A"/>
    <w:rsid w:val="17BB2CBE"/>
    <w:rsid w:val="17CE60BA"/>
    <w:rsid w:val="17D336D0"/>
    <w:rsid w:val="17E15CF4"/>
    <w:rsid w:val="17F27311"/>
    <w:rsid w:val="18377797"/>
    <w:rsid w:val="184B770B"/>
    <w:rsid w:val="18960842"/>
    <w:rsid w:val="18A252ED"/>
    <w:rsid w:val="18AC1CDC"/>
    <w:rsid w:val="18EE0096"/>
    <w:rsid w:val="18F314B5"/>
    <w:rsid w:val="191D5EC2"/>
    <w:rsid w:val="193D5DEC"/>
    <w:rsid w:val="19404D95"/>
    <w:rsid w:val="197364FF"/>
    <w:rsid w:val="19A73CEB"/>
    <w:rsid w:val="19B4308D"/>
    <w:rsid w:val="19B72B7E"/>
    <w:rsid w:val="19BA09DD"/>
    <w:rsid w:val="19E219A9"/>
    <w:rsid w:val="19F17E3E"/>
    <w:rsid w:val="1A1C66C0"/>
    <w:rsid w:val="1A42393B"/>
    <w:rsid w:val="1A874D5B"/>
    <w:rsid w:val="1A9133CF"/>
    <w:rsid w:val="1A975C0F"/>
    <w:rsid w:val="1A9928ED"/>
    <w:rsid w:val="1B046F80"/>
    <w:rsid w:val="1B2772DC"/>
    <w:rsid w:val="1B2852C5"/>
    <w:rsid w:val="1B3267B5"/>
    <w:rsid w:val="1B355E64"/>
    <w:rsid w:val="1B664A48"/>
    <w:rsid w:val="1B686134"/>
    <w:rsid w:val="1BA013E4"/>
    <w:rsid w:val="1BA3357F"/>
    <w:rsid w:val="1BA36DC7"/>
    <w:rsid w:val="1BAE077A"/>
    <w:rsid w:val="1BB66110"/>
    <w:rsid w:val="1BC25DC8"/>
    <w:rsid w:val="1BCE0496"/>
    <w:rsid w:val="1BEF2AA3"/>
    <w:rsid w:val="1BF400B9"/>
    <w:rsid w:val="1C1A4926"/>
    <w:rsid w:val="1C2F67FF"/>
    <w:rsid w:val="1C36422E"/>
    <w:rsid w:val="1C566E7F"/>
    <w:rsid w:val="1C5E7925"/>
    <w:rsid w:val="1C791147"/>
    <w:rsid w:val="1C887FC8"/>
    <w:rsid w:val="1CDA7AC0"/>
    <w:rsid w:val="1CEB1FF8"/>
    <w:rsid w:val="1D061E52"/>
    <w:rsid w:val="1D2C4EF6"/>
    <w:rsid w:val="1D4B067B"/>
    <w:rsid w:val="1D5C173A"/>
    <w:rsid w:val="1D5F6196"/>
    <w:rsid w:val="1D6132A5"/>
    <w:rsid w:val="1D8E56D5"/>
    <w:rsid w:val="1DFF7BBC"/>
    <w:rsid w:val="1E181BDB"/>
    <w:rsid w:val="1E22493A"/>
    <w:rsid w:val="1E2D340E"/>
    <w:rsid w:val="1E2E1C24"/>
    <w:rsid w:val="1E4D7207"/>
    <w:rsid w:val="1E7A43DA"/>
    <w:rsid w:val="1EB277FE"/>
    <w:rsid w:val="1EE47F71"/>
    <w:rsid w:val="1F330EF8"/>
    <w:rsid w:val="1F6D2ACC"/>
    <w:rsid w:val="1F9A0E17"/>
    <w:rsid w:val="1FBF5E68"/>
    <w:rsid w:val="1FD95BC7"/>
    <w:rsid w:val="1FE7539E"/>
    <w:rsid w:val="1FE81720"/>
    <w:rsid w:val="2027193B"/>
    <w:rsid w:val="208E0B23"/>
    <w:rsid w:val="20963CB8"/>
    <w:rsid w:val="20B07FB6"/>
    <w:rsid w:val="20D80E64"/>
    <w:rsid w:val="20EC5803"/>
    <w:rsid w:val="20F5069F"/>
    <w:rsid w:val="213B74B1"/>
    <w:rsid w:val="214062DA"/>
    <w:rsid w:val="214C732C"/>
    <w:rsid w:val="215A2310"/>
    <w:rsid w:val="21861B91"/>
    <w:rsid w:val="21BC3427"/>
    <w:rsid w:val="21DE318A"/>
    <w:rsid w:val="21EF5B80"/>
    <w:rsid w:val="21F76892"/>
    <w:rsid w:val="22576990"/>
    <w:rsid w:val="229C4EAB"/>
    <w:rsid w:val="22C67236"/>
    <w:rsid w:val="23345F1E"/>
    <w:rsid w:val="23482F54"/>
    <w:rsid w:val="23566043"/>
    <w:rsid w:val="235B00E1"/>
    <w:rsid w:val="23713D9D"/>
    <w:rsid w:val="23856963"/>
    <w:rsid w:val="238C750F"/>
    <w:rsid w:val="23AA3203"/>
    <w:rsid w:val="23B56380"/>
    <w:rsid w:val="242958CE"/>
    <w:rsid w:val="243169A6"/>
    <w:rsid w:val="245A0A9E"/>
    <w:rsid w:val="245F009A"/>
    <w:rsid w:val="24650667"/>
    <w:rsid w:val="248C684D"/>
    <w:rsid w:val="24AB32DF"/>
    <w:rsid w:val="24F5112A"/>
    <w:rsid w:val="24F7089A"/>
    <w:rsid w:val="252D53FE"/>
    <w:rsid w:val="254070EF"/>
    <w:rsid w:val="254C3768"/>
    <w:rsid w:val="25AB3597"/>
    <w:rsid w:val="25BA194F"/>
    <w:rsid w:val="25C12A4E"/>
    <w:rsid w:val="25C97EC1"/>
    <w:rsid w:val="25EC2D81"/>
    <w:rsid w:val="25F012F0"/>
    <w:rsid w:val="25F64696"/>
    <w:rsid w:val="2605469A"/>
    <w:rsid w:val="261A4B22"/>
    <w:rsid w:val="263A5E5B"/>
    <w:rsid w:val="264528BD"/>
    <w:rsid w:val="265D3EA9"/>
    <w:rsid w:val="265E4AAD"/>
    <w:rsid w:val="269B42B1"/>
    <w:rsid w:val="26DC3C24"/>
    <w:rsid w:val="27182EAE"/>
    <w:rsid w:val="27376C3F"/>
    <w:rsid w:val="273807F7"/>
    <w:rsid w:val="27406B3F"/>
    <w:rsid w:val="275A53B0"/>
    <w:rsid w:val="27633147"/>
    <w:rsid w:val="27BA6BDA"/>
    <w:rsid w:val="27C546B8"/>
    <w:rsid w:val="27C93C5B"/>
    <w:rsid w:val="27CC1EEA"/>
    <w:rsid w:val="27D15DD1"/>
    <w:rsid w:val="27F42C3B"/>
    <w:rsid w:val="286A6D1E"/>
    <w:rsid w:val="28A76295"/>
    <w:rsid w:val="28DB0637"/>
    <w:rsid w:val="28DE0127"/>
    <w:rsid w:val="28E97405"/>
    <w:rsid w:val="29206EB8"/>
    <w:rsid w:val="29262C2A"/>
    <w:rsid w:val="292C0E92"/>
    <w:rsid w:val="293E0BC6"/>
    <w:rsid w:val="294A756A"/>
    <w:rsid w:val="29836B2B"/>
    <w:rsid w:val="298B3B92"/>
    <w:rsid w:val="29C32BB8"/>
    <w:rsid w:val="29C5514B"/>
    <w:rsid w:val="29E325E0"/>
    <w:rsid w:val="29E50BD8"/>
    <w:rsid w:val="29F44D4A"/>
    <w:rsid w:val="2A3B3FE3"/>
    <w:rsid w:val="2A452503"/>
    <w:rsid w:val="2A506E02"/>
    <w:rsid w:val="2A6E0388"/>
    <w:rsid w:val="2A7B152F"/>
    <w:rsid w:val="2A936297"/>
    <w:rsid w:val="2AA8488A"/>
    <w:rsid w:val="2ACD3FAF"/>
    <w:rsid w:val="2B151C05"/>
    <w:rsid w:val="2B2F5AA0"/>
    <w:rsid w:val="2B3C7681"/>
    <w:rsid w:val="2B6366AD"/>
    <w:rsid w:val="2B773E3F"/>
    <w:rsid w:val="2B856638"/>
    <w:rsid w:val="2B8C0182"/>
    <w:rsid w:val="2BA936A8"/>
    <w:rsid w:val="2BB37649"/>
    <w:rsid w:val="2BC809DB"/>
    <w:rsid w:val="2BFE6AE3"/>
    <w:rsid w:val="2C11436F"/>
    <w:rsid w:val="2C267E1B"/>
    <w:rsid w:val="2C315A5A"/>
    <w:rsid w:val="2C6C4BD5"/>
    <w:rsid w:val="2CA55C6E"/>
    <w:rsid w:val="2CDA38A5"/>
    <w:rsid w:val="2CE46022"/>
    <w:rsid w:val="2CE73722"/>
    <w:rsid w:val="2D077487"/>
    <w:rsid w:val="2D281D80"/>
    <w:rsid w:val="2D9E56F5"/>
    <w:rsid w:val="2DC325EB"/>
    <w:rsid w:val="2DD13DB6"/>
    <w:rsid w:val="2DEE33F5"/>
    <w:rsid w:val="2DFE19B4"/>
    <w:rsid w:val="2E485CFC"/>
    <w:rsid w:val="2E4B55E7"/>
    <w:rsid w:val="2E667F96"/>
    <w:rsid w:val="2E7B39DE"/>
    <w:rsid w:val="2E7E11FB"/>
    <w:rsid w:val="2E8226AB"/>
    <w:rsid w:val="2E856AEE"/>
    <w:rsid w:val="2E9E6A61"/>
    <w:rsid w:val="2EE4431A"/>
    <w:rsid w:val="2EE82043"/>
    <w:rsid w:val="2F0E4B96"/>
    <w:rsid w:val="2F1B7042"/>
    <w:rsid w:val="2F3740ED"/>
    <w:rsid w:val="2F474F28"/>
    <w:rsid w:val="2F827A5E"/>
    <w:rsid w:val="2F832C79"/>
    <w:rsid w:val="2F8A6913"/>
    <w:rsid w:val="2FA13739"/>
    <w:rsid w:val="2FEC2A7B"/>
    <w:rsid w:val="2FEF2D58"/>
    <w:rsid w:val="30322561"/>
    <w:rsid w:val="304154CB"/>
    <w:rsid w:val="30580BC9"/>
    <w:rsid w:val="308B0B94"/>
    <w:rsid w:val="30EB33E1"/>
    <w:rsid w:val="30FA1876"/>
    <w:rsid w:val="31103685"/>
    <w:rsid w:val="311E2ED7"/>
    <w:rsid w:val="31231901"/>
    <w:rsid w:val="314D0B3A"/>
    <w:rsid w:val="315C449C"/>
    <w:rsid w:val="31817949"/>
    <w:rsid w:val="31913241"/>
    <w:rsid w:val="31B82709"/>
    <w:rsid w:val="31CC5B06"/>
    <w:rsid w:val="31D06EBF"/>
    <w:rsid w:val="31E62731"/>
    <w:rsid w:val="31EA5447"/>
    <w:rsid w:val="31EF51D6"/>
    <w:rsid w:val="31F97D80"/>
    <w:rsid w:val="32267A64"/>
    <w:rsid w:val="32400B34"/>
    <w:rsid w:val="324441EF"/>
    <w:rsid w:val="324E146B"/>
    <w:rsid w:val="325A374F"/>
    <w:rsid w:val="325E0393"/>
    <w:rsid w:val="329D06A8"/>
    <w:rsid w:val="329E6876"/>
    <w:rsid w:val="32A970D8"/>
    <w:rsid w:val="32AE5439"/>
    <w:rsid w:val="32C8375A"/>
    <w:rsid w:val="331A75FE"/>
    <w:rsid w:val="333B5B1E"/>
    <w:rsid w:val="33502306"/>
    <w:rsid w:val="33977131"/>
    <w:rsid w:val="33D934D4"/>
    <w:rsid w:val="33EE1571"/>
    <w:rsid w:val="33F94067"/>
    <w:rsid w:val="33FE2F6A"/>
    <w:rsid w:val="341E7629"/>
    <w:rsid w:val="342B11E4"/>
    <w:rsid w:val="343D57A7"/>
    <w:rsid w:val="34592D57"/>
    <w:rsid w:val="34733E19"/>
    <w:rsid w:val="34BB4D78"/>
    <w:rsid w:val="34CB7DC1"/>
    <w:rsid w:val="351D3D85"/>
    <w:rsid w:val="3550415A"/>
    <w:rsid w:val="357F2005"/>
    <w:rsid w:val="35BB35B3"/>
    <w:rsid w:val="36074A7F"/>
    <w:rsid w:val="361F615F"/>
    <w:rsid w:val="36483CE0"/>
    <w:rsid w:val="366556EE"/>
    <w:rsid w:val="368229E8"/>
    <w:rsid w:val="36923549"/>
    <w:rsid w:val="369F18F8"/>
    <w:rsid w:val="36B75FBF"/>
    <w:rsid w:val="36C73AA5"/>
    <w:rsid w:val="36FB4891"/>
    <w:rsid w:val="37106AFC"/>
    <w:rsid w:val="37184804"/>
    <w:rsid w:val="3721576A"/>
    <w:rsid w:val="373200AD"/>
    <w:rsid w:val="373D2DFA"/>
    <w:rsid w:val="37434BFF"/>
    <w:rsid w:val="377063EE"/>
    <w:rsid w:val="37893954"/>
    <w:rsid w:val="378E4AC6"/>
    <w:rsid w:val="378F003B"/>
    <w:rsid w:val="37F45271"/>
    <w:rsid w:val="38122BC8"/>
    <w:rsid w:val="381C3344"/>
    <w:rsid w:val="383B1045"/>
    <w:rsid w:val="38823C68"/>
    <w:rsid w:val="38A04C80"/>
    <w:rsid w:val="38BC48FF"/>
    <w:rsid w:val="38BE7EFE"/>
    <w:rsid w:val="38F12CD3"/>
    <w:rsid w:val="38F94775"/>
    <w:rsid w:val="3929719C"/>
    <w:rsid w:val="392971ED"/>
    <w:rsid w:val="39616060"/>
    <w:rsid w:val="398268AC"/>
    <w:rsid w:val="39B042BE"/>
    <w:rsid w:val="39C71211"/>
    <w:rsid w:val="39CC2AF9"/>
    <w:rsid w:val="3A296D28"/>
    <w:rsid w:val="3A2C5EF0"/>
    <w:rsid w:val="3A440C53"/>
    <w:rsid w:val="3A7E7084"/>
    <w:rsid w:val="3A9D2CF5"/>
    <w:rsid w:val="3AB31AA7"/>
    <w:rsid w:val="3ABD5CA2"/>
    <w:rsid w:val="3AFE22CD"/>
    <w:rsid w:val="3B060213"/>
    <w:rsid w:val="3B3763D1"/>
    <w:rsid w:val="3B5D1BBD"/>
    <w:rsid w:val="3B626AAB"/>
    <w:rsid w:val="3B762441"/>
    <w:rsid w:val="3B8F470D"/>
    <w:rsid w:val="3BA22C7E"/>
    <w:rsid w:val="3BB40CC9"/>
    <w:rsid w:val="3BBA3B64"/>
    <w:rsid w:val="3BFA1D99"/>
    <w:rsid w:val="3C1934F8"/>
    <w:rsid w:val="3C4D31A2"/>
    <w:rsid w:val="3C8E7C3E"/>
    <w:rsid w:val="3CDA245A"/>
    <w:rsid w:val="3CEC7450"/>
    <w:rsid w:val="3CEE0A37"/>
    <w:rsid w:val="3CEF384F"/>
    <w:rsid w:val="3D124BBA"/>
    <w:rsid w:val="3D686F48"/>
    <w:rsid w:val="3D74650C"/>
    <w:rsid w:val="3DA4598A"/>
    <w:rsid w:val="3DA54918"/>
    <w:rsid w:val="3DC56D68"/>
    <w:rsid w:val="3DCC2243"/>
    <w:rsid w:val="3DD60F75"/>
    <w:rsid w:val="3E361608"/>
    <w:rsid w:val="3E3C17F0"/>
    <w:rsid w:val="3E40447C"/>
    <w:rsid w:val="3E4546F9"/>
    <w:rsid w:val="3E4707A5"/>
    <w:rsid w:val="3E4C6F8E"/>
    <w:rsid w:val="3E6A3D99"/>
    <w:rsid w:val="3E961CD5"/>
    <w:rsid w:val="3E97766B"/>
    <w:rsid w:val="3E9A67C1"/>
    <w:rsid w:val="3EBE0A66"/>
    <w:rsid w:val="3EBE293B"/>
    <w:rsid w:val="3ECB2A96"/>
    <w:rsid w:val="3F056573"/>
    <w:rsid w:val="3F3978C1"/>
    <w:rsid w:val="3F4A7535"/>
    <w:rsid w:val="3F660E74"/>
    <w:rsid w:val="3F9802DC"/>
    <w:rsid w:val="3FBD419A"/>
    <w:rsid w:val="405326C2"/>
    <w:rsid w:val="407A6407"/>
    <w:rsid w:val="408F72A1"/>
    <w:rsid w:val="40B6544E"/>
    <w:rsid w:val="40E767FE"/>
    <w:rsid w:val="40F167F2"/>
    <w:rsid w:val="41175B2C"/>
    <w:rsid w:val="413B46F3"/>
    <w:rsid w:val="41412BA9"/>
    <w:rsid w:val="4153520E"/>
    <w:rsid w:val="417F18ED"/>
    <w:rsid w:val="41812771"/>
    <w:rsid w:val="41886A2A"/>
    <w:rsid w:val="4192105F"/>
    <w:rsid w:val="41FB2B60"/>
    <w:rsid w:val="420C1409"/>
    <w:rsid w:val="42185851"/>
    <w:rsid w:val="423A3BCC"/>
    <w:rsid w:val="423C63AA"/>
    <w:rsid w:val="42814959"/>
    <w:rsid w:val="42BE193F"/>
    <w:rsid w:val="42F56E97"/>
    <w:rsid w:val="432B6CC3"/>
    <w:rsid w:val="432D5199"/>
    <w:rsid w:val="433A6FE6"/>
    <w:rsid w:val="43416B84"/>
    <w:rsid w:val="4350713C"/>
    <w:rsid w:val="436653E0"/>
    <w:rsid w:val="43E17E8A"/>
    <w:rsid w:val="44100D02"/>
    <w:rsid w:val="441E7954"/>
    <w:rsid w:val="44297ADF"/>
    <w:rsid w:val="44476EED"/>
    <w:rsid w:val="444C3D3F"/>
    <w:rsid w:val="4458493C"/>
    <w:rsid w:val="446142EB"/>
    <w:rsid w:val="44650F5C"/>
    <w:rsid w:val="44667C7E"/>
    <w:rsid w:val="446917BA"/>
    <w:rsid w:val="44776796"/>
    <w:rsid w:val="44C45A7A"/>
    <w:rsid w:val="44C8412A"/>
    <w:rsid w:val="44CD14E0"/>
    <w:rsid w:val="44FE79AC"/>
    <w:rsid w:val="452939E9"/>
    <w:rsid w:val="45555C40"/>
    <w:rsid w:val="455C0E0C"/>
    <w:rsid w:val="45630354"/>
    <w:rsid w:val="457004A6"/>
    <w:rsid w:val="458946E9"/>
    <w:rsid w:val="45B65249"/>
    <w:rsid w:val="45D20DDA"/>
    <w:rsid w:val="45FC3499"/>
    <w:rsid w:val="461B5D11"/>
    <w:rsid w:val="463E2142"/>
    <w:rsid w:val="464B2908"/>
    <w:rsid w:val="464E104B"/>
    <w:rsid w:val="4662784A"/>
    <w:rsid w:val="469814BD"/>
    <w:rsid w:val="46994768"/>
    <w:rsid w:val="46A741C1"/>
    <w:rsid w:val="46B9478E"/>
    <w:rsid w:val="46D955A7"/>
    <w:rsid w:val="46F81F5C"/>
    <w:rsid w:val="47074257"/>
    <w:rsid w:val="47133957"/>
    <w:rsid w:val="47246761"/>
    <w:rsid w:val="474B6354"/>
    <w:rsid w:val="4757048D"/>
    <w:rsid w:val="47574ED5"/>
    <w:rsid w:val="47627C1A"/>
    <w:rsid w:val="47727F60"/>
    <w:rsid w:val="4779329E"/>
    <w:rsid w:val="47A07E0C"/>
    <w:rsid w:val="47A95A58"/>
    <w:rsid w:val="47BE0940"/>
    <w:rsid w:val="47BF7B69"/>
    <w:rsid w:val="47C07683"/>
    <w:rsid w:val="47CC58C3"/>
    <w:rsid w:val="47DF2E01"/>
    <w:rsid w:val="47F04D72"/>
    <w:rsid w:val="47F24BFD"/>
    <w:rsid w:val="48013C69"/>
    <w:rsid w:val="4832149E"/>
    <w:rsid w:val="4854188E"/>
    <w:rsid w:val="486457A8"/>
    <w:rsid w:val="4870272E"/>
    <w:rsid w:val="487A69FC"/>
    <w:rsid w:val="487E032C"/>
    <w:rsid w:val="488A2AAD"/>
    <w:rsid w:val="48C6309C"/>
    <w:rsid w:val="48FF14B1"/>
    <w:rsid w:val="492C2E5D"/>
    <w:rsid w:val="49323576"/>
    <w:rsid w:val="496927CF"/>
    <w:rsid w:val="49741B10"/>
    <w:rsid w:val="497449C3"/>
    <w:rsid w:val="49A93B2D"/>
    <w:rsid w:val="49D46CB0"/>
    <w:rsid w:val="49DC5B65"/>
    <w:rsid w:val="49DC7715"/>
    <w:rsid w:val="49E67643"/>
    <w:rsid w:val="49F36EFC"/>
    <w:rsid w:val="4A023139"/>
    <w:rsid w:val="4A2C6C47"/>
    <w:rsid w:val="4A7B576F"/>
    <w:rsid w:val="4A972776"/>
    <w:rsid w:val="4AC00E34"/>
    <w:rsid w:val="4AC30FB8"/>
    <w:rsid w:val="4ACA3627"/>
    <w:rsid w:val="4AF85313"/>
    <w:rsid w:val="4B1E5073"/>
    <w:rsid w:val="4B502367"/>
    <w:rsid w:val="4B51085D"/>
    <w:rsid w:val="4B5F335A"/>
    <w:rsid w:val="4B9F6E4A"/>
    <w:rsid w:val="4BB718E3"/>
    <w:rsid w:val="4BB97E25"/>
    <w:rsid w:val="4BC7595C"/>
    <w:rsid w:val="4BF203EA"/>
    <w:rsid w:val="4C3434D6"/>
    <w:rsid w:val="4C343A36"/>
    <w:rsid w:val="4C4A0649"/>
    <w:rsid w:val="4C582666"/>
    <w:rsid w:val="4C7D362F"/>
    <w:rsid w:val="4C7F4A24"/>
    <w:rsid w:val="4C912C37"/>
    <w:rsid w:val="4CA40397"/>
    <w:rsid w:val="4CAA6C34"/>
    <w:rsid w:val="4CAC5CC3"/>
    <w:rsid w:val="4CE470D3"/>
    <w:rsid w:val="4CF03E01"/>
    <w:rsid w:val="4D0006FD"/>
    <w:rsid w:val="4D216835"/>
    <w:rsid w:val="4D35008D"/>
    <w:rsid w:val="4D477799"/>
    <w:rsid w:val="4D844549"/>
    <w:rsid w:val="4DB56DF9"/>
    <w:rsid w:val="4DBD7A5B"/>
    <w:rsid w:val="4DEC4FB0"/>
    <w:rsid w:val="4E023D7D"/>
    <w:rsid w:val="4E075D8A"/>
    <w:rsid w:val="4E2146FA"/>
    <w:rsid w:val="4E3F66C2"/>
    <w:rsid w:val="4E66332D"/>
    <w:rsid w:val="4E702CEE"/>
    <w:rsid w:val="4E720846"/>
    <w:rsid w:val="4E7735C7"/>
    <w:rsid w:val="4E7740AE"/>
    <w:rsid w:val="4E7A01FB"/>
    <w:rsid w:val="4F0A0D01"/>
    <w:rsid w:val="4F1D2EA8"/>
    <w:rsid w:val="4F4E175A"/>
    <w:rsid w:val="4F823DD9"/>
    <w:rsid w:val="4FC62A8C"/>
    <w:rsid w:val="4FCC21D8"/>
    <w:rsid w:val="4FE20F0D"/>
    <w:rsid w:val="4FFA6D45"/>
    <w:rsid w:val="500C58F6"/>
    <w:rsid w:val="5023629C"/>
    <w:rsid w:val="50504C4B"/>
    <w:rsid w:val="50955F76"/>
    <w:rsid w:val="509C6E7C"/>
    <w:rsid w:val="50B51188"/>
    <w:rsid w:val="50BC7085"/>
    <w:rsid w:val="50C66732"/>
    <w:rsid w:val="50D146CF"/>
    <w:rsid w:val="50FA0EA6"/>
    <w:rsid w:val="51071A2A"/>
    <w:rsid w:val="512D51C5"/>
    <w:rsid w:val="51394A0A"/>
    <w:rsid w:val="514209A3"/>
    <w:rsid w:val="514B3CFC"/>
    <w:rsid w:val="5162104E"/>
    <w:rsid w:val="516C46AD"/>
    <w:rsid w:val="516E106E"/>
    <w:rsid w:val="516E231F"/>
    <w:rsid w:val="51893F87"/>
    <w:rsid w:val="51A045F7"/>
    <w:rsid w:val="51B11230"/>
    <w:rsid w:val="51D5415B"/>
    <w:rsid w:val="51D666DC"/>
    <w:rsid w:val="51D73D40"/>
    <w:rsid w:val="520C617A"/>
    <w:rsid w:val="524904A8"/>
    <w:rsid w:val="526E7BB5"/>
    <w:rsid w:val="5277467D"/>
    <w:rsid w:val="528F7C18"/>
    <w:rsid w:val="52A216AC"/>
    <w:rsid w:val="52A31916"/>
    <w:rsid w:val="53316F22"/>
    <w:rsid w:val="5337169E"/>
    <w:rsid w:val="533D3F4E"/>
    <w:rsid w:val="5344505C"/>
    <w:rsid w:val="53642E53"/>
    <w:rsid w:val="53A039CC"/>
    <w:rsid w:val="53A1505A"/>
    <w:rsid w:val="53C127F5"/>
    <w:rsid w:val="53D13D3A"/>
    <w:rsid w:val="53EE2611"/>
    <w:rsid w:val="540462C3"/>
    <w:rsid w:val="54063E08"/>
    <w:rsid w:val="540707CF"/>
    <w:rsid w:val="542532B7"/>
    <w:rsid w:val="543064A7"/>
    <w:rsid w:val="543437E8"/>
    <w:rsid w:val="54463C22"/>
    <w:rsid w:val="54863837"/>
    <w:rsid w:val="54AB6C41"/>
    <w:rsid w:val="54E7585C"/>
    <w:rsid w:val="54F777DA"/>
    <w:rsid w:val="55311B7F"/>
    <w:rsid w:val="556A618B"/>
    <w:rsid w:val="55785749"/>
    <w:rsid w:val="559B174B"/>
    <w:rsid w:val="55CA01B2"/>
    <w:rsid w:val="55CE0CF4"/>
    <w:rsid w:val="55D1633A"/>
    <w:rsid w:val="56216E32"/>
    <w:rsid w:val="562B40AB"/>
    <w:rsid w:val="56372AA1"/>
    <w:rsid w:val="563D4740"/>
    <w:rsid w:val="56426FAB"/>
    <w:rsid w:val="564C2D63"/>
    <w:rsid w:val="56752C70"/>
    <w:rsid w:val="567F1D52"/>
    <w:rsid w:val="56817600"/>
    <w:rsid w:val="56B22A9C"/>
    <w:rsid w:val="570A325B"/>
    <w:rsid w:val="57244914"/>
    <w:rsid w:val="57413855"/>
    <w:rsid w:val="576D3AE3"/>
    <w:rsid w:val="578D16E6"/>
    <w:rsid w:val="5794182D"/>
    <w:rsid w:val="579A1556"/>
    <w:rsid w:val="57AF3A2D"/>
    <w:rsid w:val="57B72A76"/>
    <w:rsid w:val="57C132F7"/>
    <w:rsid w:val="57F74B16"/>
    <w:rsid w:val="580229E5"/>
    <w:rsid w:val="58CD149A"/>
    <w:rsid w:val="58DC5713"/>
    <w:rsid w:val="58DC79C9"/>
    <w:rsid w:val="58DF11CE"/>
    <w:rsid w:val="58F72073"/>
    <w:rsid w:val="59127A0C"/>
    <w:rsid w:val="592508DC"/>
    <w:rsid w:val="59255664"/>
    <w:rsid w:val="59264BC4"/>
    <w:rsid w:val="59E3084A"/>
    <w:rsid w:val="5A0709C0"/>
    <w:rsid w:val="5A193AD7"/>
    <w:rsid w:val="5A3C747D"/>
    <w:rsid w:val="5A7A29E2"/>
    <w:rsid w:val="5A975C70"/>
    <w:rsid w:val="5ABE2233"/>
    <w:rsid w:val="5AF30F60"/>
    <w:rsid w:val="5AF326CD"/>
    <w:rsid w:val="5B276D18"/>
    <w:rsid w:val="5B2B1989"/>
    <w:rsid w:val="5B675CD6"/>
    <w:rsid w:val="5B9A056E"/>
    <w:rsid w:val="5BAF1E2C"/>
    <w:rsid w:val="5BD72670"/>
    <w:rsid w:val="5BDF5D95"/>
    <w:rsid w:val="5BEC7506"/>
    <w:rsid w:val="5BED16CF"/>
    <w:rsid w:val="5C093E95"/>
    <w:rsid w:val="5C1823D6"/>
    <w:rsid w:val="5C3F4001"/>
    <w:rsid w:val="5CA62B25"/>
    <w:rsid w:val="5CBE15E7"/>
    <w:rsid w:val="5CCC1072"/>
    <w:rsid w:val="5CFA40DB"/>
    <w:rsid w:val="5D0B5ED2"/>
    <w:rsid w:val="5D170190"/>
    <w:rsid w:val="5D3031BF"/>
    <w:rsid w:val="5D396B9B"/>
    <w:rsid w:val="5D4F626D"/>
    <w:rsid w:val="5D563A15"/>
    <w:rsid w:val="5DD44371"/>
    <w:rsid w:val="5DE2505B"/>
    <w:rsid w:val="5DE36787"/>
    <w:rsid w:val="5DF87A0F"/>
    <w:rsid w:val="5E042D95"/>
    <w:rsid w:val="5E083939"/>
    <w:rsid w:val="5E1044C3"/>
    <w:rsid w:val="5E24657F"/>
    <w:rsid w:val="5E2B2B6A"/>
    <w:rsid w:val="5E40626B"/>
    <w:rsid w:val="5E652C1C"/>
    <w:rsid w:val="5EA60100"/>
    <w:rsid w:val="5EE70DDC"/>
    <w:rsid w:val="5EEA2DFC"/>
    <w:rsid w:val="5F0C5D20"/>
    <w:rsid w:val="5F1A2B43"/>
    <w:rsid w:val="5F1D6A45"/>
    <w:rsid w:val="5F4571B2"/>
    <w:rsid w:val="5F4B1DFD"/>
    <w:rsid w:val="5F724B4A"/>
    <w:rsid w:val="5FAF1CA3"/>
    <w:rsid w:val="5FB837BB"/>
    <w:rsid w:val="5FC042F3"/>
    <w:rsid w:val="5FCA5312"/>
    <w:rsid w:val="602E193A"/>
    <w:rsid w:val="60637D88"/>
    <w:rsid w:val="608D07D3"/>
    <w:rsid w:val="609D38A8"/>
    <w:rsid w:val="610A5A0A"/>
    <w:rsid w:val="61363955"/>
    <w:rsid w:val="61481242"/>
    <w:rsid w:val="614D4D6A"/>
    <w:rsid w:val="6166529A"/>
    <w:rsid w:val="616E49ED"/>
    <w:rsid w:val="616F43BF"/>
    <w:rsid w:val="61A05ADF"/>
    <w:rsid w:val="61BB51FD"/>
    <w:rsid w:val="61BC206B"/>
    <w:rsid w:val="61BF1FC4"/>
    <w:rsid w:val="620A3F0C"/>
    <w:rsid w:val="622E70A1"/>
    <w:rsid w:val="62364782"/>
    <w:rsid w:val="623D383E"/>
    <w:rsid w:val="623F6F9A"/>
    <w:rsid w:val="6277147B"/>
    <w:rsid w:val="628059D5"/>
    <w:rsid w:val="628C63BA"/>
    <w:rsid w:val="62A6057B"/>
    <w:rsid w:val="62C6230E"/>
    <w:rsid w:val="62D81F14"/>
    <w:rsid w:val="62E77A74"/>
    <w:rsid w:val="630263D7"/>
    <w:rsid w:val="631D2A4C"/>
    <w:rsid w:val="63240F67"/>
    <w:rsid w:val="63275050"/>
    <w:rsid w:val="632D5794"/>
    <w:rsid w:val="63661917"/>
    <w:rsid w:val="638A3ADA"/>
    <w:rsid w:val="63B31717"/>
    <w:rsid w:val="63D40BE9"/>
    <w:rsid w:val="63E0211F"/>
    <w:rsid w:val="64103A36"/>
    <w:rsid w:val="64124205"/>
    <w:rsid w:val="642E6B65"/>
    <w:rsid w:val="648C2404"/>
    <w:rsid w:val="64C85A75"/>
    <w:rsid w:val="64C96996"/>
    <w:rsid w:val="64E32914"/>
    <w:rsid w:val="64EB2AC4"/>
    <w:rsid w:val="6502427A"/>
    <w:rsid w:val="65261C89"/>
    <w:rsid w:val="652A4208"/>
    <w:rsid w:val="6535464F"/>
    <w:rsid w:val="65373578"/>
    <w:rsid w:val="654F4FE5"/>
    <w:rsid w:val="65904F54"/>
    <w:rsid w:val="65BB10E4"/>
    <w:rsid w:val="65C502FA"/>
    <w:rsid w:val="65F8742B"/>
    <w:rsid w:val="65FE0FE0"/>
    <w:rsid w:val="66326F9C"/>
    <w:rsid w:val="66490F12"/>
    <w:rsid w:val="665948F7"/>
    <w:rsid w:val="66915BCA"/>
    <w:rsid w:val="66AE2B5D"/>
    <w:rsid w:val="66B96B1F"/>
    <w:rsid w:val="66BF3010"/>
    <w:rsid w:val="66C70B33"/>
    <w:rsid w:val="66EA1469"/>
    <w:rsid w:val="673F2C7A"/>
    <w:rsid w:val="6747066A"/>
    <w:rsid w:val="67B20BAC"/>
    <w:rsid w:val="67BA3A6B"/>
    <w:rsid w:val="680B0496"/>
    <w:rsid w:val="68120A4B"/>
    <w:rsid w:val="681E0008"/>
    <w:rsid w:val="681F6961"/>
    <w:rsid w:val="683F3A37"/>
    <w:rsid w:val="68610A2F"/>
    <w:rsid w:val="687731D1"/>
    <w:rsid w:val="68805514"/>
    <w:rsid w:val="68946CB0"/>
    <w:rsid w:val="694E2071"/>
    <w:rsid w:val="696560A1"/>
    <w:rsid w:val="697A3B33"/>
    <w:rsid w:val="69842CB6"/>
    <w:rsid w:val="699E2456"/>
    <w:rsid w:val="69A93106"/>
    <w:rsid w:val="69D83FB9"/>
    <w:rsid w:val="69DF4B8A"/>
    <w:rsid w:val="6A2922A9"/>
    <w:rsid w:val="6A312BA9"/>
    <w:rsid w:val="6A492BFA"/>
    <w:rsid w:val="6A7306CA"/>
    <w:rsid w:val="6A88688D"/>
    <w:rsid w:val="6AE12B83"/>
    <w:rsid w:val="6B040620"/>
    <w:rsid w:val="6B2525D8"/>
    <w:rsid w:val="6B322639"/>
    <w:rsid w:val="6B32716F"/>
    <w:rsid w:val="6B7632CC"/>
    <w:rsid w:val="6B8E63FE"/>
    <w:rsid w:val="6B9A26D1"/>
    <w:rsid w:val="6BA437DF"/>
    <w:rsid w:val="6BFC7286"/>
    <w:rsid w:val="6C200D66"/>
    <w:rsid w:val="6C4E327A"/>
    <w:rsid w:val="6C6038DF"/>
    <w:rsid w:val="6C636C38"/>
    <w:rsid w:val="6C823EF2"/>
    <w:rsid w:val="6CB12C24"/>
    <w:rsid w:val="6CD86744"/>
    <w:rsid w:val="6CF13047"/>
    <w:rsid w:val="6D290BDD"/>
    <w:rsid w:val="6D6A59D6"/>
    <w:rsid w:val="6D707F53"/>
    <w:rsid w:val="6D711757"/>
    <w:rsid w:val="6D762FCE"/>
    <w:rsid w:val="6D7D64CF"/>
    <w:rsid w:val="6DB34098"/>
    <w:rsid w:val="6DB545B6"/>
    <w:rsid w:val="6DC27F7A"/>
    <w:rsid w:val="6DF10F35"/>
    <w:rsid w:val="6DF5610C"/>
    <w:rsid w:val="6E1C599D"/>
    <w:rsid w:val="6E4375A0"/>
    <w:rsid w:val="6E472A13"/>
    <w:rsid w:val="6E514CED"/>
    <w:rsid w:val="6E55366C"/>
    <w:rsid w:val="6E7449D1"/>
    <w:rsid w:val="6E79491A"/>
    <w:rsid w:val="6EB563D5"/>
    <w:rsid w:val="6ECD58F9"/>
    <w:rsid w:val="6EEC3FE5"/>
    <w:rsid w:val="6F013D03"/>
    <w:rsid w:val="6F225983"/>
    <w:rsid w:val="6F3978B7"/>
    <w:rsid w:val="6F467459"/>
    <w:rsid w:val="6F5157A5"/>
    <w:rsid w:val="6F5A1CBD"/>
    <w:rsid w:val="6F847106"/>
    <w:rsid w:val="6F8D5088"/>
    <w:rsid w:val="6F8E2B96"/>
    <w:rsid w:val="6FA56875"/>
    <w:rsid w:val="6FB24AEE"/>
    <w:rsid w:val="6FD81756"/>
    <w:rsid w:val="6FF0468F"/>
    <w:rsid w:val="6FFC5590"/>
    <w:rsid w:val="702948C2"/>
    <w:rsid w:val="70301DA3"/>
    <w:rsid w:val="70313F1E"/>
    <w:rsid w:val="706D1DD0"/>
    <w:rsid w:val="707A560C"/>
    <w:rsid w:val="70856B87"/>
    <w:rsid w:val="70D527EE"/>
    <w:rsid w:val="70F7553D"/>
    <w:rsid w:val="71382F61"/>
    <w:rsid w:val="713C2C62"/>
    <w:rsid w:val="715B5300"/>
    <w:rsid w:val="715F4BD7"/>
    <w:rsid w:val="71866CC4"/>
    <w:rsid w:val="71A87F57"/>
    <w:rsid w:val="71C47513"/>
    <w:rsid w:val="71D27F8A"/>
    <w:rsid w:val="71F41601"/>
    <w:rsid w:val="71F744C6"/>
    <w:rsid w:val="71F960CF"/>
    <w:rsid w:val="71FE634A"/>
    <w:rsid w:val="726E4910"/>
    <w:rsid w:val="727F33AE"/>
    <w:rsid w:val="729E0D6B"/>
    <w:rsid w:val="72A6661E"/>
    <w:rsid w:val="72B73A52"/>
    <w:rsid w:val="72D60AF4"/>
    <w:rsid w:val="72E2406D"/>
    <w:rsid w:val="72F378F8"/>
    <w:rsid w:val="731F5D5E"/>
    <w:rsid w:val="73426189"/>
    <w:rsid w:val="73645AF2"/>
    <w:rsid w:val="739803CF"/>
    <w:rsid w:val="73A330CC"/>
    <w:rsid w:val="73EC5B71"/>
    <w:rsid w:val="73F404FA"/>
    <w:rsid w:val="741E793C"/>
    <w:rsid w:val="74382034"/>
    <w:rsid w:val="7487479C"/>
    <w:rsid w:val="748A4EA4"/>
    <w:rsid w:val="748D4F7E"/>
    <w:rsid w:val="74A34824"/>
    <w:rsid w:val="74A41328"/>
    <w:rsid w:val="74BA691F"/>
    <w:rsid w:val="74DB0643"/>
    <w:rsid w:val="752B5A68"/>
    <w:rsid w:val="754A3B4F"/>
    <w:rsid w:val="758D75E2"/>
    <w:rsid w:val="759078B1"/>
    <w:rsid w:val="75923838"/>
    <w:rsid w:val="75A26FC8"/>
    <w:rsid w:val="75E07259"/>
    <w:rsid w:val="75F75DC3"/>
    <w:rsid w:val="760A52B5"/>
    <w:rsid w:val="76193DF8"/>
    <w:rsid w:val="76222305"/>
    <w:rsid w:val="766820C9"/>
    <w:rsid w:val="76685904"/>
    <w:rsid w:val="76CA19F2"/>
    <w:rsid w:val="76CF22A0"/>
    <w:rsid w:val="76DD4B47"/>
    <w:rsid w:val="7711033E"/>
    <w:rsid w:val="77122657"/>
    <w:rsid w:val="77214566"/>
    <w:rsid w:val="77762421"/>
    <w:rsid w:val="77764653"/>
    <w:rsid w:val="77A56C97"/>
    <w:rsid w:val="77B6094B"/>
    <w:rsid w:val="77BD468F"/>
    <w:rsid w:val="77C47499"/>
    <w:rsid w:val="77D32CD4"/>
    <w:rsid w:val="77F13E57"/>
    <w:rsid w:val="77FA5285"/>
    <w:rsid w:val="77FC1658"/>
    <w:rsid w:val="780F09F4"/>
    <w:rsid w:val="781F1403"/>
    <w:rsid w:val="782D11B6"/>
    <w:rsid w:val="789C4F47"/>
    <w:rsid w:val="78A90480"/>
    <w:rsid w:val="78EA6CAB"/>
    <w:rsid w:val="792C4115"/>
    <w:rsid w:val="79363655"/>
    <w:rsid w:val="79400AC2"/>
    <w:rsid w:val="795A247F"/>
    <w:rsid w:val="79666F02"/>
    <w:rsid w:val="79757C02"/>
    <w:rsid w:val="79811327"/>
    <w:rsid w:val="79D34F95"/>
    <w:rsid w:val="79EF459A"/>
    <w:rsid w:val="79FD47FB"/>
    <w:rsid w:val="7A093CEA"/>
    <w:rsid w:val="7A0C3808"/>
    <w:rsid w:val="7A364017"/>
    <w:rsid w:val="7A4F0CCF"/>
    <w:rsid w:val="7A513544"/>
    <w:rsid w:val="7A73680B"/>
    <w:rsid w:val="7A8265E1"/>
    <w:rsid w:val="7A973537"/>
    <w:rsid w:val="7A98684E"/>
    <w:rsid w:val="7AC4424E"/>
    <w:rsid w:val="7ACA7E28"/>
    <w:rsid w:val="7ACE6409"/>
    <w:rsid w:val="7AFD05C2"/>
    <w:rsid w:val="7B0C77A9"/>
    <w:rsid w:val="7B195978"/>
    <w:rsid w:val="7B197C05"/>
    <w:rsid w:val="7B6628DB"/>
    <w:rsid w:val="7B686D42"/>
    <w:rsid w:val="7B841746"/>
    <w:rsid w:val="7B890DF9"/>
    <w:rsid w:val="7B92484A"/>
    <w:rsid w:val="7BA23C69"/>
    <w:rsid w:val="7BBA1B9F"/>
    <w:rsid w:val="7BD865C1"/>
    <w:rsid w:val="7BE1477E"/>
    <w:rsid w:val="7BF37BB5"/>
    <w:rsid w:val="7BFD5343"/>
    <w:rsid w:val="7C8168A2"/>
    <w:rsid w:val="7C99506C"/>
    <w:rsid w:val="7D0239FF"/>
    <w:rsid w:val="7D103C29"/>
    <w:rsid w:val="7D11554A"/>
    <w:rsid w:val="7D4066EB"/>
    <w:rsid w:val="7D5E40CD"/>
    <w:rsid w:val="7D61358E"/>
    <w:rsid w:val="7D693BED"/>
    <w:rsid w:val="7D6E4856"/>
    <w:rsid w:val="7D8819B8"/>
    <w:rsid w:val="7D926908"/>
    <w:rsid w:val="7D962B26"/>
    <w:rsid w:val="7D993050"/>
    <w:rsid w:val="7DDF11A4"/>
    <w:rsid w:val="7DE56F3A"/>
    <w:rsid w:val="7DEB18F7"/>
    <w:rsid w:val="7EB56E8F"/>
    <w:rsid w:val="7ED50D87"/>
    <w:rsid w:val="7F6C4A48"/>
    <w:rsid w:val="7F7D0C75"/>
    <w:rsid w:val="7F8F005C"/>
    <w:rsid w:val="7FA04963"/>
    <w:rsid w:val="7FE47E50"/>
    <w:rsid w:val="7FE74B3D"/>
    <w:rsid w:val="7FF16F6D"/>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iPriority="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qFormat="1" w:unhideWhenUsed="0" w:uiPriority="0" w:semiHidden="0" w:name="Salutation"/>
    <w:lsdException w:qFormat="1" w:unhideWhenUsed="0" w:uiPriority="0" w:semiHidden="0" w:name="Date"/>
    <w:lsdException w:qFormat="1" w:unhideWhenUsed="0" w:uiPriority="99"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5"/>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2"/>
    <w:next w:val="1"/>
    <w:link w:val="36"/>
    <w:qFormat/>
    <w:locked/>
    <w:uiPriority w:val="0"/>
    <w:pPr>
      <w:keepNext/>
      <w:keepLines/>
      <w:spacing w:before="20" w:after="20" w:line="416" w:lineRule="auto"/>
      <w:ind w:left="431" w:hanging="431"/>
      <w:jc w:val="center"/>
      <w:outlineLvl w:val="1"/>
    </w:pPr>
    <w:rPr>
      <w:rFonts w:ascii="Cambria" w:hAnsi="Cambria" w:eastAsia="宋体"/>
      <w:sz w:val="21"/>
      <w:szCs w:val="32"/>
    </w:rPr>
  </w:style>
  <w:style w:type="paragraph" w:styleId="4">
    <w:name w:val="heading 3"/>
    <w:basedOn w:val="1"/>
    <w:next w:val="1"/>
    <w:link w:val="37"/>
    <w:qFormat/>
    <w:locked/>
    <w:uiPriority w:val="0"/>
    <w:pPr>
      <w:keepNext/>
      <w:keepLines/>
      <w:spacing w:before="260" w:after="260" w:line="416" w:lineRule="auto"/>
      <w:outlineLvl w:val="2"/>
    </w:pPr>
    <w:rPr>
      <w:b/>
      <w:bCs/>
      <w:sz w:val="32"/>
      <w:szCs w:val="32"/>
    </w:rPr>
  </w:style>
  <w:style w:type="paragraph" w:styleId="5">
    <w:name w:val="heading 5"/>
    <w:basedOn w:val="1"/>
    <w:next w:val="1"/>
    <w:qFormat/>
    <w:locked/>
    <w:uiPriority w:val="0"/>
    <w:pPr>
      <w:keepNext/>
      <w:tabs>
        <w:tab w:val="left" w:pos="360"/>
        <w:tab w:val="left" w:pos="1080"/>
      </w:tabs>
      <w:spacing w:line="480" w:lineRule="exact"/>
      <w:ind w:firstLine="60"/>
      <w:outlineLvl w:val="4"/>
    </w:pPr>
    <w:rPr>
      <w:rFonts w:ascii="宋体" w:hAnsi="宋体" w:eastAsia="宋体"/>
      <w:kern w:val="2"/>
      <w:sz w:val="28"/>
      <w:lang w:val="en-US" w:eastAsia="zh-CN" w:bidi="ar-SA"/>
    </w:rPr>
  </w:style>
  <w:style w:type="character" w:default="1" w:styleId="28">
    <w:name w:val="Default Paragraph Font"/>
    <w:semiHidden/>
    <w:qFormat/>
    <w:uiPriority w:val="0"/>
  </w:style>
  <w:style w:type="table" w:default="1" w:styleId="25">
    <w:name w:val="Normal Table"/>
    <w:semiHidden/>
    <w:qFormat/>
    <w:uiPriority w:val="0"/>
    <w:tblPr>
      <w:tblCellMar>
        <w:top w:w="0" w:type="dxa"/>
        <w:left w:w="108" w:type="dxa"/>
        <w:bottom w:w="0" w:type="dxa"/>
        <w:right w:w="108" w:type="dxa"/>
      </w:tblCellMar>
    </w:tblPr>
  </w:style>
  <w:style w:type="paragraph" w:styleId="6">
    <w:name w:val="table of authorities"/>
    <w:basedOn w:val="1"/>
    <w:next w:val="1"/>
    <w:qFormat/>
    <w:uiPriority w:val="0"/>
    <w:pPr>
      <w:ind w:left="420" w:leftChars="200"/>
    </w:pPr>
  </w:style>
  <w:style w:type="paragraph" w:styleId="7">
    <w:name w:val="Normal Indent"/>
    <w:basedOn w:val="1"/>
    <w:qFormat/>
    <w:uiPriority w:val="0"/>
    <w:pPr>
      <w:ind w:firstLine="420" w:firstLineChars="200"/>
    </w:pPr>
  </w:style>
  <w:style w:type="paragraph" w:styleId="8">
    <w:name w:val="annotation text"/>
    <w:basedOn w:val="1"/>
    <w:link w:val="38"/>
    <w:qFormat/>
    <w:uiPriority w:val="0"/>
    <w:pPr>
      <w:jc w:val="left"/>
    </w:pPr>
    <w:rPr>
      <w:kern w:val="0"/>
      <w:sz w:val="24"/>
      <w:szCs w:val="20"/>
    </w:rPr>
  </w:style>
  <w:style w:type="paragraph" w:styleId="9">
    <w:name w:val="Salutation"/>
    <w:basedOn w:val="1"/>
    <w:next w:val="1"/>
    <w:qFormat/>
    <w:uiPriority w:val="0"/>
  </w:style>
  <w:style w:type="paragraph" w:styleId="10">
    <w:name w:val="Body Text"/>
    <w:basedOn w:val="1"/>
    <w:link w:val="39"/>
    <w:qFormat/>
    <w:uiPriority w:val="99"/>
    <w:pPr>
      <w:widowControl/>
      <w:snapToGrid w:val="0"/>
      <w:spacing w:before="60" w:after="160" w:line="259" w:lineRule="auto"/>
      <w:ind w:right="113"/>
    </w:pPr>
    <w:rPr>
      <w:kern w:val="0"/>
      <w:sz w:val="18"/>
      <w:szCs w:val="20"/>
    </w:rPr>
  </w:style>
  <w:style w:type="paragraph" w:styleId="11">
    <w:name w:val="Body Text Indent"/>
    <w:basedOn w:val="1"/>
    <w:link w:val="40"/>
    <w:semiHidden/>
    <w:qFormat/>
    <w:uiPriority w:val="0"/>
    <w:pPr>
      <w:spacing w:after="120"/>
      <w:ind w:left="420" w:leftChars="200"/>
    </w:pPr>
  </w:style>
  <w:style w:type="paragraph" w:styleId="12">
    <w:name w:val="toc 3"/>
    <w:basedOn w:val="1"/>
    <w:next w:val="1"/>
    <w:qFormat/>
    <w:locked/>
    <w:uiPriority w:val="39"/>
    <w:pPr>
      <w:ind w:left="840" w:leftChars="400"/>
    </w:pPr>
  </w:style>
  <w:style w:type="paragraph" w:styleId="13">
    <w:name w:val="Plain Text"/>
    <w:basedOn w:val="1"/>
    <w:next w:val="9"/>
    <w:link w:val="41"/>
    <w:qFormat/>
    <w:uiPriority w:val="99"/>
    <w:rPr>
      <w:rFonts w:ascii="宋体" w:hAnsi="Courier New"/>
      <w:kern w:val="0"/>
      <w:sz w:val="20"/>
      <w:szCs w:val="21"/>
    </w:rPr>
  </w:style>
  <w:style w:type="paragraph" w:styleId="14">
    <w:name w:val="Date"/>
    <w:basedOn w:val="1"/>
    <w:next w:val="1"/>
    <w:link w:val="42"/>
    <w:qFormat/>
    <w:uiPriority w:val="0"/>
    <w:pPr>
      <w:ind w:left="100" w:leftChars="2500"/>
    </w:pPr>
    <w:rPr>
      <w:kern w:val="0"/>
      <w:sz w:val="24"/>
      <w:szCs w:val="20"/>
    </w:rPr>
  </w:style>
  <w:style w:type="paragraph" w:styleId="15">
    <w:name w:val="Balloon Text"/>
    <w:basedOn w:val="1"/>
    <w:link w:val="43"/>
    <w:semiHidden/>
    <w:qFormat/>
    <w:uiPriority w:val="0"/>
    <w:rPr>
      <w:sz w:val="18"/>
      <w:szCs w:val="18"/>
    </w:rPr>
  </w:style>
  <w:style w:type="paragraph" w:styleId="16">
    <w:name w:val="footer"/>
    <w:basedOn w:val="1"/>
    <w:next w:val="13"/>
    <w:link w:val="44"/>
    <w:qFormat/>
    <w:uiPriority w:val="99"/>
    <w:pPr>
      <w:tabs>
        <w:tab w:val="center" w:pos="4153"/>
        <w:tab w:val="right" w:pos="8306"/>
      </w:tabs>
      <w:snapToGrid w:val="0"/>
      <w:jc w:val="left"/>
    </w:pPr>
    <w:rPr>
      <w:sz w:val="18"/>
      <w:szCs w:val="18"/>
    </w:rPr>
  </w:style>
  <w:style w:type="paragraph" w:styleId="17">
    <w:name w:val="header"/>
    <w:basedOn w:val="1"/>
    <w:link w:val="45"/>
    <w:qFormat/>
    <w:uiPriority w:val="0"/>
    <w:pPr>
      <w:pBdr>
        <w:bottom w:val="single" w:color="auto" w:sz="6" w:space="1"/>
      </w:pBdr>
      <w:tabs>
        <w:tab w:val="center" w:pos="4153"/>
        <w:tab w:val="right" w:pos="8306"/>
      </w:tabs>
      <w:snapToGrid w:val="0"/>
      <w:jc w:val="center"/>
    </w:pPr>
    <w:rPr>
      <w:sz w:val="18"/>
      <w:szCs w:val="18"/>
    </w:rPr>
  </w:style>
  <w:style w:type="paragraph" w:styleId="18">
    <w:name w:val="toc 1"/>
    <w:basedOn w:val="1"/>
    <w:next w:val="1"/>
    <w:qFormat/>
    <w:locked/>
    <w:uiPriority w:val="39"/>
  </w:style>
  <w:style w:type="paragraph" w:styleId="19">
    <w:name w:val="List"/>
    <w:basedOn w:val="1"/>
    <w:qFormat/>
    <w:uiPriority w:val="0"/>
    <w:pPr>
      <w:adjustRightInd/>
      <w:snapToGrid/>
      <w:spacing w:line="240" w:lineRule="auto"/>
      <w:ind w:left="200" w:hanging="200" w:hangingChars="200"/>
    </w:pPr>
    <w:rPr>
      <w:kern w:val="0"/>
      <w:szCs w:val="20"/>
    </w:rPr>
  </w:style>
  <w:style w:type="paragraph" w:styleId="20">
    <w:name w:val="toc 2"/>
    <w:basedOn w:val="1"/>
    <w:next w:val="1"/>
    <w:qFormat/>
    <w:locked/>
    <w:uiPriority w:val="39"/>
    <w:pPr>
      <w:ind w:left="420" w:leftChars="200"/>
    </w:pPr>
  </w:style>
  <w:style w:type="paragraph" w:styleId="21">
    <w:name w:val="Body Text 2"/>
    <w:basedOn w:val="1"/>
    <w:link w:val="46"/>
    <w:qFormat/>
    <w:uiPriority w:val="0"/>
    <w:pPr>
      <w:spacing w:after="120" w:line="480" w:lineRule="auto"/>
    </w:pPr>
  </w:style>
  <w:style w:type="paragraph" w:styleId="22">
    <w:name w:val="Normal (Web)"/>
    <w:basedOn w:val="1"/>
    <w:link w:val="47"/>
    <w:qFormat/>
    <w:uiPriority w:val="0"/>
    <w:pPr>
      <w:widowControl/>
      <w:spacing w:before="100" w:beforeAutospacing="1" w:after="100" w:afterAutospacing="1"/>
      <w:jc w:val="left"/>
    </w:pPr>
    <w:rPr>
      <w:rFonts w:ascii="宋体" w:hAnsi="宋体"/>
      <w:kern w:val="0"/>
      <w:sz w:val="24"/>
      <w:szCs w:val="20"/>
    </w:rPr>
  </w:style>
  <w:style w:type="paragraph" w:styleId="23">
    <w:name w:val="annotation subject"/>
    <w:basedOn w:val="8"/>
    <w:next w:val="8"/>
    <w:link w:val="48"/>
    <w:semiHidden/>
    <w:qFormat/>
    <w:uiPriority w:val="0"/>
    <w:rPr>
      <w:b/>
      <w:bCs/>
    </w:rPr>
  </w:style>
  <w:style w:type="paragraph" w:styleId="24">
    <w:name w:val="Body Text First Indent"/>
    <w:basedOn w:val="10"/>
    <w:next w:val="1"/>
    <w:link w:val="49"/>
    <w:qFormat/>
    <w:uiPriority w:val="99"/>
    <w:pPr>
      <w:widowControl w:val="0"/>
      <w:snapToGrid/>
      <w:spacing w:before="0" w:after="120" w:line="240" w:lineRule="auto"/>
      <w:ind w:right="0" w:firstLine="420" w:firstLineChars="100"/>
    </w:pPr>
    <w:rPr>
      <w:kern w:val="2"/>
      <w:sz w:val="21"/>
      <w:szCs w:val="24"/>
    </w:rPr>
  </w:style>
  <w:style w:type="table" w:styleId="26">
    <w:name w:val="Table Grid"/>
    <w:basedOn w:val="25"/>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7">
    <w:name w:val="Table Theme"/>
    <w:basedOn w:val="25"/>
    <w:qFormat/>
    <w:uiPriority w:val="0"/>
    <w:pPr>
      <w:widowControl w:val="0"/>
      <w:adjustRightInd w:val="0"/>
      <w:snapToGrid w:val="0"/>
      <w:jc w:val="both"/>
    </w:pPr>
    <w:tblPr>
      <w:jc w:val="center"/>
      <w:tblBorders>
        <w:top w:val="single" w:color="auto" w:sz="12" w:space="0"/>
        <w:bottom w:val="single" w:color="auto" w:sz="12" w:space="0"/>
        <w:insideH w:val="single" w:color="auto" w:sz="4" w:space="0"/>
        <w:insideV w:val="single" w:color="auto" w:sz="4" w:space="0"/>
      </w:tblBorders>
    </w:tblPr>
    <w:trPr>
      <w:jc w:val="center"/>
    </w:trPr>
  </w:style>
  <w:style w:type="character" w:styleId="29">
    <w:name w:val="Strong"/>
    <w:qFormat/>
    <w:locked/>
    <w:uiPriority w:val="0"/>
    <w:rPr>
      <w:b/>
    </w:rPr>
  </w:style>
  <w:style w:type="character" w:styleId="30">
    <w:name w:val="page number"/>
    <w:qFormat/>
    <w:uiPriority w:val="0"/>
  </w:style>
  <w:style w:type="character" w:styleId="31">
    <w:name w:val="FollowedHyperlink"/>
    <w:qFormat/>
    <w:uiPriority w:val="0"/>
    <w:rPr>
      <w:color w:val="333333"/>
      <w:u w:val="none"/>
    </w:rPr>
  </w:style>
  <w:style w:type="character" w:styleId="32">
    <w:name w:val="Hyperlink"/>
    <w:unhideWhenUsed/>
    <w:qFormat/>
    <w:uiPriority w:val="99"/>
    <w:rPr>
      <w:color w:val="333333"/>
      <w:u w:val="none"/>
    </w:rPr>
  </w:style>
  <w:style w:type="character" w:styleId="33">
    <w:name w:val="annotation reference"/>
    <w:basedOn w:val="28"/>
    <w:semiHidden/>
    <w:qFormat/>
    <w:uiPriority w:val="0"/>
    <w:rPr>
      <w:sz w:val="21"/>
    </w:rPr>
  </w:style>
  <w:style w:type="paragraph" w:customStyle="1" w:styleId="34">
    <w:name w:val="列出段落1"/>
    <w:basedOn w:val="1"/>
    <w:qFormat/>
    <w:uiPriority w:val="0"/>
    <w:pPr>
      <w:adjustRightInd/>
      <w:snapToGrid/>
      <w:spacing w:line="240" w:lineRule="auto"/>
      <w:ind w:firstLine="420"/>
    </w:pPr>
    <w:rPr>
      <w:rFonts w:ascii="宋体"/>
      <w:kern w:val="0"/>
      <w:szCs w:val="20"/>
    </w:rPr>
  </w:style>
  <w:style w:type="character" w:customStyle="1" w:styleId="35">
    <w:name w:val="标题 1 字符"/>
    <w:link w:val="2"/>
    <w:qFormat/>
    <w:uiPriority w:val="0"/>
    <w:rPr>
      <w:rFonts w:eastAsia="黑体"/>
      <w:b/>
      <w:bCs/>
      <w:color w:val="000000"/>
      <w:kern w:val="44"/>
      <w:sz w:val="30"/>
      <w:szCs w:val="30"/>
    </w:rPr>
  </w:style>
  <w:style w:type="character" w:customStyle="1" w:styleId="36">
    <w:name w:val="标题 2 字符"/>
    <w:link w:val="3"/>
    <w:qFormat/>
    <w:uiPriority w:val="0"/>
    <w:rPr>
      <w:rFonts w:ascii="Cambria" w:hAnsi="Cambria" w:eastAsia="宋体"/>
      <w:b/>
      <w:bCs/>
      <w:kern w:val="2"/>
      <w:sz w:val="21"/>
      <w:szCs w:val="32"/>
    </w:rPr>
  </w:style>
  <w:style w:type="character" w:customStyle="1" w:styleId="37">
    <w:name w:val="标题 3 字符"/>
    <w:link w:val="4"/>
    <w:qFormat/>
    <w:uiPriority w:val="0"/>
    <w:rPr>
      <w:b/>
      <w:bCs/>
      <w:kern w:val="2"/>
      <w:sz w:val="32"/>
      <w:szCs w:val="32"/>
    </w:rPr>
  </w:style>
  <w:style w:type="character" w:customStyle="1" w:styleId="38">
    <w:name w:val="批注文字 字符"/>
    <w:link w:val="8"/>
    <w:qFormat/>
    <w:locked/>
    <w:uiPriority w:val="0"/>
    <w:rPr>
      <w:rFonts w:ascii="Times New Roman" w:hAnsi="Times New Roman" w:eastAsia="宋体"/>
      <w:sz w:val="24"/>
    </w:rPr>
  </w:style>
  <w:style w:type="character" w:customStyle="1" w:styleId="39">
    <w:name w:val="正文文本 字符"/>
    <w:link w:val="10"/>
    <w:qFormat/>
    <w:locked/>
    <w:uiPriority w:val="99"/>
    <w:rPr>
      <w:sz w:val="18"/>
    </w:rPr>
  </w:style>
  <w:style w:type="character" w:customStyle="1" w:styleId="40">
    <w:name w:val="正文文本缩进 字符"/>
    <w:link w:val="11"/>
    <w:semiHidden/>
    <w:qFormat/>
    <w:locked/>
    <w:uiPriority w:val="0"/>
    <w:rPr>
      <w:rFonts w:ascii="Times New Roman" w:hAnsi="Times New Roman" w:eastAsia="宋体" w:cs="Times New Roman"/>
      <w:sz w:val="24"/>
      <w:szCs w:val="24"/>
    </w:rPr>
  </w:style>
  <w:style w:type="character" w:customStyle="1" w:styleId="41">
    <w:name w:val="纯文本 字符"/>
    <w:link w:val="13"/>
    <w:qFormat/>
    <w:uiPriority w:val="99"/>
    <w:rPr>
      <w:rFonts w:ascii="宋体" w:hAnsi="Courier New" w:cs="Courier New"/>
      <w:kern w:val="2"/>
      <w:sz w:val="21"/>
      <w:szCs w:val="21"/>
    </w:rPr>
  </w:style>
  <w:style w:type="character" w:customStyle="1" w:styleId="42">
    <w:name w:val="日期 字符1"/>
    <w:link w:val="14"/>
    <w:qFormat/>
    <w:locked/>
    <w:uiPriority w:val="0"/>
    <w:rPr>
      <w:rFonts w:ascii="Times New Roman" w:hAnsi="Times New Roman" w:eastAsia="宋体"/>
      <w:sz w:val="24"/>
    </w:rPr>
  </w:style>
  <w:style w:type="character" w:customStyle="1" w:styleId="43">
    <w:name w:val="批注框文本 字符"/>
    <w:link w:val="15"/>
    <w:semiHidden/>
    <w:qFormat/>
    <w:locked/>
    <w:uiPriority w:val="0"/>
    <w:rPr>
      <w:rFonts w:ascii="Times New Roman" w:hAnsi="Times New Roman" w:eastAsia="宋体" w:cs="Times New Roman"/>
      <w:sz w:val="18"/>
      <w:szCs w:val="18"/>
    </w:rPr>
  </w:style>
  <w:style w:type="character" w:customStyle="1" w:styleId="44">
    <w:name w:val="页脚 字符"/>
    <w:link w:val="16"/>
    <w:qFormat/>
    <w:locked/>
    <w:uiPriority w:val="99"/>
    <w:rPr>
      <w:rFonts w:cs="Times New Roman"/>
      <w:sz w:val="18"/>
      <w:szCs w:val="18"/>
    </w:rPr>
  </w:style>
  <w:style w:type="character" w:customStyle="1" w:styleId="45">
    <w:name w:val="页眉 字符"/>
    <w:link w:val="17"/>
    <w:qFormat/>
    <w:locked/>
    <w:uiPriority w:val="0"/>
    <w:rPr>
      <w:rFonts w:cs="Times New Roman"/>
      <w:sz w:val="18"/>
      <w:szCs w:val="18"/>
    </w:rPr>
  </w:style>
  <w:style w:type="character" w:customStyle="1" w:styleId="46">
    <w:name w:val="正文文本 2 字符"/>
    <w:link w:val="21"/>
    <w:qFormat/>
    <w:uiPriority w:val="0"/>
    <w:rPr>
      <w:kern w:val="2"/>
      <w:sz w:val="21"/>
      <w:szCs w:val="24"/>
    </w:rPr>
  </w:style>
  <w:style w:type="character" w:customStyle="1" w:styleId="47">
    <w:name w:val="普通(网站) 字符"/>
    <w:link w:val="22"/>
    <w:qFormat/>
    <w:locked/>
    <w:uiPriority w:val="0"/>
    <w:rPr>
      <w:rFonts w:ascii="宋体" w:hAnsi="宋体" w:eastAsia="宋体"/>
      <w:sz w:val="24"/>
    </w:rPr>
  </w:style>
  <w:style w:type="character" w:customStyle="1" w:styleId="48">
    <w:name w:val="批注主题 字符"/>
    <w:link w:val="23"/>
    <w:semiHidden/>
    <w:qFormat/>
    <w:locked/>
    <w:uiPriority w:val="0"/>
    <w:rPr>
      <w:rFonts w:cs="Times New Roman"/>
      <w:b/>
      <w:bCs/>
      <w:kern w:val="2"/>
      <w:szCs w:val="24"/>
    </w:rPr>
  </w:style>
  <w:style w:type="character" w:customStyle="1" w:styleId="49">
    <w:name w:val="正文首行缩进 字符"/>
    <w:link w:val="24"/>
    <w:qFormat/>
    <w:uiPriority w:val="0"/>
    <w:rPr>
      <w:kern w:val="2"/>
      <w:sz w:val="21"/>
      <w:szCs w:val="24"/>
    </w:rPr>
  </w:style>
  <w:style w:type="paragraph" w:customStyle="1" w:styleId="50">
    <w:name w:val="【正文】"/>
    <w:basedOn w:val="1"/>
    <w:link w:val="51"/>
    <w:qFormat/>
    <w:uiPriority w:val="0"/>
    <w:pPr>
      <w:autoSpaceDE w:val="0"/>
      <w:autoSpaceDN w:val="0"/>
      <w:adjustRightInd w:val="0"/>
      <w:snapToGrid w:val="0"/>
      <w:spacing w:line="360" w:lineRule="auto"/>
      <w:ind w:firstLine="464" w:firstLineChars="200"/>
    </w:pPr>
    <w:rPr>
      <w:kern w:val="0"/>
      <w:sz w:val="24"/>
    </w:rPr>
  </w:style>
  <w:style w:type="character" w:customStyle="1" w:styleId="51">
    <w:name w:val="【正文】 Char"/>
    <w:link w:val="50"/>
    <w:qFormat/>
    <w:uiPriority w:val="0"/>
    <w:rPr>
      <w:sz w:val="24"/>
      <w:szCs w:val="24"/>
    </w:rPr>
  </w:style>
  <w:style w:type="paragraph" w:customStyle="1" w:styleId="52">
    <w:name w:val="正文首行缩进1"/>
    <w:basedOn w:val="10"/>
    <w:next w:val="1"/>
    <w:qFormat/>
    <w:uiPriority w:val="99"/>
    <w:pPr>
      <w:widowControl w:val="0"/>
      <w:snapToGrid/>
      <w:spacing w:before="0" w:after="120" w:line="240" w:lineRule="auto"/>
      <w:ind w:right="0" w:firstLine="420" w:firstLineChars="100"/>
    </w:pPr>
    <w:rPr>
      <w:kern w:val="2"/>
      <w:sz w:val="21"/>
      <w:szCs w:val="24"/>
    </w:rPr>
  </w:style>
  <w:style w:type="character" w:customStyle="1" w:styleId="53">
    <w:name w:val="纯文本 Char1"/>
    <w:qFormat/>
    <w:uiPriority w:val="0"/>
    <w:rPr>
      <w:rFonts w:ascii="宋体" w:hAnsi="Courier New"/>
      <w:szCs w:val="21"/>
    </w:rPr>
  </w:style>
  <w:style w:type="character" w:customStyle="1" w:styleId="54">
    <w:name w:val="普通(网站) Char"/>
    <w:qFormat/>
    <w:locked/>
    <w:uiPriority w:val="0"/>
    <w:rPr>
      <w:rFonts w:ascii="宋体" w:hAnsi="宋体" w:eastAsia="宋体"/>
      <w:sz w:val="24"/>
    </w:rPr>
  </w:style>
  <w:style w:type="character" w:customStyle="1" w:styleId="55">
    <w:name w:val="正文首行缩进 Char"/>
    <w:qFormat/>
    <w:uiPriority w:val="0"/>
    <w:rPr>
      <w:kern w:val="2"/>
      <w:sz w:val="21"/>
      <w:szCs w:val="24"/>
    </w:rPr>
  </w:style>
  <w:style w:type="character" w:customStyle="1" w:styleId="56">
    <w:name w:val="Char Char Char Char Char11"/>
    <w:link w:val="57"/>
    <w:qFormat/>
    <w:locked/>
    <w:uiPriority w:val="0"/>
    <w:rPr>
      <w:kern w:val="2"/>
      <w:sz w:val="21"/>
      <w:szCs w:val="21"/>
    </w:rPr>
  </w:style>
  <w:style w:type="paragraph" w:customStyle="1" w:styleId="57">
    <w:name w:val="Char Char Char Char1"/>
    <w:basedOn w:val="1"/>
    <w:link w:val="56"/>
    <w:qFormat/>
    <w:uiPriority w:val="0"/>
    <w:pPr>
      <w:tabs>
        <w:tab w:val="left" w:pos="1080"/>
      </w:tabs>
      <w:jc w:val="left"/>
    </w:pPr>
    <w:rPr>
      <w:szCs w:val="21"/>
    </w:rPr>
  </w:style>
  <w:style w:type="character" w:customStyle="1" w:styleId="58">
    <w:name w:val="正文文本 字符1"/>
    <w:semiHidden/>
    <w:qFormat/>
    <w:uiPriority w:val="0"/>
    <w:rPr>
      <w:rFonts w:ascii="Times New Roman" w:hAnsi="Times New Roman" w:eastAsia="宋体" w:cs="Times New Roman"/>
      <w:sz w:val="24"/>
      <w:szCs w:val="24"/>
    </w:rPr>
  </w:style>
  <w:style w:type="character" w:customStyle="1" w:styleId="59">
    <w:name w:val="批注文字 字符1"/>
    <w:semiHidden/>
    <w:qFormat/>
    <w:uiPriority w:val="0"/>
    <w:rPr>
      <w:rFonts w:ascii="Times New Roman" w:hAnsi="Times New Roman" w:eastAsia="宋体" w:cs="Times New Roman"/>
      <w:sz w:val="24"/>
      <w:szCs w:val="24"/>
    </w:rPr>
  </w:style>
  <w:style w:type="character" w:customStyle="1" w:styleId="60">
    <w:name w:val="表1 Char"/>
    <w:link w:val="61"/>
    <w:qFormat/>
    <w:uiPriority w:val="0"/>
    <w:rPr>
      <w:rFonts w:eastAsia="Times New Roman"/>
      <w:lang w:val="en-US" w:eastAsia="zh-CN" w:bidi="ar-SA"/>
    </w:rPr>
  </w:style>
  <w:style w:type="paragraph" w:customStyle="1" w:styleId="61">
    <w:name w:val="表1"/>
    <w:next w:val="1"/>
    <w:link w:val="60"/>
    <w:qFormat/>
    <w:uiPriority w:val="0"/>
    <w:pPr>
      <w:adjustRightInd w:val="0"/>
      <w:snapToGrid w:val="0"/>
      <w:jc w:val="center"/>
    </w:pPr>
    <w:rPr>
      <w:rFonts w:ascii="Times New Roman" w:hAnsi="Times New Roman" w:eastAsia="Times New Roman" w:cs="Times New Roman"/>
      <w:lang w:val="en-US" w:eastAsia="zh-CN" w:bidi="ar-SA"/>
    </w:rPr>
  </w:style>
  <w:style w:type="character" w:customStyle="1" w:styleId="62">
    <w:name w:val="正文1 Char Char Char1"/>
    <w:link w:val="63"/>
    <w:qFormat/>
    <w:uiPriority w:val="0"/>
    <w:rPr>
      <w:rFonts w:eastAsia="仿宋_GB2312"/>
      <w:kern w:val="2"/>
      <w:sz w:val="30"/>
    </w:rPr>
  </w:style>
  <w:style w:type="paragraph" w:customStyle="1" w:styleId="63">
    <w:name w:val="正文1 Char Char"/>
    <w:basedOn w:val="1"/>
    <w:link w:val="62"/>
    <w:qFormat/>
    <w:uiPriority w:val="0"/>
    <w:pPr>
      <w:ind w:firstLine="200" w:firstLineChars="200"/>
    </w:pPr>
    <w:rPr>
      <w:rFonts w:eastAsia="仿宋_GB2312"/>
      <w:sz w:val="30"/>
      <w:szCs w:val="20"/>
    </w:rPr>
  </w:style>
  <w:style w:type="character" w:customStyle="1" w:styleId="64">
    <w:name w:val="报告书正文 Char"/>
    <w:link w:val="65"/>
    <w:qFormat/>
    <w:uiPriority w:val="0"/>
    <w:rPr>
      <w:rFonts w:ascii="Arial" w:hAnsi="Arial"/>
      <w:sz w:val="24"/>
      <w:szCs w:val="24"/>
    </w:rPr>
  </w:style>
  <w:style w:type="paragraph" w:customStyle="1" w:styleId="65">
    <w:name w:val="报告书正文"/>
    <w:basedOn w:val="1"/>
    <w:link w:val="64"/>
    <w:qFormat/>
    <w:uiPriority w:val="0"/>
    <w:pPr>
      <w:adjustRightInd w:val="0"/>
      <w:snapToGrid w:val="0"/>
      <w:spacing w:line="360" w:lineRule="auto"/>
      <w:ind w:firstLine="425"/>
      <w:textAlignment w:val="baseline"/>
    </w:pPr>
    <w:rPr>
      <w:rFonts w:ascii="Arial" w:hAnsi="Arial"/>
      <w:kern w:val="0"/>
      <w:sz w:val="24"/>
    </w:rPr>
  </w:style>
  <w:style w:type="character" w:customStyle="1" w:styleId="66">
    <w:name w:val="表格 Char Char"/>
    <w:qFormat/>
    <w:uiPriority w:val="0"/>
    <w:rPr>
      <w:rFonts w:eastAsia="宋体"/>
      <w:kern w:val="2"/>
      <w:sz w:val="21"/>
      <w:szCs w:val="24"/>
      <w:lang w:val="en-US" w:eastAsia="zh-CN" w:bidi="ar-SA"/>
    </w:rPr>
  </w:style>
  <w:style w:type="character" w:customStyle="1" w:styleId="67">
    <w:name w:val="日期 字符"/>
    <w:semiHidden/>
    <w:qFormat/>
    <w:uiPriority w:val="0"/>
    <w:rPr>
      <w:rFonts w:ascii="Times New Roman" w:hAnsi="Times New Roman" w:eastAsia="宋体" w:cs="Times New Roman"/>
      <w:sz w:val="24"/>
      <w:szCs w:val="24"/>
    </w:rPr>
  </w:style>
  <w:style w:type="character" w:customStyle="1" w:styleId="68">
    <w:name w:val="表格 Char"/>
    <w:link w:val="69"/>
    <w:qFormat/>
    <w:locked/>
    <w:uiPriority w:val="0"/>
    <w:rPr>
      <w:rFonts w:ascii="宋体"/>
      <w:sz w:val="21"/>
    </w:rPr>
  </w:style>
  <w:style w:type="paragraph" w:customStyle="1" w:styleId="69">
    <w:name w:val="表格"/>
    <w:basedOn w:val="13"/>
    <w:next w:val="1"/>
    <w:link w:val="68"/>
    <w:qFormat/>
    <w:uiPriority w:val="0"/>
    <w:pPr>
      <w:adjustRightInd w:val="0"/>
      <w:snapToGrid w:val="0"/>
      <w:spacing w:beforeLines="10" w:afterLines="10" w:line="259" w:lineRule="auto"/>
      <w:jc w:val="center"/>
    </w:pPr>
    <w:rPr>
      <w:rFonts w:ascii="宋体"/>
      <w:kern w:val="0"/>
      <w:szCs w:val="20"/>
    </w:rPr>
  </w:style>
  <w:style w:type="character" w:customStyle="1" w:styleId="70">
    <w:name w:val="Char Char Char Char Char1"/>
    <w:link w:val="71"/>
    <w:qFormat/>
    <w:uiPriority w:val="0"/>
    <w:rPr>
      <w:kern w:val="2"/>
      <w:sz w:val="21"/>
      <w:szCs w:val="21"/>
    </w:rPr>
  </w:style>
  <w:style w:type="paragraph" w:customStyle="1" w:styleId="71">
    <w:name w:val="Char Char Char Char"/>
    <w:basedOn w:val="1"/>
    <w:link w:val="70"/>
    <w:qFormat/>
    <w:uiPriority w:val="0"/>
    <w:pPr>
      <w:tabs>
        <w:tab w:val="left" w:pos="1080"/>
      </w:tabs>
      <w:jc w:val="left"/>
    </w:pPr>
    <w:rPr>
      <w:szCs w:val="21"/>
    </w:rPr>
  </w:style>
  <w:style w:type="paragraph" w:customStyle="1" w:styleId="72">
    <w:name w:val="11111"/>
    <w:basedOn w:val="1"/>
    <w:next w:val="1"/>
    <w:qFormat/>
    <w:uiPriority w:val="0"/>
    <w:pPr>
      <w:spacing w:line="360" w:lineRule="auto"/>
      <w:ind w:firstLine="200" w:firstLineChars="200"/>
    </w:pPr>
    <w:rPr>
      <w:rFonts w:hAnsi="宋体" w:cs="宋体"/>
    </w:rPr>
  </w:style>
  <w:style w:type="paragraph" w:styleId="73">
    <w:name w:val="List Paragraph"/>
    <w:basedOn w:val="1"/>
    <w:qFormat/>
    <w:uiPriority w:val="34"/>
    <w:pPr>
      <w:ind w:firstLine="420" w:firstLineChars="200"/>
    </w:pPr>
  </w:style>
  <w:style w:type="paragraph" w:customStyle="1" w:styleId="74">
    <w:name w:val="正文文本最新 Char Char Char"/>
    <w:basedOn w:val="1"/>
    <w:qFormat/>
    <w:uiPriority w:val="0"/>
    <w:pPr>
      <w:spacing w:line="360" w:lineRule="auto"/>
      <w:ind w:firstLine="200" w:firstLineChars="200"/>
    </w:pPr>
    <w:rPr>
      <w:bCs/>
      <w:sz w:val="28"/>
      <w:szCs w:val="28"/>
    </w:rPr>
  </w:style>
  <w:style w:type="paragraph" w:customStyle="1" w:styleId="7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6">
    <w:name w:val="正文1"/>
    <w:basedOn w:val="77"/>
    <w:qFormat/>
    <w:uiPriority w:val="99"/>
    <w:pPr>
      <w:widowControl w:val="0"/>
      <w:tabs>
        <w:tab w:val="left" w:pos="567"/>
      </w:tabs>
      <w:adjustRightInd w:val="0"/>
      <w:spacing w:line="360" w:lineRule="atLeast"/>
    </w:pPr>
    <w:rPr>
      <w:rFonts w:ascii="宋体" w:hAnsi="Times New Roman" w:eastAsia="宋体" w:cs="Times New Roman"/>
      <w:kern w:val="2"/>
      <w:sz w:val="24"/>
      <w:szCs w:val="22"/>
      <w:lang w:val="en-US" w:eastAsia="zh-CN" w:bidi="ar-SA"/>
    </w:rPr>
  </w:style>
  <w:style w:type="paragraph" w:customStyle="1" w:styleId="77">
    <w:name w:val="正文11"/>
    <w:qFormat/>
    <w:uiPriority w:val="0"/>
    <w:pPr>
      <w:widowControl w:val="0"/>
      <w:tabs>
        <w:tab w:val="left" w:pos="567"/>
      </w:tabs>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78">
    <w:name w:val="Table Paragraph"/>
    <w:basedOn w:val="1"/>
    <w:qFormat/>
    <w:uiPriority w:val="1"/>
    <w:pPr>
      <w:autoSpaceDE w:val="0"/>
      <w:autoSpaceDN w:val="0"/>
      <w:spacing w:before="100" w:beforeAutospacing="1" w:line="360" w:lineRule="auto"/>
      <w:ind w:firstLine="200" w:firstLineChars="200"/>
      <w:jc w:val="left"/>
    </w:pPr>
    <w:rPr>
      <w:rFonts w:cs="宋体"/>
      <w:kern w:val="0"/>
      <w:sz w:val="24"/>
      <w:szCs w:val="22"/>
      <w:lang w:val="zh-CN" w:bidi="zh-CN"/>
    </w:rPr>
  </w:style>
  <w:style w:type="paragraph" w:customStyle="1" w:styleId="79">
    <w:name w:val="公正文"/>
    <w:basedOn w:val="7"/>
    <w:qFormat/>
    <w:uiPriority w:val="0"/>
    <w:pPr>
      <w:widowControl/>
      <w:adjustRightInd w:val="0"/>
      <w:snapToGrid w:val="0"/>
      <w:spacing w:line="352" w:lineRule="auto"/>
      <w:ind w:firstLine="200"/>
      <w:jc w:val="left"/>
    </w:pPr>
    <w:rPr>
      <w:rFonts w:ascii="宋体" w:hAnsi="宋体" w:eastAsia="仿宋_GB2312" w:cs="宋体"/>
      <w:kern w:val="0"/>
      <w:sz w:val="28"/>
      <w:szCs w:val="28"/>
    </w:rPr>
  </w:style>
  <w:style w:type="table" w:customStyle="1" w:styleId="80">
    <w:name w:val="Table Normal"/>
    <w:unhideWhenUsed/>
    <w:qFormat/>
    <w:uiPriority w:val="0"/>
    <w:rPr>
      <w:rFonts w:ascii="Calibri" w:hAnsi="Calibri"/>
      <w:lang w:val="en-US" w:eastAsia="zh-CN" w:bidi="ar-SA"/>
    </w:rPr>
    <w:tblPr>
      <w:tblCellMar>
        <w:top w:w="0" w:type="dxa"/>
        <w:left w:w="0" w:type="dxa"/>
        <w:bottom w:w="0" w:type="dxa"/>
        <w:right w:w="0" w:type="dxa"/>
      </w:tblCellMar>
    </w:tblPr>
  </w:style>
  <w:style w:type="paragraph" w:customStyle="1" w:styleId="81">
    <w:name w:val="正文111"/>
    <w:basedOn w:val="1"/>
    <w:qFormat/>
    <w:uiPriority w:val="0"/>
    <w:pPr>
      <w:adjustRightInd w:val="0"/>
      <w:snapToGrid w:val="0"/>
      <w:spacing w:line="500" w:lineRule="exact"/>
      <w:ind w:firstLine="480" w:firstLineChars="200"/>
      <w:jc w:val="left"/>
      <w:outlineLvl w:val="2"/>
    </w:pPr>
    <w:rPr>
      <w:rFonts w:ascii="Times New Roman" w:hAnsi="Times New Roman"/>
      <w:sz w:val="24"/>
      <w:szCs w:val="28"/>
    </w:rPr>
  </w:style>
  <w:style w:type="paragraph" w:customStyle="1" w:styleId="82">
    <w:name w:val="【表格文字】"/>
    <w:basedOn w:val="1"/>
    <w:qFormat/>
    <w:uiPriority w:val="0"/>
    <w:pPr>
      <w:adjustRightInd w:val="0"/>
      <w:snapToGrid w:val="0"/>
      <w:textAlignment w:val="center"/>
    </w:pPr>
    <w:rPr>
      <w:szCs w:val="21"/>
    </w:rPr>
  </w:style>
  <w:style w:type="character" w:customStyle="1" w:styleId="83">
    <w:name w:val="15"/>
    <w:qFormat/>
    <w:uiPriority w:val="0"/>
    <w:rPr>
      <w:rFonts w:hint="default" w:ascii="Times New Roman" w:hAnsi="Times New Roman" w:cs="Times New Roman"/>
      <w:kern w:val="2"/>
      <w:sz w:val="21"/>
      <w:szCs w:val="21"/>
    </w:rPr>
  </w:style>
  <w:style w:type="paragraph" w:customStyle="1" w:styleId="84">
    <w:name w:val="【正文1】"/>
    <w:basedOn w:val="1"/>
    <w:qFormat/>
    <w:uiPriority w:val="0"/>
    <w:pPr>
      <w:adjustRightInd w:val="0"/>
      <w:snapToGrid w:val="0"/>
      <w:spacing w:line="500" w:lineRule="atLeast"/>
      <w:ind w:firstLine="480" w:firstLineChars="200"/>
    </w:pPr>
    <w:rPr>
      <w:sz w:val="24"/>
    </w:rPr>
  </w:style>
  <w:style w:type="paragraph" w:customStyle="1" w:styleId="85">
    <w:name w:val=".表1-1-1内容"/>
    <w:basedOn w:val="1"/>
    <w:qFormat/>
    <w:uiPriority w:val="0"/>
    <w:pPr>
      <w:adjustRightInd w:val="0"/>
      <w:snapToGrid w:val="0"/>
      <w:jc w:val="center"/>
    </w:pPr>
    <w:rPr>
      <w:kern w:val="0"/>
      <w:szCs w:val="21"/>
    </w:rPr>
  </w:style>
  <w:style w:type="paragraph" w:customStyle="1" w:styleId="86">
    <w:name w:val="表格表格"/>
    <w:basedOn w:val="1"/>
    <w:qFormat/>
    <w:uiPriority w:val="0"/>
    <w:pPr>
      <w:adjustRightInd w:val="0"/>
      <w:snapToGrid w:val="0"/>
      <w:spacing w:line="360" w:lineRule="auto"/>
      <w:ind w:firstLine="480" w:firstLineChars="200"/>
    </w:pPr>
    <w:rPr>
      <w:szCs w:val="21"/>
    </w:rPr>
  </w:style>
  <w:style w:type="paragraph" w:customStyle="1" w:styleId="87">
    <w:name w:val="表格内容格式"/>
    <w:basedOn w:val="1"/>
    <w:next w:val="1"/>
    <w:qFormat/>
    <w:uiPriority w:val="0"/>
    <w:pPr>
      <w:adjustRightInd w:val="0"/>
      <w:snapToGrid w:val="0"/>
      <w:spacing w:line="360" w:lineRule="exact"/>
      <w:jc w:val="center"/>
    </w:pPr>
    <w:rPr>
      <w:kern w:val="0"/>
      <w:szCs w:val="21"/>
    </w:rPr>
  </w:style>
  <w:style w:type="paragraph" w:customStyle="1" w:styleId="88">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89">
    <w:name w:val="【表格】"/>
    <w:basedOn w:val="1"/>
    <w:link w:val="90"/>
    <w:qFormat/>
    <w:uiPriority w:val="0"/>
    <w:pPr>
      <w:adjustRightInd w:val="0"/>
      <w:snapToGrid w:val="0"/>
    </w:pPr>
    <w:rPr>
      <w:spacing w:val="-4"/>
    </w:rPr>
  </w:style>
  <w:style w:type="character" w:customStyle="1" w:styleId="90">
    <w:name w:val="【表格】 字符"/>
    <w:link w:val="89"/>
    <w:qFormat/>
    <w:uiPriority w:val="0"/>
    <w:rPr>
      <w:spacing w:val="-4"/>
      <w:kern w:val="2"/>
      <w:sz w:val="21"/>
      <w:szCs w:val="24"/>
    </w:rPr>
  </w:style>
  <w:style w:type="paragraph" w:customStyle="1" w:styleId="91">
    <w:name w:val="表格小五"/>
    <w:basedOn w:val="1"/>
    <w:qFormat/>
    <w:uiPriority w:val="0"/>
    <w:pPr>
      <w:widowControl/>
      <w:jc w:val="center"/>
    </w:pPr>
    <w:rPr>
      <w:rFonts w:cs="宋体"/>
      <w:kern w:val="0"/>
      <w:sz w:val="18"/>
      <w:szCs w:val="18"/>
    </w:rPr>
  </w:style>
  <w:style w:type="paragraph" w:customStyle="1" w:styleId="92">
    <w:name w:val="刘昕正文"/>
    <w:basedOn w:val="1"/>
    <w:qFormat/>
    <w:uiPriority w:val="0"/>
    <w:pPr>
      <w:spacing w:line="500" w:lineRule="exact"/>
      <w:ind w:firstLine="200" w:firstLineChars="200"/>
    </w:pPr>
    <w:rPr>
      <w:sz w:val="24"/>
    </w:rPr>
  </w:style>
  <w:style w:type="paragraph" w:customStyle="1" w:styleId="93">
    <w:name w:val="表格式"/>
    <w:basedOn w:val="1"/>
    <w:link w:val="94"/>
    <w:qFormat/>
    <w:uiPriority w:val="0"/>
    <w:pPr>
      <w:spacing w:line="300" w:lineRule="exact"/>
      <w:jc w:val="center"/>
    </w:pPr>
    <w:rPr>
      <w:bCs/>
      <w:color w:val="000000"/>
    </w:rPr>
  </w:style>
  <w:style w:type="character" w:customStyle="1" w:styleId="94">
    <w:name w:val="表格式 字符"/>
    <w:link w:val="93"/>
    <w:qFormat/>
    <w:uiPriority w:val="0"/>
    <w:rPr>
      <w:bCs/>
      <w:color w:val="000000"/>
      <w:kern w:val="2"/>
      <w:sz w:val="21"/>
      <w:szCs w:val="24"/>
    </w:rPr>
  </w:style>
  <w:style w:type="character" w:customStyle="1" w:styleId="95">
    <w:name w:val="表头 Char1"/>
    <w:link w:val="96"/>
    <w:qFormat/>
    <w:uiPriority w:val="0"/>
    <w:rPr>
      <w:b/>
      <w:color w:val="000000"/>
      <w:kern w:val="2"/>
      <w:sz w:val="24"/>
      <w:szCs w:val="21"/>
    </w:rPr>
  </w:style>
  <w:style w:type="paragraph" w:customStyle="1" w:styleId="96">
    <w:name w:val="表头"/>
    <w:basedOn w:val="97"/>
    <w:link w:val="95"/>
    <w:qFormat/>
    <w:uiPriority w:val="0"/>
    <w:pPr>
      <w:snapToGrid w:val="0"/>
      <w:jc w:val="left"/>
    </w:pPr>
    <w:rPr>
      <w:b/>
      <w:color w:val="000000"/>
      <w:sz w:val="24"/>
      <w:szCs w:val="21"/>
    </w:rPr>
  </w:style>
  <w:style w:type="paragraph" w:customStyle="1" w:styleId="97">
    <w:name w:val="正文样式"/>
    <w:basedOn w:val="1"/>
    <w:qFormat/>
    <w:uiPriority w:val="0"/>
    <w:pPr>
      <w:adjustRightInd w:val="0"/>
      <w:snapToGrid/>
      <w:ind w:firstLine="480" w:firstLineChars="200"/>
      <w:jc w:val="left"/>
    </w:pPr>
    <w:rPr>
      <w:szCs w:val="20"/>
    </w:rPr>
  </w:style>
  <w:style w:type="character" w:customStyle="1" w:styleId="98">
    <w:name w:val="【表中文字】 Char Char"/>
    <w:qFormat/>
    <w:uiPriority w:val="0"/>
    <w:rPr>
      <w:rFonts w:ascii="Times New Roman" w:hAnsi="Times New Roman" w:eastAsia="宋体"/>
      <w:outline/>
      <w:snapToGrid/>
      <w:spacing w:val="0"/>
      <w:w w:val="100"/>
      <w:kern w:val="0"/>
      <w:position w:val="0"/>
      <w:sz w:val="21"/>
      <w:vertAlign w:val="baseline"/>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noFill/>
      </w14:textFill>
    </w:rPr>
  </w:style>
  <w:style w:type="character" w:customStyle="1" w:styleId="99">
    <w:name w:val="text_csco8"/>
    <w:qFormat/>
    <w:uiPriority w:val="0"/>
  </w:style>
  <w:style w:type="character" w:customStyle="1" w:styleId="100">
    <w:name w:val="font11"/>
    <w:qFormat/>
    <w:uiPriority w:val="0"/>
    <w:rPr>
      <w:rFonts w:hint="eastAsia" w:ascii="宋体" w:hAnsi="宋体" w:eastAsia="宋体"/>
      <w:color w:val="000000"/>
      <w:sz w:val="21"/>
      <w:szCs w:val="21"/>
      <w:u w:val="none"/>
    </w:rPr>
  </w:style>
  <w:style w:type="character" w:customStyle="1" w:styleId="101">
    <w:name w:val="font21"/>
    <w:qFormat/>
    <w:uiPriority w:val="0"/>
    <w:rPr>
      <w:rFonts w:hint="default" w:ascii="Times New Roman" w:hAnsi="Times New Roman" w:cs="Times New Roman"/>
      <w:color w:val="000000"/>
      <w:sz w:val="21"/>
      <w:szCs w:val="21"/>
      <w:u w:val="none"/>
    </w:rPr>
  </w:style>
  <w:style w:type="character" w:customStyle="1" w:styleId="102">
    <w:name w:val="【表头】 Char"/>
    <w:link w:val="103"/>
    <w:qFormat/>
    <w:uiPriority w:val="0"/>
    <w:rPr>
      <w:rFonts w:eastAsia="黑体"/>
      <w:sz w:val="24"/>
      <w:lang w:val="zh-CN"/>
    </w:rPr>
  </w:style>
  <w:style w:type="paragraph" w:customStyle="1" w:styleId="103">
    <w:name w:val="【表头】"/>
    <w:basedOn w:val="1"/>
    <w:next w:val="1"/>
    <w:link w:val="102"/>
    <w:qFormat/>
    <w:uiPriority w:val="0"/>
    <w:pPr>
      <w:wordWrap w:val="0"/>
      <w:adjustRightInd w:val="0"/>
      <w:snapToGrid w:val="0"/>
      <w:spacing w:line="500" w:lineRule="exact"/>
      <w:jc w:val="center"/>
    </w:pPr>
    <w:rPr>
      <w:rFonts w:eastAsia="黑体"/>
      <w:kern w:val="0"/>
      <w:sz w:val="24"/>
      <w:szCs w:val="20"/>
      <w:lang w:val="zh-CN"/>
    </w:rPr>
  </w:style>
  <w:style w:type="character" w:customStyle="1" w:styleId="104">
    <w:name w:val="【表中文字】- 字符"/>
    <w:link w:val="105"/>
    <w:qFormat/>
    <w:uiPriority w:val="0"/>
    <w:rPr>
      <w:rFonts w:ascii="Times New Roman" w:hAnsi="Times New Roman" w:eastAsia="宋体"/>
      <w:lang w:val="zh-CN"/>
    </w:rPr>
  </w:style>
  <w:style w:type="paragraph" w:customStyle="1" w:styleId="105">
    <w:name w:val="【表中文字】-"/>
    <w:basedOn w:val="1"/>
    <w:link w:val="104"/>
    <w:qFormat/>
    <w:uiPriority w:val="0"/>
    <w:pPr>
      <w:wordWrap w:val="0"/>
      <w:adjustRightInd w:val="0"/>
      <w:snapToGrid w:val="0"/>
      <w:jc w:val="center"/>
    </w:pPr>
    <w:rPr>
      <w:rFonts w:ascii="Times New Roman" w:hAnsi="Times New Roman" w:eastAsia="宋体"/>
      <w:kern w:val="0"/>
      <w:sz w:val="20"/>
      <w:szCs w:val="20"/>
      <w:lang w:val="zh-CN"/>
    </w:rPr>
  </w:style>
  <w:style w:type="paragraph" w:customStyle="1" w:styleId="106">
    <w:name w:val="Table Text"/>
    <w:basedOn w:val="1"/>
    <w:semiHidden/>
    <w:qFormat/>
    <w:uiPriority w:val="0"/>
    <w:rPr>
      <w:rFonts w:ascii="Times New Roman" w:hAnsi="Times New Roman" w:eastAsia="Times New Roman" w:cs="Times New Roman"/>
      <w:sz w:val="18"/>
      <w:szCs w:val="18"/>
      <w:lang w:val="en-US" w:eastAsia="en-US" w:bidi="ar-SA"/>
    </w:rPr>
  </w:style>
  <w:style w:type="character" w:customStyle="1" w:styleId="107">
    <w:name w:val="未处理的提及"/>
    <w:unhideWhenUsed/>
    <w:qFormat/>
    <w:uiPriority w:val="99"/>
    <w:rPr>
      <w:color w:val="605E5C"/>
      <w:shd w:val="clear" w:color="auto" w:fill="E1DFDD"/>
    </w:rPr>
  </w:style>
  <w:style w:type="paragraph" w:customStyle="1" w:styleId="108">
    <w:name w:val="表格文字1"/>
    <w:basedOn w:val="1"/>
    <w:qFormat/>
    <w:uiPriority w:val="0"/>
    <w:pPr>
      <w:snapToGrid w:val="0"/>
      <w:jc w:val="center"/>
    </w:pPr>
    <w:rPr>
      <w:rFonts w:ascii="宋体" w:hAnsi="Calibri"/>
      <w:szCs w:val="21"/>
    </w:rPr>
  </w:style>
  <w:style w:type="paragraph" w:customStyle="1" w:styleId="109">
    <w:name w:val="表格文字"/>
    <w:basedOn w:val="1"/>
    <w:qFormat/>
    <w:uiPriority w:val="0"/>
    <w:pPr>
      <w:widowControl/>
      <w:jc w:val="center"/>
    </w:pPr>
    <w:rPr>
      <w:rFonts w:cs="宋体"/>
      <w:color w:val="000000"/>
      <w:kern w:val="0"/>
      <w:szCs w:val="21"/>
    </w:rPr>
  </w:style>
  <w:style w:type="paragraph" w:customStyle="1" w:styleId="110">
    <w:name w:val="正文居中黑"/>
    <w:basedOn w:val="1"/>
    <w:next w:val="1"/>
    <w:qFormat/>
    <w:uiPriority w:val="0"/>
    <w:pPr>
      <w:overflowPunct w:val="0"/>
      <w:adjustRightInd w:val="0"/>
      <w:snapToGrid w:val="0"/>
      <w:ind w:firstLine="0" w:firstLineChars="0"/>
      <w:jc w:val="center"/>
    </w:pPr>
    <w:rPr>
      <w:rFonts w:ascii="宋体" w:hAnsi="宋体" w:cs="宋体"/>
      <w:b/>
      <w:bCs/>
      <w:color w:val="000000"/>
      <w:kern w:val="0"/>
      <w:sz w:val="24"/>
      <w:szCs w:val="21"/>
    </w:rPr>
  </w:style>
  <w:style w:type="paragraph" w:customStyle="1" w:styleId="111">
    <w:name w:val="精佳正文"/>
    <w:qFormat/>
    <w:uiPriority w:val="0"/>
    <w:pPr>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12">
    <w:name w:val="Default"/>
    <w:basedOn w:val="113"/>
    <w:next w:val="1"/>
    <w:qFormat/>
    <w:uiPriority w:val="0"/>
    <w:pPr>
      <w:widowControl w:val="0"/>
      <w:autoSpaceDE w:val="0"/>
      <w:autoSpaceDN w:val="0"/>
      <w:adjustRightInd w:val="0"/>
      <w:spacing w:line="336" w:lineRule="auto"/>
    </w:pPr>
    <w:rPr>
      <w:rFonts w:ascii="宋体" w:hAnsi="宋体" w:eastAsia="宋体" w:cs="宋体"/>
      <w:color w:val="000000"/>
      <w:kern w:val="0"/>
      <w:sz w:val="24"/>
      <w:szCs w:val="24"/>
      <w:lang w:val="en-US" w:eastAsia="zh-CN" w:bidi="ar-SA"/>
    </w:rPr>
  </w:style>
  <w:style w:type="paragraph" w:customStyle="1" w:styleId="113">
    <w:name w:val="纯文本1"/>
    <w:basedOn w:val="1"/>
    <w:qFormat/>
    <w:uiPriority w:val="0"/>
    <w:pPr>
      <w:adjustRightInd w:val="0"/>
      <w:textAlignment w:val="baseline"/>
    </w:pPr>
    <w:rPr>
      <w:rFonts w:ascii="宋体" w:hAnsi="Courier New"/>
      <w:szCs w:val="20"/>
    </w:rPr>
  </w:style>
  <w:style w:type="paragraph" w:customStyle="1" w:styleId="114">
    <w:name w:val="7表"/>
    <w:basedOn w:val="115"/>
    <w:qFormat/>
    <w:uiPriority w:val="0"/>
    <w:pPr>
      <w:spacing w:line="240" w:lineRule="auto"/>
      <w:ind w:firstLine="0" w:firstLineChars="0"/>
      <w:jc w:val="center"/>
    </w:pPr>
    <w:rPr>
      <w:sz w:val="21"/>
    </w:rPr>
  </w:style>
  <w:style w:type="paragraph" w:customStyle="1" w:styleId="115">
    <w:name w:val="采用正文"/>
    <w:basedOn w:val="10"/>
    <w:qFormat/>
    <w:uiPriority w:val="0"/>
    <w:pPr>
      <w:adjustRightInd w:val="0"/>
      <w:spacing w:after="0" w:afterLines="0"/>
      <w:ind w:firstLine="200" w:firstLineChars="200"/>
    </w:pPr>
    <w:rPr>
      <w:rFonts w:hint="default" w:ascii="Times New Roman"/>
      <w:kern w:val="2"/>
      <w:sz w:val="24"/>
    </w:rPr>
  </w:style>
  <w:style w:type="paragraph" w:customStyle="1" w:styleId="116">
    <w:name w:val="正文w"/>
    <w:basedOn w:val="10"/>
    <w:qFormat/>
    <w:uiPriority w:val="0"/>
    <w:pPr>
      <w:snapToGrid w:val="0"/>
      <w:ind w:firstLine="480" w:firstLineChars="200"/>
    </w:pPr>
  </w:style>
  <w:style w:type="paragraph" w:customStyle="1" w:styleId="117">
    <w:name w:val="表格（小五）"/>
    <w:qFormat/>
    <w:uiPriority w:val="0"/>
    <w:pPr>
      <w:jc w:val="center"/>
    </w:pPr>
    <w:rPr>
      <w:rFonts w:ascii="Times New Roman" w:hAnsi="Times New Roman" w:eastAsia="宋体" w:cs="Times New Roman"/>
      <w:kern w:val="2"/>
      <w:sz w:val="18"/>
      <w:szCs w:val="21"/>
      <w:lang w:val="en-US" w:eastAsia="zh-CN" w:bidi="ar-SA"/>
    </w:rPr>
  </w:style>
  <w:style w:type="paragraph" w:customStyle="1" w:styleId="118">
    <w:name w:val="表头00"/>
    <w:basedOn w:val="1"/>
    <w:qFormat/>
    <w:uiPriority w:val="0"/>
    <w:pPr>
      <w:widowControl w:val="0"/>
      <w:adjustRightInd/>
      <w:snapToGrid/>
      <w:jc w:val="center"/>
    </w:pPr>
    <w:rPr>
      <w:rFonts w:ascii="Times New Roman" w:hAnsi="Times New Roman" w:eastAsia="黑体" w:cs="Times New Roman"/>
      <w:kern w:val="2"/>
      <w:sz w:val="24"/>
      <w:szCs w:val="18"/>
    </w:rPr>
  </w:style>
  <w:style w:type="paragraph" w:customStyle="1" w:styleId="119">
    <w:name w:val="表格内"/>
    <w:qFormat/>
    <w:uiPriority w:val="0"/>
    <w:pPr>
      <w:snapToGrid/>
      <w:spacing w:before="2" w:after="2" w:line="240" w:lineRule="auto"/>
      <w:ind w:firstLine="0" w:firstLineChars="0"/>
      <w:jc w:val="center"/>
    </w:pPr>
    <w:rPr>
      <w:rFonts w:ascii="Times New Roman" w:hAnsi="Times New Roman" w:eastAsia="宋体" w:cs="Times New Roman"/>
      <w:sz w:val="21"/>
    </w:rPr>
  </w:style>
  <w:style w:type="paragraph" w:customStyle="1" w:styleId="120">
    <w:name w:val="HSY正文"/>
    <w:basedOn w:val="1"/>
    <w:qFormat/>
    <w:uiPriority w:val="0"/>
    <w:pPr>
      <w:widowControl/>
      <w:ind w:firstLine="200" w:firstLineChars="200"/>
    </w:pPr>
    <w:rPr>
      <w:szCs w:val="22"/>
    </w:rPr>
  </w:style>
  <w:style w:type="paragraph" w:customStyle="1" w:styleId="121">
    <w:name w:val="2标题"/>
    <w:basedOn w:val="122"/>
    <w:qFormat/>
    <w:uiPriority w:val="0"/>
    <w:pPr>
      <w:numPr>
        <w:ilvl w:val="1"/>
        <w:numId w:val="1"/>
      </w:numPr>
      <w:ind w:left="0"/>
    </w:pPr>
    <w:rPr>
      <w:rFonts w:ascii="黑体"/>
    </w:rPr>
  </w:style>
  <w:style w:type="paragraph" w:customStyle="1" w:styleId="122">
    <w:name w:val="采用2级"/>
    <w:basedOn w:val="10"/>
    <w:qFormat/>
    <w:uiPriority w:val="0"/>
    <w:pPr>
      <w:adjustRightInd w:val="0"/>
      <w:spacing w:after="0" w:afterLines="0"/>
      <w:outlineLvl w:val="1"/>
    </w:pPr>
    <w:rPr>
      <w:rFonts w:eastAsia="黑体"/>
      <w:kern w:val="2"/>
      <w:sz w:val="30"/>
      <w:szCs w:val="24"/>
      <w:lang w:val="en-US" w:eastAsia="zh-CN" w:bidi="ar-SA"/>
    </w:rPr>
  </w:style>
  <w:style w:type="paragraph" w:customStyle="1" w:styleId="123">
    <w:name w:val="3标题"/>
    <w:basedOn w:val="124"/>
    <w:next w:val="125"/>
    <w:qFormat/>
    <w:uiPriority w:val="0"/>
    <w:pPr>
      <w:numPr>
        <w:ilvl w:val="2"/>
        <w:numId w:val="1"/>
      </w:numPr>
      <w:ind w:left="0"/>
    </w:pPr>
    <w:rPr>
      <w:rFonts w:ascii="黑体"/>
    </w:rPr>
  </w:style>
  <w:style w:type="paragraph" w:customStyle="1" w:styleId="124">
    <w:name w:val="采用3级"/>
    <w:basedOn w:val="10"/>
    <w:qFormat/>
    <w:uiPriority w:val="0"/>
    <w:pPr>
      <w:adjustRightInd w:val="0"/>
      <w:spacing w:after="0" w:afterLines="0"/>
      <w:outlineLvl w:val="2"/>
    </w:pPr>
    <w:rPr>
      <w:rFonts w:eastAsia="黑体"/>
      <w:sz w:val="28"/>
    </w:rPr>
  </w:style>
  <w:style w:type="paragraph" w:customStyle="1" w:styleId="125">
    <w:name w:val="5正文"/>
    <w:basedOn w:val="1"/>
    <w:qFormat/>
    <w:uiPriority w:val="0"/>
    <w:pPr>
      <w:ind w:firstLine="480" w:firstLineChars="200"/>
    </w:pPr>
  </w:style>
  <w:style w:type="paragraph" w:customStyle="1" w:styleId="126">
    <w:name w:val="表头ds"/>
    <w:basedOn w:val="10"/>
    <w:qFormat/>
    <w:uiPriority w:val="0"/>
    <w:pPr>
      <w:adjustRightInd w:val="0"/>
      <w:spacing w:after="0" w:line="240" w:lineRule="auto"/>
    </w:pPr>
    <w:rPr>
      <w:rFonts w:ascii="黑体" w:hAnsi="黑体" w:eastAsia="黑体"/>
      <w:color w:val="C00000"/>
    </w:rPr>
  </w:style>
  <w:style w:type="paragraph" w:customStyle="1" w:styleId="127">
    <w:name w:val="样式 宋体 小四 行距: 1.5 倍行距2"/>
    <w:basedOn w:val="1"/>
    <w:qFormat/>
    <w:uiPriority w:val="0"/>
    <w:pPr>
      <w:snapToGrid/>
      <w:spacing w:before="62" w:beforeLines="20" w:after="62" w:afterLines="20"/>
      <w:ind w:firstLine="200" w:firstLineChars="200"/>
    </w:pPr>
    <w:rPr>
      <w:rFonts w:ascii="宋体" w:hAnsi="宋体" w:cs="宋体"/>
      <w:szCs w:val="20"/>
    </w:rPr>
  </w:style>
  <w:style w:type="paragraph" w:customStyle="1" w:styleId="128">
    <w:name w:val="采用页眉"/>
    <w:basedOn w:val="17"/>
    <w:qFormat/>
    <w:uiPriority w:val="0"/>
    <w:pPr>
      <w:pBdr>
        <w:bottom w:val="thinThickSmallGap" w:color="auto" w:sz="18" w:space="1"/>
      </w:pBdr>
      <w:adjustRightInd w:val="0"/>
      <w:spacing w:line="240" w:lineRule="auto"/>
    </w:pPr>
  </w:style>
  <w:style w:type="character" w:customStyle="1" w:styleId="129">
    <w:name w:val="zhengwencolor1"/>
    <w:qFormat/>
    <w:uiPriority w:val="0"/>
    <w:rPr>
      <w:color w:val="000000"/>
      <w:sz w:val="18"/>
      <w:szCs w:val="18"/>
    </w:rPr>
  </w:style>
  <w:style w:type="paragraph" w:customStyle="1" w:styleId="130">
    <w:name w:val="表内文字"/>
    <w:basedOn w:val="1"/>
    <w:qFormat/>
    <w:uiPriority w:val="0"/>
    <w:pPr>
      <w:jc w:val="center"/>
    </w:pPr>
    <w:rPr>
      <w:rFonts w:ascii="仿宋_GB2312" w:hAnsi="仿宋_GB2312"/>
      <w:color w:val="FF0000"/>
      <w:szCs w:val="21"/>
    </w:rPr>
  </w:style>
  <w:style w:type="paragraph" w:customStyle="1" w:styleId="131">
    <w:name w:val="【表中文字】"/>
    <w:basedOn w:val="132"/>
    <w:qFormat/>
    <w:uiPriority w:val="0"/>
    <w:pPr>
      <w:spacing w:line="380" w:lineRule="exact"/>
      <w:jc w:val="center"/>
    </w:pPr>
  </w:style>
  <w:style w:type="paragraph" w:customStyle="1" w:styleId="132">
    <w:name w:val="表格字"/>
    <w:basedOn w:val="19"/>
    <w:qFormat/>
    <w:uiPriority w:val="0"/>
    <w:pPr>
      <w:ind w:left="0" w:firstLine="0" w:firstLineChars="0"/>
      <w:jc w:val="center"/>
    </w:pPr>
  </w:style>
  <w:style w:type="paragraph" w:customStyle="1" w:styleId="133">
    <w:name w:val="内容"/>
    <w:basedOn w:val="1"/>
    <w:qFormat/>
    <w:uiPriority w:val="0"/>
    <w:pPr>
      <w:spacing w:beforeLines="50" w:afterLines="50"/>
      <w:ind w:firstLine="200" w:firstLineChars="200"/>
    </w:pPr>
    <w:rPr>
      <w:color w:val="000000"/>
      <w:sz w:val="24"/>
      <w:szCs w:val="24"/>
    </w:rPr>
  </w:style>
  <w:style w:type="paragraph" w:customStyle="1" w:styleId="134">
    <w:name w:val="..正文"/>
    <w:basedOn w:val="1"/>
    <w:qFormat/>
    <w:uiPriority w:val="0"/>
    <w:pPr>
      <w:spacing w:line="500" w:lineRule="exact"/>
      <w:ind w:firstLine="480" w:firstLineChars="200"/>
      <w:jc w:val="left"/>
    </w:pPr>
    <w:rPr>
      <w:kern w:val="0"/>
      <w:sz w:val="24"/>
    </w:rPr>
  </w:style>
  <w:style w:type="paragraph" w:customStyle="1" w:styleId="135">
    <w:name w:val="正文00"/>
    <w:basedOn w:val="1"/>
    <w:next w:val="136"/>
    <w:qFormat/>
    <w:uiPriority w:val="0"/>
    <w:pPr>
      <w:spacing w:line="360" w:lineRule="auto"/>
      <w:ind w:firstLine="480" w:firstLineChars="200"/>
      <w:jc w:val="both"/>
    </w:pPr>
    <w:rPr>
      <w:rFonts w:ascii="Times New Roman" w:hAnsi="宋体" w:cs="宋体"/>
      <w:kern w:val="2"/>
      <w:szCs w:val="24"/>
    </w:rPr>
  </w:style>
  <w:style w:type="paragraph" w:customStyle="1" w:styleId="136">
    <w:name w:val="样式 Times New Roman 五号 居中1"/>
    <w:basedOn w:val="1"/>
    <w:next w:val="96"/>
    <w:qFormat/>
    <w:uiPriority w:val="0"/>
    <w:pPr>
      <w:jc w:val="center"/>
    </w:pPr>
    <w:rPr>
      <w:rFonts w:ascii="Times New Roman" w:cs="宋体"/>
      <w:kern w:val="2"/>
      <w:sz w:val="21"/>
    </w:rPr>
  </w:style>
  <w:style w:type="paragraph" w:customStyle="1" w:styleId="137">
    <w:name w:val="表格文字居中"/>
    <w:basedOn w:val="1"/>
    <w:next w:val="1"/>
    <w:qFormat/>
    <w:uiPriority w:val="0"/>
    <w:pPr>
      <w:adjustRightInd w:val="0"/>
      <w:snapToGrid w:val="0"/>
      <w:jc w:val="center"/>
    </w:pPr>
    <w:rPr>
      <w:rFonts w:ascii="宋体" w:hAnsi="宋体"/>
      <w:snapToGrid w:val="0"/>
      <w:spacing w:val="-2"/>
      <w:kern w:val="0"/>
      <w:sz w:val="24"/>
    </w:rPr>
  </w:style>
  <w:style w:type="paragraph" w:customStyle="1" w:styleId="138">
    <w:name w:val="表格标题"/>
    <w:basedOn w:val="76"/>
    <w:next w:val="76"/>
    <w:qFormat/>
    <w:uiPriority w:val="0"/>
    <w:pPr>
      <w:tabs>
        <w:tab w:val="left" w:pos="0"/>
      </w:tabs>
      <w:spacing w:before="50" w:beforeLines="50"/>
      <w:ind w:firstLine="0" w:firstLineChars="0"/>
      <w:jc w:val="center"/>
    </w:pPr>
    <w:rPr>
      <w:rFonts w:ascii="宋体" w:hAnsi="宋体" w:eastAsia="宋体"/>
      <w:b/>
      <w:sz w:val="24"/>
      <w:szCs w:val="20"/>
      <w:lang w:val="en-US" w:bidi="ar-SA"/>
    </w:rPr>
  </w:style>
  <w:style w:type="paragraph" w:customStyle="1" w:styleId="139">
    <w:name w:val="表格内容"/>
    <w:basedOn w:val="140"/>
    <w:next w:val="1"/>
    <w:qFormat/>
    <w:uiPriority w:val="0"/>
    <w:pPr>
      <w:overflowPunct w:val="0"/>
      <w:adjustRightInd w:val="0"/>
      <w:spacing w:before="40" w:after="60" w:line="240" w:lineRule="auto"/>
      <w:jc w:val="center"/>
      <w:textAlignment w:val="baseline"/>
    </w:pPr>
    <w:rPr>
      <w:rFonts w:ascii="Arial" w:hAnsi="Arial" w:eastAsia="宋体" w:cs="Times New Roman"/>
      <w:color w:val="000000"/>
      <w:sz w:val="21"/>
      <w:szCs w:val="24"/>
      <w:lang w:val="en-US" w:bidi="ar-SA"/>
    </w:rPr>
  </w:style>
  <w:style w:type="paragraph" w:customStyle="1" w:styleId="140">
    <w:name w:val="封皮-证书编号"/>
    <w:basedOn w:val="1"/>
    <w:qFormat/>
    <w:uiPriority w:val="0"/>
    <w:pPr>
      <w:jc w:val="center"/>
    </w:pPr>
    <w:rPr>
      <w:rFonts w:ascii="Times New Roman" w:hAnsi="Times New Roman" w:eastAsia="黑体"/>
      <w:sz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8" Type="http://schemas.openxmlformats.org/officeDocument/2006/relationships/fontTable" Target="fontTable.xml"/><Relationship Id="rId87" Type="http://schemas.openxmlformats.org/officeDocument/2006/relationships/customXml" Target="../customXml/item2.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header" Target="head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88c58edf-d5ab-4ec6-868c-e755db3d4dc7</errorID>
      <errorWord>"</errorWord>
      <group>L1_Format</group>
      <groupName>格式问题</groupName>
      <ability>L2_HalfPunc_CN</ability>
      <abilityName>全半角检查</abilityName>
      <candidateList/>
      <explain>文本全半角错误。</explain>
      <paraID>75521278</paraID>
      <start>40</start>
      <end>41</end>
      <status>unmodified</status>
      <modifiedWord/>
      <trackRevisions>false</trackRevisions>
    </reviewItem>
    <reviewItem>
      <errorID>e80cb10e-2093-4ca7-a795-86678540147d</errorID>
      <errorWord>"</errorWord>
      <group>L1_Format</group>
      <groupName>格式问题</groupName>
      <ability>L2_HalfPunc_CN</ability>
      <abilityName>全半角检查</abilityName>
      <candidateList/>
      <explain>文本全半角错误。</explain>
      <paraID>75521278</paraID>
      <start>56</start>
      <end>57</end>
      <status>unmodified</status>
      <modifiedWord/>
      <trackRevisions>false</trackRevisions>
    </reviewItem>
    <reviewItem>
      <errorID>c975d18d-6cf2-4521-928e-26be13af7ae1</errorID>
      <errorWord>"</errorWord>
      <group>L1_Format</group>
      <groupName>格式问题</groupName>
      <ability>L2_HalfPunc_CN</ability>
      <abilityName>全半角检查</abilityName>
      <candidateList/>
      <explain>文本全半角错误。</explain>
      <paraID>75521278</paraID>
      <start>86</start>
      <end>87</end>
      <status>unmodified</status>
      <modifiedWord/>
      <trackRevisions>false</trackRevisions>
    </reviewItem>
    <reviewItem>
      <errorID>57ffa573-d58a-4abd-a8bc-f401d61e8784</errorID>
      <errorWord>"</errorWord>
      <group>L1_Format</group>
      <groupName>格式问题</groupName>
      <ability>L2_HalfPunc_CN</ability>
      <abilityName>全半角检查</abilityName>
      <candidateList>
        <item>”</item>
      </candidateList>
      <explain>文本全半角错误。</explain>
      <paraID>75521278</paraID>
      <start>102</start>
      <end>103</end>
      <status>unmodified</status>
      <modifiedWord/>
      <trackRevisions>false</trackRevisions>
    </reviewItem>
    <reviewItem>
      <errorID>ab0ff7fa-9f01-4803-ac54-9bee8b216edf</errorID>
      <errorWord>"</errorWord>
      <group>L1_Format</group>
      <groupName>格式问题</groupName>
      <ability>L2_HalfPunc_CN</ability>
      <abilityName>全半角检查</abilityName>
      <candidateList/>
      <explain>文本全半角错误。</explain>
      <paraID>538A45DA</paraID>
      <start>37</start>
      <end>38</end>
      <status>unmodified</status>
      <modifiedWord/>
      <trackRevisions>false</trackRevisions>
    </reviewItem>
    <reviewItem>
      <errorID>15283116-3a76-48a8-b04f-2b240cd60645</errorID>
      <errorWord>"</errorWord>
      <group>L1_Format</group>
      <groupName>格式问题</groupName>
      <ability>L2_HalfPunc_CN</ability>
      <abilityName>全半角检查</abilityName>
      <candidateList>
        <item>”</item>
      </candidateList>
      <explain>文本全半角错误。</explain>
      <paraID>538A45DA</paraID>
      <start>53</start>
      <end>54</end>
      <status>unmodified</status>
      <modifiedWord/>
      <trackRevisions>false</trackRevisions>
    </reviewItem>
    <reviewItem>
      <errorID>df9b3208-68aa-48ed-a3c2-772ee41a4623</errorID>
      <errorWord>1所示</errorWord>
      <group>L1_Grammar</group>
      <groupName>语法问题</groupName>
      <ability>L2_Confusion</ability>
      <abilityName>结构混乱</abilityName>
      <candidateList>
        <item>1</item>
      </candidateList>
      <explain>句子中可能存在两种以上的句法结构，导致结构混乱。</explain>
      <paraID> 63FA85C</paraID>
      <start>50</start>
      <end>53</end>
      <status>unmodified</status>
      <modifiedWord/>
      <trackRevisions>false</trackRevisions>
    </reviewItem>
    <reviewItem>
      <errorID>d6e69e94-747f-40bb-a53b-2aa1f40acb3d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1A41AFB0</paraID>
      <start>0</start>
      <end>2</end>
      <status>unmodified</status>
      <modifiedWord/>
      <trackRevisions>false</trackRevisions>
    </reviewItem>
    <reviewItem>
      <errorID>9516c195-c2a5-409a-9d34-7a41ba39d57e</errorID>
      <errorWord>水利</errorWord>
      <group>L1_Grammar</group>
      <groupName>语法问题</groupName>
      <ability>L2_Order</ability>
      <abilityName>语序不当</abilityName>
      <candidateList>
        <item>水</item>
      </candidateList>
      <explain>句子可能没有遵循时空、逻辑顺序，或者介词、关联词等位置不当。</explain>
      <paraID>3EB5A5B2</paraID>
      <start>454</start>
      <end>456</end>
      <status>unmodified</status>
      <modifiedWord/>
      <trackRevisions>false</trackRevisions>
    </reviewItem>
    <reviewItem>
      <errorID>8d635003-6d26-452f-b766-a567b95af145</errorID>
      <errorWord>于</errorWord>
      <group>L1_Word</group>
      <groupName>字词问题</groupName>
      <ability>L2_Typo</ability>
      <abilityName>字词错误</abilityName>
      <candidateList>
        <item>于电</item>
      </candidateList>
      <explain/>
      <paraID>1553839D</paraID>
      <start>13</start>
      <end>14</end>
      <status>unmodified</status>
      <modifiedWord/>
      <trackRevisions>false</trackRevisions>
    </reviewItem>
    <reviewItem>
      <errorID>3aa4a75b-f07b-42e3-890b-2f5770a66170</errorID>
      <errorWord>、还</errorWord>
      <group>L1_Punc</group>
      <groupName>标点问题</groupName>
      <ability>L2_Punc_CN</ability>
      <abilityName>标点符号检查</abilityName>
      <candidateList>
        <item>，还</item>
      </candidateList>
      <explain>连接词前后不宜使用顿号，建议使用逗号。</explain>
      <paraID>409566D8</paraID>
      <start>34</start>
      <end>36</end>
      <status>unmodified</status>
      <modifiedWord/>
      <trackRevisions>false</trackRevisions>
    </reviewItem>
    <reviewItem>
      <errorID>6341a7d2-98b4-4d8c-8548-0dba637b635d</errorID>
      <errorWord>、还</errorWord>
      <group>L1_Punc</group>
      <groupName>标点问题</groupName>
      <ability>L2_Punc_CN</ability>
      <abilityName>标点符号检查</abilityName>
      <candidateList>
        <item>，还</item>
      </candidateList>
      <explain>连接词前后不宜使用顿号，建议使用逗号。</explain>
      <paraID>409566D8</paraID>
      <start>37</start>
      <end>39</end>
      <status>unmodified</status>
      <modifiedWord/>
      <trackRevisions>false</trackRevisions>
    </reviewItem>
    <reviewItem>
      <errorID>d9d561ce-b32a-4d1d-a1cb-99fdb4fd3c14</errorID>
      <errorWord>上线</errorWord>
      <group>L1_Word</group>
      <groupName>字词问题</groupName>
      <ability>L2_Typo</ability>
      <abilityName>字词错误</abilityName>
      <candidateList>
        <item>上限</item>
      </candidateList>
      <explain/>
      <paraID> FD3FF10</paraID>
      <start>41</start>
      <end>43</end>
      <status>unmodified</status>
      <modifiedWord/>
      <trackRevisions>false</trackRevisions>
    </reviewItem>
    <reviewItem>
      <errorID>16eb61b0-7836-4161-9dd2-9b08fc9df01d</errorID>
      <errorWord>原住居民</errorWord>
      <group>L1_Sensitive</group>
      <groupName>敏感问题</groupName>
      <ability>L2_Violent</ability>
      <abilityName>暴恐词条</abilityName>
      <candidateList/>
      <explain>【暴恐词条】句中包含暴恐类敏感词条，请注意甄别。</explain>
      <paraID>1A7B246B</paraID>
      <start>8</start>
      <end>12</end>
      <status>unmodified</status>
      <modifiedWord/>
      <trackRevisions>false</trackRevisions>
    </reviewItem>
    <reviewItem>
      <errorID>7da2087e-fdc4-4bef-a3b3-20077637dbc6</errorID>
      <errorWord>同同</errorWord>
      <group>L1_Word</group>
      <groupName>字词问题</groupName>
      <ability>L2_Typo</ability>
      <abilityName>字词错误</abilityName>
      <candidateList>
        <item>同</item>
      </candidateList>
      <explain/>
      <paraID>127F13FD</paraID>
      <start>216</start>
      <end>218</end>
      <status>unmodified</status>
      <modifiedWord/>
      <trackRevisions>false</trackRevisions>
    </reviewItem>
    <reviewItem>
      <errorID>1f248273-4097-4529-bd6f-435f5170fc9e</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 55D5765</paraID>
      <start>1142</start>
      <end>1143</end>
      <status>unmodified</status>
      <modifiedWord/>
      <trackRevisions>false</trackRevisions>
    </reviewItem>
    <reviewItem>
      <errorID>d1d0a15f-35fd-4b37-8171-27d8bf4ca5cb</errorID>
      <errorWord>他的</errorWord>
      <group>L1_Word</group>
      <groupName>字词问题</groupName>
      <ability>L2_Typo</ability>
      <abilityName>字词错误</abilityName>
      <candidateList>
        <item>他</item>
      </candidateList>
      <explain/>
      <paraID> 55D5765</paraID>
      <start>1289</start>
      <end>1291</end>
      <status>unmodified</status>
      <modifiedWord/>
      <trackRevisions>false</trackRevisions>
    </reviewItem>
    <reviewItem>
      <errorID>def561fa-2e93-407e-a842-ebfc6341b82a</errorID>
      <errorWord>其它有害</errorWord>
      <group>L1_Word</group>
      <groupName>字词问题</groupName>
      <ability>L2_Alias</ability>
      <abilityName>也作/曾用词</abilityName>
      <candidateList>
        <item>其他有害</item>
      </candidateList>
      <explain>词汇[其它有害]为不规范表述或旧称，其规范书面表述为[其他有害]。</explain>
      <paraID>372D7A8B</paraID>
      <start>68</start>
      <end>72</end>
      <status>unmodified</status>
      <modifiedWord/>
      <trackRevisions>false</trackRevisions>
    </reviewItem>
    <reviewItem>
      <errorID>d38b5139-f073-4d75-b752-b95cd7d21c26</errorID>
      <errorWord>其它有害</errorWord>
      <group>L1_Word</group>
      <groupName>字词问题</groupName>
      <ability>L2_Alias</ability>
      <abilityName>也作/曾用词</abilityName>
      <candidateList>
        <item>其他有害</item>
      </candidateList>
      <explain>词汇[其它有害]为不规范表述或旧称，其规范书面表述为[其他有害]。</explain>
      <paraID>372D7A8B</paraID>
      <start>201</start>
      <end>205</end>
      <status>unmodified</status>
      <modifiedWord/>
      <trackRevisions>false</trackRevisions>
    </reviewItem>
    <reviewItem>
      <errorID>16173c45-0e2d-4c99-b513-d301a626fb3d</errorID>
      <errorWord>作好</errorWord>
      <group>L1_Grammar</group>
      <groupName>语法问题</groupName>
      <ability>L2_Grammar</ability>
      <abilityName>语法错误</abilityName>
      <candidateList>
        <item>做好</item>
      </candidateList>
      <explain>“作好～措施”搭配不当，建议修改为“做好～措施”。</explain>
      <paraID>372D7A8B</paraID>
      <start>475</start>
      <end>477</end>
      <status>unmodified</status>
      <modifiedWord/>
      <trackRevisions>false</trackRevisions>
    </reviewItem>
    <reviewItem>
      <errorID>76d534e3-bee7-4362-86b1-043ed0fe76f7</errorID>
      <errorWord>法律、法规</errorWord>
      <group>L1_Word</group>
      <groupName>字词问题</groupName>
      <ability>L2_Typo</ability>
      <abilityName>字词错误</abilityName>
      <candidateList>
        <item>法律法规</item>
      </candidateList>
      <explain/>
      <paraID> 83C2D31</paraID>
      <start>704</start>
      <end>709</end>
      <status>unmodified</status>
      <modifiedWord/>
      <trackRevisions>false</trackRevisions>
    </reviewItem>
    <reviewItem>
      <errorID>a550ed51-dbf1-468c-b63c-480d1ee0bd4f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219C47D1</paraID>
      <start>0</start>
      <end>2</end>
      <status>unmodified</status>
      <modifiedWord/>
      <trackRevisions>false</trackRevisions>
    </reviewItem>
    <reviewItem>
      <errorID>9ea6822b-8aad-40e7-8745-eacb00aa2ea8</errorID>
      <errorWord>》、《</errorWord>
      <group>L1_Punc</group>
      <groupName>标点问题</groupName>
      <ability>L2_Punc_CN</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2586FC69</paraID>
      <start>74</start>
      <end>77</end>
      <status>unmodified</status>
      <modifiedWord/>
      <trackRevisions>false</trackRevisions>
    </reviewItem>
    <reviewItem>
      <errorID>acf357f4-da11-489e-a26b-12ef6e58aa97</errorID>
      <errorWord>》、《</errorWord>
      <group>L1_Punc</group>
      <groupName>标点问题</groupName>
      <ability>L2_Punc_CN</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2586FC69</paraID>
      <start>87</start>
      <end>90</end>
      <status>unmodified</status>
      <modifiedWord/>
      <trackRevisions>false</trackRevisions>
    </reviewItem>
    <reviewItem>
      <errorID>2b3ab86c-ff04-4ff5-9f99-43cbe2a4ff73</errorID>
      <errorWord>》、《</errorWord>
      <group>L1_Punc</group>
      <groupName>标点问题</groupName>
      <ability>L2_Punc_CN</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2586FC69</paraID>
      <start>112</start>
      <end>115</end>
      <status>unmodified</status>
      <modifiedWord/>
      <trackRevisions>false</trackRevisions>
    </reviewItem>
    <reviewItem>
      <errorID>5bc4e072-3f22-464a-8db0-e5e5bc9d5e8e</errorID>
      <errorWord>》、《</errorWord>
      <group>L1_Punc</group>
      <groupName>标点问题</groupName>
      <ability>L2_Punc_CN</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2586FC69</paraID>
      <start>124</start>
      <end>127</end>
      <status>unmodified</status>
      <modifiedWord/>
      <trackRevisions>false</trackRevisions>
    </reviewItem>
    <reviewItem>
      <errorID>1a7bc85d-48dc-4f17-9cc7-01596edf5341</errorID>
      <errorWord>机器重要</errorWord>
      <group>L1_Word</group>
      <groupName>字词问题</groupName>
      <ability>L2_Typo</ability>
      <abilityName>字词错误</abilityName>
      <candidateList>
        <item>极其重要</item>
      </candidateList>
      <explain/>
      <paraID>2131103B</paraID>
      <start>17</start>
      <end>21</end>
      <status>unmodified</status>
      <modifiedWord/>
      <trackRevisions>false</trackRevisions>
    </reviewItem>
    <reviewItem>
      <errorID>10cfd6f9-0a1f-4adb-a25e-8c3ed75ad57d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7B839D88</paraID>
      <start>0</start>
      <end>2</end>
      <status>unmodified</status>
      <modifiedWord/>
      <trackRevisions>false</trackRevisions>
    </reviewItem>
    <reviewItem>
      <errorID>e634bc2a-2b8e-4a9e-b32c-acb1d6d7ffa8</errorID>
      <errorWord>种养殖</errorWord>
      <group>L1_Word</group>
      <groupName>字词问题</groupName>
      <ability>L2_Typo</ability>
      <abilityName>字词错误</abilityName>
      <candidateList>
        <item>种植养殖</item>
      </candidateList>
      <explain/>
      <paraID>14C308BD</paraID>
      <start>148</start>
      <end>151</end>
      <status>unmodified</status>
      <modifiedWord/>
      <trackRevisions>false</trackRevisions>
    </reviewItem>
    <reviewItem>
      <errorID>694437dd-146b-4334-ba79-a6088b816b80</errorID>
      <errorWord>相符合的</errorWord>
      <group>L1_Word</group>
      <groupName>字词问题</groupName>
      <ability>L2_Typo</ability>
      <abilityName>字词错误</abilityName>
      <candidateList>
        <item>相符合</item>
      </candidateList>
      <explain/>
      <paraID>1237E9B5</paraID>
      <start>102</start>
      <end>106</end>
      <status>unmodified</status>
      <modifiedWord/>
      <trackRevisions>false</trackRevisions>
    </reviewItem>
    <reviewItem>
      <errorID>609184da-7c7d-4ed0-980e-f8d9ac561d92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26DD6597</paraID>
      <start>0</start>
      <end>2</end>
      <status>unmodified</status>
      <modifiedWord/>
      <trackRevisions>false</trackRevisions>
    </reviewItem>
    <reviewItem>
      <errorID>e1139bfa-c581-4abe-993a-2933bf29211d</errorID>
      <errorWord>水源涵养与土壤保持</errorWord>
      <group>L1_Political</group>
      <groupName>政治性问题</groupName>
      <ability>L2_Keyword</ability>
      <abilityName>固定表述</abilityName>
      <candidateList>
        <item>水源涵养与水土保持</item>
      </candidateList>
      <explain>词汇“水源涵养与水土保持”在特定场景下为固定表述形式，请确认此处的“水源涵养与土壤保持”是否存在不当。</explain>
      <paraID>6CFBD35C</paraID>
      <start>35</start>
      <end>44</end>
      <status>unmodified</status>
      <modifiedWord/>
      <trackRevisions>false</trackRevisions>
    </reviewItem>
    <reviewItem>
      <errorID>825a06d8-c3e8-42c5-835c-222efd42509d</errorID>
      <errorWord>赠机</errorWord>
      <group>L1_Word</group>
      <groupName>字词问题</groupName>
      <ability>L2_Typo</ability>
      <abilityName>字词错误</abilityName>
      <candidateList>
        <item>增加</item>
      </candidateList>
      <explain>〈动〉在原有的基础上加多：～品种｜～抵抗力｜在校学生已由八百～到一千。</explain>
      <paraID>3A2BD9CD</paraID>
      <start>10</start>
      <end>12</end>
      <status>unmodified</status>
      <modifiedWord/>
      <trackRevisions>false</trackRevisions>
    </reviewItem>
    <reviewItem>
      <errorID>e97ccbcd-c6f0-442e-8b8c-0eed4b6610cf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55D9BF6F</paraID>
      <start>0</start>
      <end>2</end>
      <status>unmodified</status>
      <modifiedWord/>
      <trackRevisions>false</trackRevisions>
    </reviewItem>
    <reviewItem>
      <errorID>94e06df7-0417-4e70-8b87-8dfc2fa8f287</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4E1FB98D</paraID>
      <start>45</start>
      <end>46</end>
      <status>unmodified</status>
      <modifiedWord/>
      <trackRevisions>false</trackRevisions>
    </reviewItem>
    <reviewItem>
      <errorID>1d00316e-40ae-4da8-a17b-c6c0841a68bf</errorID>
      <errorWord>相符合的</errorWord>
      <group>L1_Word</group>
      <groupName>字词问题</groupName>
      <ability>L2_Typo</ability>
      <abilityName>字词错误</abilityName>
      <candidateList>
        <item>相符合</item>
      </candidateList>
      <explain/>
      <paraID> D1B5A16</paraID>
      <start>103</start>
      <end>107</end>
      <status>unmodified</status>
      <modifiedWord/>
      <trackRevisions>false</trackRevisions>
    </reviewItem>
    <reviewItem>
      <errorID>72b9443c-d48e-459c-9e3f-f65afacaac00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492FB34B</paraID>
      <start>0</start>
      <end>2</end>
      <status>unmodified</status>
      <modifiedWord/>
      <trackRevisions>false</trackRevisions>
    </reviewItem>
    <reviewItem>
      <errorID>5303cf42-2d43-4aa5-9d20-402a724919b4</errorID>
      <errorWord>分部</errorWord>
      <group>L1_Word</group>
      <groupName>字词问题</groupName>
      <ability>L2_Typo</ability>
      <abilityName>字词错误</abilityName>
      <candidateList>
        <item>分布</item>
      </candidateList>
      <explain>〈动〉散布（在一定的地区内）：人口～图｜商业网点～得不均匀。</explain>
      <paraID>4836E828</paraID>
      <start>102</start>
      <end>104</end>
      <status>unmodified</status>
      <modifiedWord/>
      <trackRevisions>false</trackRevisions>
    </reviewItem>
    <reviewItem>
      <errorID>8cc9d8f6-246d-4110-9970-71829828d5b9</errorID>
      <errorWord>相符合的</errorWord>
      <group>L1_Word</group>
      <groupName>字词问题</groupName>
      <ability>L2_Typo</ability>
      <abilityName>字词错误</abilityName>
      <candidateList>
        <item>相符合</item>
      </candidateList>
      <explain/>
      <paraID>2E241275</paraID>
      <start>82</start>
      <end>86</end>
      <status>unmodified</status>
      <modifiedWord/>
      <trackRevisions>false</trackRevisions>
    </reviewItem>
    <reviewItem>
      <errorID>37bd3fad-8714-4686-ad64-28180149ff7c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358B75A4</paraID>
      <start>0</start>
      <end>2</end>
      <status>unmodified</status>
      <modifiedWord/>
      <trackRevisions>false</trackRevisions>
    </reviewItem>
    <reviewItem>
      <errorID>e43b7287-015c-44c2-98d7-3f0651b9c520</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4ED6E25D</paraID>
      <start>0</start>
      <end>2</end>
      <status>unmodified</status>
      <modifiedWord/>
      <trackRevisions>false</trackRevisions>
    </reviewItem>
    <reviewItem>
      <errorID>c7284b9e-30eb-4913-9f06-1b66b32e5cf2</errorID>
      <errorWord>拌合站</errorWord>
      <group>L1_Word</group>
      <groupName>字词问题</groupName>
      <ability>L2_Typo</ability>
      <abilityName>字词错误</abilityName>
      <candidateList>
        <item>拌和站</item>
      </candidateList>
      <explain>存在发音相同字词的误用。</explain>
      <paraID>79058049</paraID>
      <start>4</start>
      <end>7</end>
      <status>unmodified</status>
      <modifiedWord/>
      <trackRevisions>false</trackRevisions>
    </reviewItem>
    <reviewItem>
      <errorID>1b4ca8bf-dd72-4a14-b81a-b1ce0a15fcac</errorID>
      <errorWord>拌合站</errorWord>
      <group>L1_Word</group>
      <groupName>字词问题</groupName>
      <ability>L2_Typo</ability>
      <abilityName>字词错误</abilityName>
      <candidateList>
        <item>拌和站</item>
      </candidateList>
      <explain>存在发音相同字词的误用。</explain>
      <paraID>3D17AB70</paraID>
      <start>8</start>
      <end>11</end>
      <status>unmodified</status>
      <modifiedWord/>
      <trackRevisions>false</trackRevisions>
    </reviewItem>
    <reviewItem>
      <errorID>3c53ee58-12a9-4edb-b513-c8bcf1aa0b48</errorID>
      <errorWord>拌合站</errorWord>
      <group>L1_Word</group>
      <groupName>字词问题</groupName>
      <ability>L2_Typo</ability>
      <abilityName>字词错误</abilityName>
      <candidateList>
        <item>拌和站</item>
      </candidateList>
      <explain>存在发音相同字词的误用。</explain>
      <paraID>3D17AB70</paraID>
      <start>103</start>
      <end>106</end>
      <status>unmodified</status>
      <modifiedWord/>
      <trackRevisions>false</trackRevisions>
    </reviewItem>
    <reviewItem>
      <errorID>c50f69d3-cbfd-4e22-9442-75d53e79b0bf</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63AC04ED</paraID>
      <start>0</start>
      <end>2</end>
      <status>unmodified</status>
      <modifiedWord/>
      <trackRevisions>false</trackRevisions>
    </reviewItem>
    <reviewItem>
      <errorID>298bcfc0-4509-48a4-838d-fb6addc83943</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122A9A52</paraID>
      <start>0</start>
      <end>3</end>
      <status>unmodified</status>
      <modifiedWord/>
      <trackRevisions>false</trackRevisions>
    </reviewItem>
    <reviewItem>
      <errorID>89fa882a-88a2-404a-a26b-8e1d889f2e44</errorID>
      <errorWord>III类</errorWord>
      <group>L1_Knowledge</group>
      <groupName>知识性问题</groupName>
      <ability>L2_Knowledge</ability>
      <abilityName>其他知识</abilityName>
      <candidateList>
        <item>Ⅲ类</item>
      </candidateList>
      <explain>中文环境下罗马数字格式错误。</explain>
      <paraID>54B004F0</paraID>
      <start>118</start>
      <end>122</end>
      <status>unmodified</status>
      <modifiedWord/>
      <trackRevisions>false</trackRevisions>
    </reviewItem>
    <reviewItem>
      <errorID>1d06c304-abfb-4b72-9be8-4f9cb13b6742</errorID>
      <errorWord>III类</errorWord>
      <group>L1_Knowledge</group>
      <groupName>知识性问题</groupName>
      <ability>L2_Knowledge</ability>
      <abilityName>其他知识</abilityName>
      <candidateList>
        <item>Ⅲ类</item>
      </candidateList>
      <explain>中文环境下罗马数字格式错误。</explain>
      <paraID>54B004F0</paraID>
      <start>158</start>
      <end>162</end>
      <status>unmodified</status>
      <modifiedWord/>
      <trackRevisions>false</trackRevisions>
    </reviewItem>
    <reviewItem>
      <errorID>4b6e2aea-f98e-4c8c-a438-670409f053cd</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1F17E73A</paraID>
      <start>0</start>
      <end>3</end>
      <status>unmodified</status>
      <modifiedWord/>
      <trackRevisions>false</trackRevisions>
    </reviewItem>
    <reviewItem>
      <errorID>f632f586-debe-4645-a597-34da54b718c2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5880EDF8</paraID>
      <start>0</start>
      <end>2</end>
      <status>unmodified</status>
      <modifiedWord/>
      <trackRevisions>false</trackRevisions>
    </reviewItem>
    <reviewItem>
      <errorID>23346054-5de5-45c1-b4fe-787f714977d7</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22D970C4</paraID>
      <start>0</start>
      <end>3</end>
      <status>unmodified</status>
      <modifiedWord/>
      <trackRevisions>false</trackRevisions>
    </reviewItem>
    <reviewItem>
      <errorID>5ca45c04-3b34-41a6-a3e2-e14ed5dbaed9</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59DA6900</paraID>
      <start>0</start>
      <end>3</end>
      <status>unmodified</status>
      <modifiedWord/>
      <trackRevisions>false</trackRevisions>
    </reviewItem>
    <reviewItem>
      <errorID>45928da2-d637-45b7-996b-ff13023610b7</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B891141</paraID>
      <start>0</start>
      <end>3</end>
      <status>unmodified</status>
      <modifiedWord/>
      <trackRevisions>false</trackRevisions>
    </reviewItem>
    <reviewItem>
      <errorID>572d68ef-6144-4bde-9520-20cf07431031</errorID>
      <errorWord>《中共中央、国务院</errorWord>
      <group>L1_Political</group>
      <groupName>政治性问题</groupName>
      <ability>L2_Unpolitical</ability>
      <abilityName>政治敏感错误</abilityName>
      <candidateList>
        <item>《中共中央 国务院</item>
      </candidateList>
      <explain/>
      <paraID> B891141</paraID>
      <start>31</start>
      <end>40</end>
      <status>unmodified</status>
      <modifiedWord/>
      <trackRevisions>false</trackRevisions>
    </reviewItem>
    <reviewItem>
      <errorID>80dcbcce-2549-4495-ab6f-3d0d7cf216b9</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 B891141</paraID>
      <start>156</start>
      <end>157</end>
      <status>unmodified</status>
      <modifiedWord/>
      <trackRevisions>false</trackRevisions>
    </reviewItem>
    <reviewItem>
      <errorID>a5303178-c6da-47c2-8017-d3b4a60b1d16</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34AEC66B</paraID>
      <start>33</start>
      <end>34</end>
      <status>unmodified</status>
      <modifiedWord/>
      <trackRevisions>false</trackRevisions>
    </reviewItem>
    <reviewItem>
      <errorID>7ee5e8f6-f649-4490-9f64-3a0d3b6dffe3</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 72DDD1F</paraID>
      <start>129</start>
      <end>130</end>
      <status>unmodified</status>
      <modifiedWord/>
      <trackRevisions>false</trackRevisions>
    </reviewItem>
    <reviewItem>
      <errorID>be2ed1cc-dd90-4386-9a42-c19a2374538b</errorID>
      <errorWord>法律、法规</errorWord>
      <group>L1_Word</group>
      <groupName>字词问题</groupName>
      <ability>L2_Typo</ability>
      <abilityName>字词错误</abilityName>
      <candidateList>
        <item>法律法规</item>
      </candidateList>
      <explain/>
      <paraID>3D41422F</paraID>
      <start>40</start>
      <end>45</end>
      <status>unmodified</status>
      <modifiedWord/>
      <trackRevisions>false</trackRevisions>
    </reviewItem>
    <reviewItem>
      <errorID>2005e887-bb6e-409c-8606-e38dc8108c71</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2EA650DB</paraID>
      <start>0</start>
      <end>3</end>
      <status>unmodified</status>
      <modifiedWord/>
      <trackRevisions>false</trackRevisions>
    </reviewItem>
    <reviewItem>
      <errorID>793fb26c-b4c6-4ea1-81ec-948479159f7d</errorID>
      <errorWord>16、</errorWord>
      <group>L1_Format</group>
      <groupName>格式问题</groupName>
      <ability>L2_Ordinal</ability>
      <abilityName>序号格式</abilityName>
      <candidateList>
        <item>16.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7C735502</paraID>
      <start>0</start>
      <end>3</end>
      <status>unmodified</status>
      <modifiedWord/>
      <trackRevisions>false</trackRevisions>
    </reviewItem>
    <reviewItem>
      <errorID>c29426c6-8a32-4dba-a7f2-e5ca9b7880e7</errorID>
      <errorWord>17、</errorWord>
      <group>L1_Format</group>
      <groupName>格式问题</groupName>
      <ability>L2_Ordinal</ability>
      <abilityName>序号格式</abilityName>
      <candidateList>
        <item>17.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1AD048B8</paraID>
      <start>0</start>
      <end>3</end>
      <status>unmodified</status>
      <modifiedWord/>
      <trackRevisions>false</trackRevisions>
    </reviewItem>
    <reviewItem>
      <errorID>50d8844d-3a32-4eeb-9b0d-e8d7c848f073</errorID>
      <errorWord>18、</errorWord>
      <group>L1_Format</group>
      <groupName>格式问题</groupName>
      <ability>L2_Ordinal</ability>
      <abilityName>序号格式</abilityName>
      <candidateList>
        <item>18.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7F8FF794</paraID>
      <start>0</start>
      <end>3</end>
      <status>unmodified</status>
      <modifiedWord/>
      <trackRevisions>false</trackRevisions>
    </reviewItem>
    <reviewItem>
      <errorID>b9209a08-ff65-4e1e-8197-2b2954e01ee9</errorID>
      <errorWord>19、</errorWord>
      <group>L1_Format</group>
      <groupName>格式问题</groupName>
      <ability>L2_Ordinal</ability>
      <abilityName>序号格式</abilityName>
      <candidateList>
        <item>19.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41FBEA4</paraID>
      <start>0</start>
      <end>3</end>
      <status>unmodified</status>
      <modifiedWord/>
      <trackRevisions>false</trackRevisions>
    </reviewItem>
    <reviewItem>
      <errorID>3bbc0e69-8383-464b-8e39-49959295a1af</errorID>
      <errorWord>拌合站</errorWord>
      <group>L1_Word</group>
      <groupName>字词问题</groupName>
      <ability>L2_Typo</ability>
      <abilityName>字词错误</abilityName>
      <candidateList>
        <item>拌和站</item>
      </candidateList>
      <explain>存在发音相同字词的误用。</explain>
      <paraID>5B74667A</paraID>
      <start>40</start>
      <end>43</end>
      <status>unmodified</status>
      <modifiedWord/>
      <trackRevisions>false</trackRevisions>
    </reviewItem>
    <reviewItem>
      <errorID>f8219b46-5b89-4a32-9ec9-835f885b781e</errorID>
      <errorWord>密闭化</errorWord>
      <group>L1_Word</group>
      <groupName>字词问题</groupName>
      <ability>L2_Typo</ability>
      <abilityName>字词错误</abilityName>
      <candidateList>
        <item>密闭</item>
      </candidateList>
      <explain/>
      <paraID>436AAD5F</paraID>
      <start>51</start>
      <end>54</end>
      <status>unmodified</status>
      <modifiedWord/>
      <trackRevisions>false</trackRevisions>
    </reviewItem>
    <reviewItem>
      <errorID>078cba5f-c536-4a04-ba7c-63b00b02b6e3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55D6FF8D</paraID>
      <start>0</start>
      <end>2</end>
      <status>unmodified</status>
      <modifiedWord/>
      <trackRevisions>false</trackRevisions>
    </reviewItem>
    <reviewItem>
      <errorID>d1b5a78a-99d1-40d3-87e4-4c223e5a3a48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5F188B06</paraID>
      <start>0</start>
      <end>2</end>
      <status>unmodified</status>
      <modifiedWord/>
      <trackRevisions>false</trackRevisions>
    </reviewItem>
    <reviewItem>
      <errorID>4a6c1927-e6ad-4f42-8c7b-fadb21f8d3f7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7AFAFDAE</paraID>
      <start>0</start>
      <end>2</end>
      <status>unmodified</status>
      <modifiedWord/>
      <trackRevisions>false</trackRevisions>
    </reviewItem>
    <reviewItem>
      <errorID>2806c09c-634e-4b0e-9b44-ecc3d695482e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3438CBDF</paraID>
      <start>0</start>
      <end>2</end>
      <status>unmodified</status>
      <modifiedWord/>
      <trackRevisions>false</trackRevisions>
    </reviewItem>
    <reviewItem>
      <errorID>759142b8-bfc3-4d5f-89cb-9c8788ad2b7c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47F952AA</paraID>
      <start>0</start>
      <end>2</end>
      <status>unmodified</status>
      <modifiedWord/>
      <trackRevisions>false</trackRevisions>
    </reviewItem>
    <reviewItem>
      <errorID>df0b9d16-291f-4191-b127-5c1adba01c57</errorID>
      <errorWord>（</errorWord>
      <group>L1_Format</group>
      <groupName>格式问题</groupName>
      <ability>L2_HalfPunc_CN</ability>
      <abilityName>全半角检查</abilityName>
      <candidateList>
        <item>(</item>
      </candidateList>
      <explain>文本全半角错误。</explain>
      <paraID>7C3BB6AA</paraID>
      <start>4</start>
      <end>5</end>
      <status>unmodified</status>
      <modifiedWord/>
      <trackRevisions>false</trackRevisions>
    </reviewItem>
    <reviewItem>
      <errorID>010d7f2a-9240-4be0-9f00-4478a69b2cdd</errorID>
      <errorWord>（</errorWord>
      <group>L1_Format</group>
      <groupName>格式问题</groupName>
      <ability>L2_HalfPunc_CN</ability>
      <abilityName>全半角检查</abilityName>
      <candidateList>
        <item>(</item>
      </candidateList>
      <explain>文本全半角错误。</explain>
      <paraID> 97F3A3C</paraID>
      <start>4</start>
      <end>5</end>
      <status>unmodified</status>
      <modifiedWord/>
      <trackRevisions>false</trackRevisions>
    </reviewItem>
    <reviewItem>
      <errorID>b4cb5a84-611c-4f26-8ae9-952514bd4b42</errorID>
      <errorWord>（</errorWord>
      <group>L1_Format</group>
      <groupName>格式问题</groupName>
      <ability>L2_HalfPunc_CN</ability>
      <abilityName>全半角检查</abilityName>
      <candidateList>
        <item>(</item>
      </candidateList>
      <explain>文本全半角错误。</explain>
      <paraID>3F15E609</paraID>
      <start>4</start>
      <end>5</end>
      <status>unmodified</status>
      <modifiedWord/>
      <trackRevisions>false</trackRevisions>
    </reviewItem>
    <reviewItem>
      <errorID>32e8f3e5-7799-41fc-94f1-31fd95b0a40f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163F6A36</paraID>
      <start>0</start>
      <end>2</end>
      <status>unmodified</status>
      <modifiedWord/>
      <trackRevisions>false</trackRevisions>
    </reviewItem>
    <reviewItem>
      <errorID>9f4012d3-94e2-483e-93e9-c25f536294d0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11720C78</paraID>
      <start>0</start>
      <end>2</end>
      <status>unmodified</status>
      <modifiedWord/>
      <trackRevisions>false</trackRevisions>
    </reviewItem>
    <reviewItem>
      <errorID>f929bacc-9c4b-4702-879a-0f98be2eccd5</errorID>
      <errorWord>拌合</errorWord>
      <group>L1_Word</group>
      <groupName>字词问题</groupName>
      <ability>L2_Typo</ability>
      <abilityName>字词错误</abilityName>
      <candidateList>
        <item>拌和</item>
      </candidateList>
      <explain/>
      <paraID>46A947CA</paraID>
      <start>1</start>
      <end>3</end>
      <status>unmodified</status>
      <modifiedWord/>
      <trackRevisions>false</trackRevisions>
    </reviewItem>
    <reviewItem>
      <errorID>caff43f7-63df-443e-935a-1d556d534445</errorID>
      <errorWord>拌合站</errorWord>
      <group>L1_Word</group>
      <groupName>字词问题</groupName>
      <ability>L2_Typo</ability>
      <abilityName>字词错误</abilityName>
      <candidateList>
        <item>拌和站</item>
      </candidateList>
      <explain>存在发音相同字词的误用。</explain>
      <paraID>46A947CA</paraID>
      <start>6</start>
      <end>9</end>
      <status>unmodified</status>
      <modifiedWord/>
      <trackRevisions>false</trackRevisions>
    </reviewItem>
    <reviewItem>
      <errorID>2d50f119-49c5-480f-bcbb-672e0fda6e69</errorID>
      <errorWord>拌合机</errorWord>
      <group>L1_Word</group>
      <groupName>字词问题</groupName>
      <ability>L2_Alias</ability>
      <abilityName>也作/曾用词</abilityName>
      <candidateList>
        <item>拌和机</item>
      </candidateList>
      <explain>词汇[拌合机]为不规范表述或旧称，其规范书面表述为[拌和机]。</explain>
      <paraID>46A947CA</paraID>
      <start>15</start>
      <end>18</end>
      <status>unmodified</status>
      <modifiedWord/>
      <trackRevisions>false</trackRevisions>
    </reviewItem>
    <reviewItem>
      <errorID>784b415d-3ee5-4a42-9096-31af24e06e43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597146DB</paraID>
      <start>0</start>
      <end>2</end>
      <status>unmodified</status>
      <modifiedWord/>
      <trackRevisions>false</trackRevisions>
    </reviewItem>
    <reviewItem>
      <errorID>cc1c6a8b-62f1-412e-a70c-d2a6535f4c17</errorID>
      <errorWord>拟将</errorWord>
      <group>L1_Word</group>
      <groupName>字词问题</groupName>
      <ability>L2_Typo</ability>
      <abilityName>字词错误</abilityName>
      <candidateList>
        <item>拟</item>
      </candidateList>
      <explain/>
      <paraID>2B3C2FC2</paraID>
      <start>38</start>
      <end>40</end>
      <status>unmodified</status>
      <modifiedWord/>
      <trackRevisions>false</trackRevisions>
    </reviewItem>
    <reviewItem>
      <errorID>090b4c38-bb96-406e-90ba-07174c178ea8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666B2F47</paraID>
      <start>0</start>
      <end>2</end>
      <status>unmodified</status>
      <modifiedWord/>
      <trackRevisions>false</trackRevisions>
    </reviewItem>
    <reviewItem>
      <errorID>3377c308-3705-4940-a925-4ffd0d0ddced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18A12813</paraID>
      <start>0</start>
      <end>2</end>
      <status>unmodified</status>
      <modifiedWord/>
      <trackRevisions>false</trackRevisions>
    </reviewItem>
    <reviewItem>
      <errorID>ce1949b5-93da-4aec-b294-e425e8c7e03b</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42EFF96D</paraID>
      <start>0</start>
      <end>2</end>
      <status>unmodified</status>
      <modifiedWord/>
      <trackRevisions>false</trackRevisions>
    </reviewItem>
    <reviewItem>
      <errorID>db9f83db-4eae-4182-a110-7a84482d54c2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1DCDD707</paraID>
      <start>0</start>
      <end>2</end>
      <status>unmodified</status>
      <modifiedWord/>
      <trackRevisions>false</trackRevisions>
    </reviewItem>
    <reviewItem>
      <errorID>76f66acb-40fa-4e34-821e-76dc633f1a28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517B08F5</paraID>
      <start>0</start>
      <end>2</end>
      <status>unmodified</status>
      <modifiedWord/>
      <trackRevisions>false</trackRevisions>
    </reviewItem>
    <reviewItem>
      <errorID>62ac9b5a-09ad-47fe-823f-28e29c824b85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27E6B190</paraID>
      <start>0</start>
      <end>2</end>
      <status>unmodified</status>
      <modifiedWord/>
      <trackRevisions>false</trackRevisions>
    </reviewItem>
    <reviewItem>
      <errorID>7eba2f51-73a4-474a-aac7-e6f64f0a6633</errorID>
      <errorWord>不必要的麻烦</errorWord>
      <group>L1_Grammar</group>
      <groupName>语法问题</groupName>
      <ability>L2_Grammar</ability>
      <abilityName>语法错误</abilityName>
      <candidateList>
        <item>麻烦</item>
      </candidateList>
      <explain>该表达中的“不必要的麻烦”存在语义重复。</explain>
      <paraID>2576CEEA</paraID>
      <start>42</start>
      <end>48</end>
      <status>unmodified</status>
      <modifiedWord/>
      <trackRevisions>false</trackRevisions>
    </reviewItem>
    <reviewItem>
      <errorID>fb2fb16b-182e-4bec-90f6-0833808f24c8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25F5C55D</paraID>
      <start>0</start>
      <end>2</end>
      <status>unmodified</status>
      <modifiedWord/>
      <trackRevisions>false</trackRevisions>
    </reviewItem>
    <reviewItem>
      <errorID>264165bf-1023-4327-95fd-a8cebda87a44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29AB6A85</paraID>
      <start>0</start>
      <end>2</end>
      <status>unmodified</status>
      <modifiedWord/>
      <trackRevisions>false</trackRevisions>
    </reviewItem>
    <reviewItem>
      <errorID>3b209a56-3fb3-4585-bb6d-2f06492ceb51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191F0E0B</paraID>
      <start>0</start>
      <end>2</end>
      <status>unmodified</status>
      <modifiedWord/>
      <trackRevisions>false</trackRevisions>
    </reviewItem>
    <reviewItem>
      <errorID>5007fbae-1d23-49d2-8955-7da5c37c451c</errorID>
      <errorWord>种养殖</errorWord>
      <group>L1_Word</group>
      <groupName>字词问题</groupName>
      <ability>L2_Typo</ability>
      <abilityName>字词错误</abilityName>
      <candidateList>
        <item>种植养殖</item>
      </candidateList>
      <explain/>
      <paraID>2C3A611A</paraID>
      <start>148</start>
      <end>151</end>
      <status>unmodified</status>
      <modifiedWord/>
      <trackRevisions>false</trackRevisions>
    </reviewItem>
    <reviewItem>
      <errorID>cfa91375-86b9-4d72-9680-77621a1e54b4</errorID>
      <errorWord>相符合的</errorWord>
      <group>L1_Word</group>
      <groupName>字词问题</groupName>
      <ability>L2_Typo</ability>
      <abilityName>字词错误</abilityName>
      <candidateList>
        <item>相符合</item>
      </candidateList>
      <explain/>
      <paraID>35BA7491</paraID>
      <start>102</start>
      <end>106</end>
      <status>unmodified</status>
      <modifiedWord/>
      <trackRevisions>false</trackRevisions>
    </reviewItem>
    <reviewItem>
      <errorID>566ec5c3-e86f-4296-b5ba-ae9afff084e2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1A296B41</paraID>
      <start>0</start>
      <end>2</end>
      <status>unmodified</status>
      <modifiedWord/>
      <trackRevisions>false</trackRevisions>
    </reviewItem>
    <reviewItem>
      <errorID>b809dfb8-702e-48e5-9efc-c7f2dc6661ed</errorID>
      <errorWord>水源涵养与土壤保持</errorWord>
      <group>L1_Political</group>
      <groupName>政治性问题</groupName>
      <ability>L2_Keyword</ability>
      <abilityName>固定表述</abilityName>
      <candidateList>
        <item>水源涵养与水土保持</item>
      </candidateList>
      <explain>词汇“水源涵养与水土保持”在特定场景下为固定表述形式，请确认此处的“水源涵养与土壤保持”是否存在不当。</explain>
      <paraID>1A296B41</paraID>
      <start>31</start>
      <end>40</end>
      <status>unmodified</status>
      <modifiedWord/>
      <trackRevisions>false</trackRevisions>
    </reviewItem>
    <reviewItem>
      <errorID>01586abd-aae1-4b01-9ed9-ecd89930b895</errorID>
      <errorWord>赠机</errorWord>
      <group>L1_Word</group>
      <groupName>字词问题</groupName>
      <ability>L2_Typo</ability>
      <abilityName>字词错误</abilityName>
      <candidateList>
        <item>增加</item>
      </candidateList>
      <explain>〈动〉在原有的基础上加多：～品种｜～抵抗力｜在校学生已由八百～到一千。</explain>
      <paraID>700D89B5</paraID>
      <start>10</start>
      <end>12</end>
      <status>unmodified</status>
      <modifiedWord/>
      <trackRevisions>false</trackRevisions>
    </reviewItem>
    <reviewItem>
      <errorID>a9c0dc42-71c2-4c23-9519-2956bc0f95b9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43F23D59</paraID>
      <start>0</start>
      <end>2</end>
      <status>unmodified</status>
      <modifiedWord/>
      <trackRevisions>false</trackRevisions>
    </reviewItem>
    <reviewItem>
      <errorID>6475a18f-6dbe-4511-85e3-fc3656f1cab4</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43F23D59</paraID>
      <start>54</start>
      <end>55</end>
      <status>unmodified</status>
      <modifiedWord/>
      <trackRevisions>false</trackRevisions>
    </reviewItem>
    <reviewItem>
      <errorID>1e61f415-6503-4b55-9875-58b7027049db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7463DD63</paraID>
      <start>0</start>
      <end>2</end>
      <status>unmodified</status>
      <modifiedWord/>
      <trackRevisions>false</trackRevisions>
    </reviewItem>
    <reviewItem>
      <errorID>15090e6a-32c6-4855-8083-b1e651472c4b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3C98D77E</paraID>
      <start>0</start>
      <end>2</end>
      <status>unmodified</status>
      <modifiedWord/>
      <trackRevisions>false</trackRevisions>
    </reviewItem>
    <reviewItem>
      <errorID>b77d4ebe-6ddc-4bf5-a4a0-005f93015f31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302C377C</paraID>
      <start>0</start>
      <end>2</end>
      <status>unmodified</status>
      <modifiedWord/>
      <trackRevisions>false</trackRevisions>
    </reviewItem>
    <reviewItem>
      <errorID>9a48187f-a35e-4622-8b2b-626e43641b0b</errorID>
      <errorWord>III类</errorWord>
      <group>L1_Knowledge</group>
      <groupName>知识性问题</groupName>
      <ability>L2_Knowledge</ability>
      <abilityName>其他知识</abilityName>
      <candidateList>
        <item>Ⅲ类</item>
      </candidateList>
      <explain>中文环境下罗马数字格式错误。</explain>
      <paraID>2E8E06A1</paraID>
      <start>118</start>
      <end>122</end>
      <status>unmodified</status>
      <modifiedWord/>
      <trackRevisions>false</trackRevisions>
    </reviewItem>
    <reviewItem>
      <errorID>c13db99f-57bd-4dc0-b195-70ab6f5931e0</errorID>
      <errorWord>III类</errorWord>
      <group>L1_Knowledge</group>
      <groupName>知识性问题</groupName>
      <ability>L2_Knowledge</ability>
      <abilityName>其他知识</abilityName>
      <candidateList>
        <item>Ⅲ类</item>
      </candidateList>
      <explain>中文环境下罗马数字格式错误。</explain>
      <paraID>2E8E06A1</paraID>
      <start>158</start>
      <end>162</end>
      <status>unmodified</status>
      <modifiedWord/>
      <trackRevisions>false</trackRevisions>
    </reviewItem>
    <reviewItem>
      <errorID>dfb40718-e647-4f04-a4a6-9526b0f68f72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361FDE0B</paraID>
      <start>0</start>
      <end>2</end>
      <status>unmodified</status>
      <modifiedWord/>
      <trackRevisions>false</trackRevisions>
    </reviewItem>
    <reviewItem>
      <errorID>acfded15-3a1e-48fc-b708-d75452ed8844</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4B27F7C</paraID>
      <start>27</start>
      <end>28</end>
      <status>unmodified</status>
      <modifiedWord/>
      <trackRevisions>false</trackRevisions>
    </reviewItem>
    <reviewItem>
      <errorID>65c4c1c7-d659-477f-ab30-aab67d90a770</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4B27F7C</paraID>
      <start>39</start>
      <end>40</end>
      <status>unmodified</status>
      <modifiedWord/>
      <trackRevisions>false</trackRevisions>
    </reviewItem>
    <reviewItem>
      <errorID>ae111a29-4018-49d4-816a-a62993d93d51</errorID>
      <errorWord>IV类</errorWord>
      <group>L1_Knowledge</group>
      <groupName>知识性问题</groupName>
      <ability>L2_Knowledge</ability>
      <abilityName>其他知识</abilityName>
      <candidateList>
        <item>Ⅳ类</item>
      </candidateList>
      <explain>中文环境下罗马数字格式错误。</explain>
      <paraID>633C3021</paraID>
      <start>109</start>
      <end>112</end>
      <status>unmodified</status>
      <modifiedWord/>
      <trackRevisions>false</trackRevisions>
    </reviewItem>
    <reviewItem>
      <errorID>60f051e1-7c82-47fd-8164-71f668a98f8a</errorID>
      <errorWord>III类</errorWord>
      <group>L1_Knowledge</group>
      <groupName>知识性问题</groupName>
      <ability>L2_Knowledge</ability>
      <abilityName>其他知识</abilityName>
      <candidateList>
        <item>Ⅲ类</item>
      </candidateList>
      <explain>中文环境下罗马数字格式错误。</explain>
      <paraID>6C185C30</paraID>
      <start>80</start>
      <end>84</end>
      <status>unmodified</status>
      <modifiedWord/>
      <trackRevisions>false</trackRevisions>
    </reviewItem>
    <reviewItem>
      <errorID>343412dc-4812-4bc2-a14c-f86c6b141f12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5475E7CD</paraID>
      <start>0</start>
      <end>2</end>
      <status>unmodified</status>
      <modifiedWord/>
      <trackRevisions>false</trackRevisions>
    </reviewItem>
    <reviewItem>
      <errorID>316caaf2-d92f-443f-bd9c-347c6728f76f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6C494B3</paraID>
      <start>0</start>
      <end>2</end>
      <status>unmodified</status>
      <modifiedWord/>
      <trackRevisions>false</trackRevisions>
    </reviewItem>
    <reviewItem>
      <errorID>dc45fa72-e230-4e92-97a0-3bf2d32c63dc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2F5DF401</paraID>
      <start>0</start>
      <end>2</end>
      <status>unmodified</status>
      <modifiedWord/>
      <trackRevisions>false</trackRevisions>
    </reviewItem>
    <reviewItem>
      <errorID>f3c23427-7217-4cfe-827f-b38dc5d929c2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1BD48087</paraID>
      <start>0</start>
      <end>2</end>
      <status>unmodified</status>
      <modifiedWord/>
      <trackRevisions>false</trackRevisions>
    </reviewItem>
    <reviewItem>
      <errorID>fe501f74-61bc-4abb-9c69-186084dc05eb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9E8ADA7</paraID>
      <start>0</start>
      <end>2</end>
      <status>unmodified</status>
      <modifiedWord/>
      <trackRevisions>false</trackRevisions>
    </reviewItem>
    <reviewItem>
      <errorID>87e950e6-b2db-4538-8dff-99684b5e5bdc</errorID>
      <errorWord>III类</errorWord>
      <group>L1_Knowledge</group>
      <groupName>知识性问题</groupName>
      <ability>L2_Knowledge</ability>
      <abilityName>其他知识</abilityName>
      <candidateList>
        <item>Ⅲ类</item>
      </candidateList>
      <explain>中文环境下罗马数字格式错误。</explain>
      <paraID>73D3DA9B</paraID>
      <start>55</start>
      <end>59</end>
      <status>unmodified</status>
      <modifiedWord/>
      <trackRevisions>false</trackRevisions>
    </reviewItem>
    <reviewItem>
      <errorID>ec85f36a-42de-45bf-974c-f9291c79029e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54999B9F</paraID>
      <start>0</start>
      <end>2</end>
      <status>unmodified</status>
      <modifiedWord/>
      <trackRevisions>false</trackRevisions>
    </reviewItem>
    <reviewItem>
      <errorID>bb4bf67a-555d-4d59-bf87-35bae45593c2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7E871922</paraID>
      <start>0</start>
      <end>2</end>
      <status>unmodified</status>
      <modifiedWord/>
      <trackRevisions>false</trackRevisions>
    </reviewItem>
    <reviewItem>
      <errorID>3c137eba-68bf-4863-ba7a-b5d708a566c4</errorID>
      <errorWord>II</errorWord>
      <group>L1_Knowledge</group>
      <groupName>知识性问题</groupName>
      <ability>L2_Knowledge</ability>
      <abilityName>其他知识</abilityName>
      <candidateList>
        <item>Ⅱ</item>
      </candidateList>
      <explain>中文环境下罗马数字格式错误。</explain>
      <paraID> 398409F</paraID>
      <start>16</start>
      <end>18</end>
      <status>unmodified</status>
      <modifiedWord/>
      <trackRevisions>false</trackRevisions>
    </reviewItem>
    <reviewItem>
      <errorID>23c706dd-3f3a-42c0-993d-86997c91b556</errorID>
      <errorWord>III</errorWord>
      <group>L1_Knowledge</group>
      <groupName>知识性问题</groupName>
      <ability>L2_Knowledge</ability>
      <abilityName>其他知识</abilityName>
      <candidateList>
        <item>Ⅲ</item>
      </candidateList>
      <explain>中文环境下罗马数字格式错误。</explain>
      <paraID>1BBCCC65</paraID>
      <start>16</start>
      <end>19</end>
      <status>unmodified</status>
      <modifiedWord/>
      <trackRevisions>false</trackRevisions>
    </reviewItem>
    <reviewItem>
      <errorID>982562e0-2693-435a-abd4-7abb038a6e6d</errorID>
      <errorWord>不易</errorWord>
      <group>L1_Word</group>
      <groupName>字词问题</groupName>
      <ability>L2_Typo</ability>
      <abilityName>字词错误</abilityName>
      <candidateList>
        <item>不宜</item>
      </candidateList>
      <explain>〈动〉不适宜：这块地～种植水稻｜解决思想问题要耐心细致，～操之过急。</explain>
      <paraID>1A26B432</paraID>
      <start>121</start>
      <end>123</end>
      <status>unmodified</status>
      <modifiedWord/>
      <trackRevisions>false</trackRevisions>
    </reviewItem>
    <reviewItem>
      <errorID>3a313566-abd3-4915-a6b8-336c9e969d85</errorID>
      <errorWord>恢复为</errorWord>
      <group>L1_Word</group>
      <groupName>字词问题</groupName>
      <ability>L2_Typo</ability>
      <abilityName>字词错误</abilityName>
      <candidateList>
        <item>恢复</item>
      </candidateList>
      <explain/>
      <paraID>4B27B2AE</paraID>
      <start>27</start>
      <end>30</end>
      <status>unmodified</status>
      <modifiedWord/>
      <trackRevisions>false</trackRevisions>
    </reviewItem>
    <reviewItem>
      <errorID>b58ae369-b3ae-4de2-ac39-6331a5366149</errorID>
      <errorWord>地方法规</errorWord>
      <group>L1_Political</group>
      <groupName>政治性问题</groupName>
      <ability>L2_Unpolitical</ability>
      <abilityName>政治敏感错误</abilityName>
      <candidateList>
        <item>地方性法规</item>
      </candidateList>
      <explain/>
      <paraID>5B9CE5A2</paraID>
      <start>13</start>
      <end>17</end>
      <status>unmodified</status>
      <modifiedWord/>
      <trackRevisions>false</trackRevisions>
    </reviewItem>
    <reviewItem>
      <errorID>d9060189-7836-4864-8b87-066bbc2c5823</errorID>
      <errorWord>将对</errorWord>
      <group>L1_Word</group>
      <groupName>字词问题</groupName>
      <ability>L2_Typo</ability>
      <abilityName>字词错误</abilityName>
      <candidateList>
        <item>将</item>
      </candidateList>
      <explain>（jiāng）将要；（jiàng）勇将、上将、游泳健将；（qiāng）请求，将子无怒。</explain>
      <paraID>70F79B4E</paraID>
      <start>428</start>
      <end>430</end>
      <status>unmodified</status>
      <modifiedWord/>
      <trackRevisions>false</trackRevisions>
    </reviewItem>
    <reviewItem>
      <errorID>a35bfca1-006c-465b-b8b8-7cbfd3df451f</errorID>
      <errorWord>声音</errorWord>
      <group>L1_Word</group>
      <groupName>字词问题</groupName>
      <ability>L2_Typo</ability>
      <abilityName>字词错误</abilityName>
      <candidateList>
        <item>声</item>
      </candidateList>
      <explain/>
      <paraID>11E61D5F</paraID>
      <start>90</start>
      <end>92</end>
      <status>unmodified</status>
      <modifiedWord/>
      <trackRevisions>false</trackRevisions>
    </reviewItem>
    <reviewItem>
      <errorID>11f259f8-2f9c-4ad6-a264-e911b32c1105</errorID>
      <errorWord>拌合机</errorWord>
      <group>L1_Word</group>
      <groupName>字词问题</groupName>
      <ability>L2_Alias</ability>
      <abilityName>也作/曾用词</abilityName>
      <candidateList>
        <item>拌和机</item>
      </candidateList>
      <explain>词汇[拌合机]为不规范表述或旧称，其规范书面表述为[拌和机]。</explain>
      <paraID>74EFFA98</paraID>
      <start>71</start>
      <end>74</end>
      <status>unmodified</status>
      <modifiedWord/>
      <trackRevisions>false</trackRevisions>
    </reviewItem>
    <reviewItem>
      <errorID>ce4e0068-3dc7-4d80-87a2-d61beb0615dc</errorID>
      <errorWord>~</errorWord>
      <group>L1_Format</group>
      <groupName>格式问题</groupName>
      <ability>L2_HalfPunc_CN</ability>
      <abilityName>全半角检查</abilityName>
      <candidateList>
        <item>～</item>
      </candidateList>
      <explain>文本全半角错误。</explain>
      <paraID>74EFFA98</paraID>
      <start>124</start>
      <end>125</end>
      <status>unmodified</status>
      <modifiedWord/>
      <trackRevisions>false</trackRevisions>
    </reviewItem>
    <reviewItem>
      <errorID>3bda6612-6680-45aa-a960-c0d1135daa04</errorID>
      <errorWord>~</errorWord>
      <group>L1_Format</group>
      <groupName>格式问题</groupName>
      <ability>L2_HalfPunc_CN</ability>
      <abilityName>全半角检查</abilityName>
      <candidateList>
        <item>～</item>
      </candidateList>
      <explain>文本全半角错误。</explain>
      <paraID>74EFFA98</paraID>
      <start>210</start>
      <end>211</end>
      <status>unmodified</status>
      <modifiedWord/>
      <trackRevisions>false</trackRevisions>
    </reviewItem>
    <reviewItem>
      <errorID>f521986d-1a67-4fdf-8e85-952aa9154120</errorID>
      <errorWord>拌合机</errorWord>
      <group>L1_Word</group>
      <groupName>字词问题</groupName>
      <ability>L2_Alias</ability>
      <abilityName>也作/曾用词</abilityName>
      <candidateList>
        <item>拌和机</item>
      </candidateList>
      <explain>词汇[拌合机]为不规范表述或旧称，其规范书面表述为[拌和机]。</explain>
      <paraID>7AE6D867</paraID>
      <start>66</start>
      <end>69</end>
      <status>unmodified</status>
      <modifiedWord/>
      <trackRevisions>false</trackRevisions>
    </reviewItem>
    <reviewItem>
      <errorID>7e544726-aa17-4557-9ec7-743bb1212ce5</errorID>
      <errorWord>拌合机</errorWord>
      <group>L1_Word</group>
      <groupName>字词问题</groupName>
      <ability>L2_Alias</ability>
      <abilityName>也作/曾用词</abilityName>
      <candidateList>
        <item>拌和机</item>
      </candidateList>
      <explain>词汇[拌合机]为不规范表述或旧称，其规范书面表述为[拌和机]。</explain>
      <paraID>7AE6D867</paraID>
      <start>185</start>
      <end>188</end>
      <status>unmodified</status>
      <modifiedWord/>
      <trackRevisions>false</trackRevisions>
    </reviewItem>
    <reviewItem>
      <errorID>d89452f2-6d08-4ef9-b9f9-a6c5bb66392e</errorID>
      <errorWord>污染物染物</errorWord>
      <group>L1_Word</group>
      <groupName>字词问题</groupName>
      <ability>L2_Typo</ability>
      <abilityName>字词错误</abilityName>
      <candidateList>
        <item>污染物</item>
      </candidateList>
      <explain/>
      <paraID>4B2C6707</paraID>
      <start>195</start>
      <end>200</end>
      <status>unmodified</status>
      <modifiedWord/>
      <trackRevisions>false</trackRevisions>
    </reviewItem>
    <reviewItem>
      <errorID>80e9aecd-c17b-42b0-bb73-0b5ff5910131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F8301E0</paraID>
      <start>0</start>
      <end>2</end>
      <status>unmodified</status>
      <modifiedWord/>
      <trackRevisions>false</trackRevisions>
    </reviewItem>
    <reviewItem>
      <errorID>0aa1c607-d5ba-4707-af75-bf7b6167540f</errorID>
      <errorWord>减震</errorWord>
      <group>L1_Word</group>
      <groupName>字词问题</groupName>
      <ability>L2_Typo</ability>
      <abilityName>字词错误</abilityName>
      <candidateList>
        <item>减振</item>
      </candidateList>
      <explain>存在发音相同字词的误用。</explain>
      <paraID> FDC4EE9</paraID>
      <start>148</start>
      <end>150</end>
      <status>unmodified</status>
      <modifiedWord/>
      <trackRevisions>false</trackRevisions>
    </reviewItem>
    <reviewItem>
      <errorID>2138ce7d-79f4-4ef4-81cb-6abf95c7fbd5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2EAE26BC</paraID>
      <start>0</start>
      <end>2</end>
      <status>unmodified</status>
      <modifiedWord/>
      <trackRevisions>false</trackRevisions>
    </reviewItem>
    <reviewItem>
      <errorID>1be1b0a7-a708-4b64-87fa-f91569c69e0f</errorID>
      <errorWord>感观</errorWord>
      <group>L1_Word</group>
      <groupName>字词问题</groupName>
      <ability>L2_Typo</ability>
      <abilityName>字词错误</abilityName>
      <candidateList>
        <item>感官</item>
      </candidateList>
      <explain>存在发音相同字词的误用。</explain>
      <paraID>2800378D</paraID>
      <start>163</start>
      <end>165</end>
      <status>unmodified</status>
      <modifiedWord/>
      <trackRevisions>false</trackRevisions>
    </reviewItem>
    <reviewItem>
      <errorID>058e14ce-98cb-4c62-9454-33a99f751aa7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161E07AB</paraID>
      <start>0</start>
      <end>2</end>
      <status>unmodified</status>
      <modifiedWord/>
      <trackRevisions>false</trackRevisions>
    </reviewItem>
    <reviewItem>
      <errorID>e5a98897-dfbe-42a5-8a0b-483160dc20e1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57033179</paraID>
      <start>0</start>
      <end>2</end>
      <status>unmodified</status>
      <modifiedWord/>
      <trackRevisions>false</trackRevisions>
    </reviewItem>
    <reviewItem>
      <errorID>6ad389a9-d816-4b76-ba6b-c9c9a63a9262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7F9375B0</paraID>
      <start>0</start>
      <end>2</end>
      <status>unmodified</status>
      <modifiedWord/>
      <trackRevisions>false</trackRevisions>
    </reviewItem>
    <reviewItem>
      <errorID>5975a4a9-f529-4061-8bfd-40c3f1b34e83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6C1E31DD</paraID>
      <start>0</start>
      <end>2</end>
      <status>unmodified</status>
      <modifiedWord/>
      <trackRevisions>false</trackRevisions>
    </reviewItem>
    <reviewItem>
      <errorID>ece0045e-198a-46fa-b3a1-a98d4dde6075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51B7AFF2</paraID>
      <start>0</start>
      <end>2</end>
      <status>unmodified</status>
      <modifiedWord/>
      <trackRevisions>false</trackRevisions>
    </reviewItem>
    <reviewItem>
      <errorID>4ec17b2e-95ab-4767-af8b-25b2455b769c</errorID>
      <errorWord>IV类</errorWord>
      <group>L1_Knowledge</group>
      <groupName>知识性问题</groupName>
      <ability>L2_Knowledge</ability>
      <abilityName>其他知识</abilityName>
      <candidateList>
        <item>Ⅳ类</item>
      </candidateList>
      <explain>中文环境下罗马数字格式错误。</explain>
      <paraID>2B2D70BF</paraID>
      <start>106</start>
      <end>109</end>
      <status>unmodified</status>
      <modifiedWord/>
      <trackRevisions>false</trackRevisions>
    </reviewItem>
    <reviewItem>
      <errorID>a9894399-29ce-45d5-88a8-5db83ee421dc</errorID>
      <errorWord>III类</errorWord>
      <group>L1_Knowledge</group>
      <groupName>知识性问题</groupName>
      <ability>L2_Knowledge</ability>
      <abilityName>其他知识</abilityName>
      <candidateList>
        <item>Ⅲ类</item>
      </candidateList>
      <explain>中文环境下罗马数字格式错误。</explain>
      <paraID> 900E101</paraID>
      <start>80</start>
      <end>84</end>
      <status>unmodified</status>
      <modifiedWord/>
      <trackRevisions>false</trackRevisions>
    </reviewItem>
    <reviewItem>
      <errorID>36e06975-a030-480f-a84a-46d810017263</errorID>
      <errorWord>保护</errorWord>
      <group>L1_Grammar</group>
      <groupName>语法问题</groupName>
      <ability>L2_Grammar</ability>
      <abilityName>语法错误</abilityName>
      <candidateList>
        <item>维护</item>
      </candidateList>
      <explain>“保护～稳定”搭配不当，建议修改为“维护～稳定”。</explain>
      <paraID>50631CCA</paraID>
      <start>11</start>
      <end>13</end>
      <status>unmodified</status>
      <modifiedWord/>
      <trackRevisions>false</trackRevisions>
    </reviewItem>
    <reviewItem>
      <errorID>33cab143-e2bf-4a46-a1cf-4bbe54f6b2bd</errorID>
      <errorWord>久趋</errorWord>
      <group>L1_Word</group>
      <groupName>字词问题</groupName>
      <ability>L2_Typo</ability>
      <abilityName>字词错误</abilityName>
      <candidateList>
        <item>日趋</item>
      </candidateList>
      <explain/>
      <paraID>4B394BD8</paraID>
      <start>65</start>
      <end>67</end>
      <status>unmodified</status>
      <modifiedWord/>
      <trackRevisions>false</trackRevisions>
    </reviewItem>
    <reviewItem>
      <errorID>43183f5f-49ca-4333-92e9-66b41913c5a2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481B79CB</paraID>
      <start>0</start>
      <end>2</end>
      <status>unmodified</status>
      <modifiedWord/>
      <trackRevisions>false</trackRevisions>
    </reviewItem>
    <reviewItem>
      <errorID>8f2e70e2-5416-44ff-a0ca-8668a4676e4a</errorID>
      <errorWord>制订</errorWord>
      <group>L1_Word</group>
      <groupName>字词问题</groupName>
      <ability>L2_Typo</ability>
      <abilityName>字词错误</abilityName>
      <candidateList>
        <item>制定</item>
      </candidateList>
      <explain>〈动〉定出（法律、规程、政策等）：～宪法｜～学会章程。</explain>
      <paraID>362F9E14</paraID>
      <start>264</start>
      <end>266</end>
      <status>unmodified</status>
      <modifiedWord/>
      <trackRevisions>false</trackRevisions>
    </reviewItem>
    <reviewItem>
      <errorID>e0022abd-cde9-4099-beb5-74d40225e2f0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4827F85C</paraID>
      <start>0</start>
      <end>2</end>
      <status>unmodified</status>
      <modifiedWord/>
      <trackRevisions>false</trackRevisions>
    </reviewItem>
    <reviewItem>
      <errorID>340de968-5931-4708-9475-156437b7fbe5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594F8DE3</paraID>
      <start>0</start>
      <end>2</end>
      <status>unmodified</status>
      <modifiedWord/>
      <trackRevisions>false</trackRevisions>
    </reviewItem>
    <reviewItem>
      <errorID>bfa60f35-b1db-4ce7-8256-a264d7a64254</errorID>
      <errorWord>拌合站</errorWord>
      <group>L1_Word</group>
      <groupName>字词问题</groupName>
      <ability>L2_Typo</ability>
      <abilityName>字词错误</abilityName>
      <candidateList>
        <item>拌和站</item>
      </candidateList>
      <explain>存在发音相同字词的误用。</explain>
      <paraID>569AA3F5</paraID>
      <start>209</start>
      <end>212</end>
      <status>unmodified</status>
      <modifiedWord/>
      <trackRevisions>false</trackRevisions>
    </reviewItem>
    <reviewItem>
      <errorID>d3d0d25a-d31c-4d38-89c9-048317059468</errorID>
      <errorWord>拌合站</errorWord>
      <group>L1_Word</group>
      <groupName>字词问题</groupName>
      <ability>L2_Typo</ability>
      <abilityName>字词错误</abilityName>
      <candidateList>
        <item>拌和站</item>
      </candidateList>
      <explain>存在发音相同字词的误用。</explain>
      <paraID>569AA3F5</paraID>
      <start>241</start>
      <end>244</end>
      <status>unmodified</status>
      <modifiedWord/>
      <trackRevisions>false</trackRevisions>
    </reviewItem>
    <reviewItem>
      <errorID>a505850b-79b2-4361-badf-c7221b1c0193</errorID>
      <errorWord>置</errorWord>
      <group>L1_Word</group>
      <groupName>字词问题</groupName>
      <ability>L2_Typo</ability>
      <abilityName>字词错误</abilityName>
      <candidateList>
        <item>置在</item>
      </candidateList>
      <explain/>
      <paraID>4D73E7D3</paraID>
      <start>40</start>
      <end>41</end>
      <status>unmodified</status>
      <modifiedWord/>
      <trackRevisions>false</trackRevisions>
    </reviewItem>
    <reviewItem>
      <errorID>730b1793-f6a9-400e-badd-3b554a75b3cd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366949C5</paraID>
      <start>0</start>
      <end>2</end>
      <status>unmodified</status>
      <modifiedWord/>
      <trackRevisions>false</trackRevisions>
    </reviewItem>
    <reviewItem>
      <errorID>1533e539-677e-406e-b519-0575b5cac2a2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6AC7592D</paraID>
      <start>0</start>
      <end>2</end>
      <status>unmodified</status>
      <modifiedWord/>
      <trackRevisions>false</trackRevisions>
    </reviewItem>
    <reviewItem>
      <errorID>8bb572a4-f88e-4136-b43d-5e81050422c6</errorID>
      <errorWord>》、《</errorWord>
      <group>L1_Punc</group>
      <groupName>标点问题</groupName>
      <ability>L2_Punc_CN</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290DA382</paraID>
      <start>60</start>
      <end>63</end>
      <status>unmodified</status>
      <modifiedWord/>
      <trackRevisions>false</trackRevisions>
    </reviewItem>
    <reviewItem>
      <errorID>c5c98dc5-a28d-440a-b1b5-ee764e6d59d3</errorID>
      <errorWord>》、《</errorWord>
      <group>L1_Punc</group>
      <groupName>标点问题</groupName>
      <ability>L2_Punc_CN</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290DA382</paraID>
      <start>77</start>
      <end>80</end>
      <status>unmodified</status>
      <modifiedWord/>
      <trackRevisions>false</trackRevisions>
    </reviewItem>
    <reviewItem>
      <errorID>8d8ffc23-5c37-494c-b66e-4f77d438ed36</errorID>
      <errorWord>致</errorWord>
      <group>L1_Word</group>
      <groupName>字词问题</groupName>
      <ability>L2_Typo</ability>
      <abilityName>字词错误</abilityName>
      <candidateList>
        <item>至</item>
      </candidateList>
      <explain>存在发音相同字词的误用。</explain>
      <paraID>6D4A5F50</paraID>
      <start>190</start>
      <end>191</end>
      <status>unmodified</status>
      <modifiedWord/>
      <trackRevisions>false</trackRevisions>
    </reviewItem>
    <reviewItem>
      <errorID>5ee36684-9d86-451a-bd65-7eff14837ee3</errorID>
      <errorWord>森林防火条例</errorWord>
      <group>L1_Knowledge</group>
      <groupName>知识性问题</groupName>
      <ability>L2_Knowledge</ability>
      <abilityName>其他知识</abilityName>
      <candidateList/>
      <explain>该法规已废止，请注意检查引用是否正确。</explain>
      <paraID>6AC9481C</paraID>
      <start>39</start>
      <end>45</end>
      <status>unmodified</status>
      <modifiedWord/>
      <trackRevisions>false</trackRevisions>
    </reviewItem>
    <reviewItem>
      <errorID>267827c0-658c-434b-b551-b39f387012f9</errorID>
      <errorWord>法律、法规</errorWord>
      <group>L1_Word</group>
      <groupName>字词问题</groupName>
      <ability>L2_Typo</ability>
      <abilityName>字词错误</abilityName>
      <candidateList>
        <item>法律法规</item>
      </candidateList>
      <explain/>
      <paraID> 5358E75</paraID>
      <start>27</start>
      <end>32</end>
      <status>unmodified</status>
      <modifiedWord/>
      <trackRevisions>false</trackRevisions>
    </reviewItem>
    <reviewItem>
      <errorID>848c3d23-592d-47ac-99e9-372d2734e276</errorID>
      <errorWord>减轻对</errorWord>
      <group>L1_Word</group>
      <groupName>字词问题</groupName>
      <ability>L2_Typo</ability>
      <abilityName>字词错误</abilityName>
      <candidateList>
        <item>减轻</item>
      </candidateList>
      <explain/>
      <paraID>1F51BEBC</paraID>
      <start>67</start>
      <end>70</end>
      <status>unmodified</status>
      <modifiedWord/>
      <trackRevisions>false</trackRevisions>
    </reviewItem>
    <reviewItem>
      <errorID>73a93557-8413-4240-acbd-d863e646edbd</errorID>
      <errorWord>期</errorWord>
      <group>L1_Word</group>
      <groupName>字词问题</groupName>
      <ability>L2_Typo</ability>
      <abilityName>字词错误</abilityName>
      <candidateList>
        <item>期间</item>
      </candidateList>
      <explain>〈名〉某个时期里面：农忙～｜春节～｜抗战～。</explain>
      <paraID>2F80290D</paraID>
      <start>117</start>
      <end>118</end>
      <status>unmodified</status>
      <modifiedWord/>
      <trackRevisions>false</trackRevisions>
    </reviewItem>
    <reviewItem>
      <errorID>9a608591-71b1-46b8-a745-80d4a39c1eaf</errorID>
      <errorWord>拌合机</errorWord>
      <group>L1_Word</group>
      <groupName>字词问题</groupName>
      <ability>L2_Alias</ability>
      <abilityName>也作/曾用词</abilityName>
      <candidateList>
        <item>拌和机</item>
      </candidateList>
      <explain>词汇[拌合机]为不规范表述或旧称，其规范书面表述为[拌和机]。</explain>
      <paraID>2BBE0812</paraID>
      <start>39</start>
      <end>42</end>
      <status>unmodified</status>
      <modifiedWord/>
      <trackRevisions>false</trackRevisions>
    </reviewItem>
    <reviewItem>
      <errorID>e3ddafcd-637a-46f0-afed-13a420dec466</errorID>
      <errorWord>拌合机</errorWord>
      <group>L1_Word</group>
      <groupName>字词问题</groupName>
      <ability>L2_Alias</ability>
      <abilityName>也作/曾用词</abilityName>
      <candidateList>
        <item>拌和机</item>
      </candidateList>
      <explain>词汇[拌合机]为不规范表述或旧称，其规范书面表述为[拌和机]。</explain>
      <paraID>4AFC9757</paraID>
      <start>29</start>
      <end>32</end>
      <status>unmodified</status>
      <modifiedWord/>
      <trackRevisions>false</trackRevisions>
    </reviewItem>
    <reviewItem>
      <errorID>ebeb2b44-e11a-4765-8dac-f7e9b5db4009</errorID>
      <errorWord>噪音</errorWord>
      <group>L1_Word</group>
      <groupName>字词问题</groupName>
      <ability>L2_Alias</ability>
      <abilityName>也作/曾用词</abilityName>
      <candidateList>
        <item>噪声</item>
      </candidateList>
      <explain>词汇[噪音]为不规范表述或旧称，其规范书面表述为[噪声]。</explain>
      <paraID>53AD64A6</paraID>
      <start>94</start>
      <end>96</end>
      <status>unmodified</status>
      <modifiedWord/>
      <trackRevisions>false</trackRevisions>
    </reviewItem>
    <reviewItem>
      <errorID>7e7d9587-2bab-4cdc-8a7d-e962e70b523e</errorID>
      <errorWord>，在</errorWord>
      <group>L1_Word</group>
      <groupName>字词问题</groupName>
      <ability>L2_Typo</ability>
      <abilityName>字词错误</abilityName>
      <candidateList>
        <item>，</item>
      </candidateList>
      <explain/>
      <paraID>53AD64A6</paraID>
      <start>254</start>
      <end>256</end>
      <status>unmodified</status>
      <modifiedWord/>
      <trackRevisions>false</trackRevisions>
    </reviewItem>
    <reviewItem>
      <errorID>88dba5a8-609a-4709-955b-492f168343d5</errorID>
      <errorWord>；本</errorWord>
      <group>L1_Word</group>
      <groupName>字词问题</groupName>
      <ability>L2_Typo</ability>
      <abilityName>字词错误</abilityName>
      <candidateList>
        <item>；</item>
      </candidateList>
      <explain/>
      <paraID>51BFBB7C</paraID>
      <start>92</start>
      <end>94</end>
      <status>unmodified</status>
      <modifiedWord/>
      <trackRevisions>false</trackRevisions>
    </reviewItem>
    <reviewItem>
      <errorID>e14ec603-92b3-4e87-a097-7b2ac0d586ed</errorID>
      <errorWord>要</errorWord>
      <group>L1_Word</group>
      <groupName>字词问题</groupName>
      <ability>L2_Typo</ability>
      <abilityName>字词错误</abilityName>
      <candidateList>
        <item>要是</item>
      </candidateList>
      <explain/>
      <paraID>46663621</paraID>
      <start>17</start>
      <end>18</end>
      <status>unmodified</status>
      <modifiedWord/>
      <trackRevisions>false</trackRevisions>
    </reviewItem>
    <reviewItem>
      <errorID>6bcf66f0-2d42-4d8c-9f92-ba4c8f555452</errorID>
      <errorWord>爆发</errorWord>
      <group>L1_Word</group>
      <groupName>字词问题</groupName>
      <ability>L2_Typo</ability>
      <abilityName>字词错误</abilityName>
      <candidateList>
        <item>暴发</item>
      </candidateList>
      <explain>〈动〉❶突然发财或得势（多含贬义）：～户。❷突然发作：山洪～。</explain>
      <paraID>46663621</paraID>
      <start>61</start>
      <end>63</end>
      <status>unmodified</status>
      <modifiedWord/>
      <trackRevisions>false</trackRevisions>
    </reviewItem>
    <reviewItem>
      <errorID>ee5daea5-72fa-4bbd-a9cd-ff6659738de5</errorID>
      <errorWord>车</errorWord>
      <group>L1_Word</group>
      <groupName>字词问题</groupName>
      <ability>L2_Typo</ability>
      <abilityName>字词错误</abilityName>
      <candidateList>
        <item>车辆</item>
      </candidateList>
      <explain>〈名〉各种车的总称。</explain>
      <paraID>46663621</paraID>
      <start>181</start>
      <end>182</end>
      <status>unmodified</status>
      <modifiedWord/>
      <trackRevisions>false</trackRevisions>
    </reviewItem>
    <reviewItem>
      <errorID>ffd9e824-e741-41c4-adb3-39b29ad7a7c1</errorID>
      <errorWord>法律、法规</errorWord>
      <group>L1_Word</group>
      <groupName>字词问题</groupName>
      <ability>L2_Typo</ability>
      <abilityName>字词错误</abilityName>
      <candidateList>
        <item>法律法规</item>
      </candidateList>
      <explain/>
      <paraID>3E1AA54C</paraID>
      <start>32</start>
      <end>37</end>
      <status>unmodified</status>
      <modifiedWord/>
      <trackRevisions>false</trackRevisions>
    </reviewItem>
    <reviewItem>
      <errorID>833dd4c4-5f9f-4361-9820-66c02d3e70b7</errorID>
      <errorWord>期</errorWord>
      <group>L1_Word</group>
      <groupName>字词问题</groupName>
      <ability>L2_Typo</ability>
      <abilityName>字词错误</abilityName>
      <candidateList>
        <item>期间</item>
      </candidateList>
      <explain>〈名〉某个时期里面：农忙～｜春节～｜抗战～。</explain>
      <paraID> 2FE0160</paraID>
      <start>7</start>
      <end>8</end>
      <status>unmodified</status>
      <modifiedWord/>
      <trackRevisions>false</trackRevisions>
    </reviewItem>
    <reviewItem>
      <errorID>52fd6acc-46b7-4a47-9a46-b29bcd44b3ce</errorID>
      <errorWord>提</errorWord>
      <group>L1_Word</group>
      <groupName>字词问题</groupName>
      <ability>L2_Typo</ability>
      <abilityName>字词错误</abilityName>
      <candidateList>
        <item>提出</item>
      </candidateList>
      <explain/>
      <paraID>7DC36F55</paraID>
      <start>53</start>
      <end>54</end>
      <status>unmodified</status>
      <modifiedWord/>
      <trackRevisions>false</trackRevisions>
    </reviewItem>
    <reviewItem>
      <errorID>28e135af-231a-4424-9a45-c6499ae8703b</errorID>
      <errorWord>拌合</errorWord>
      <group>L1_Word</group>
      <groupName>字词问题</groupName>
      <ability>L2_Typo</ability>
      <abilityName>字词错误</abilityName>
      <candidateList>
        <item>拌和</item>
      </candidateList>
      <explain/>
      <paraID>5363D519</paraID>
      <start>3</start>
      <end>5</end>
      <status>unmodified</status>
      <modifiedWord/>
      <trackRevisions>false</trackRevisions>
    </reviewItem>
    <reviewItem>
      <errorID>678073bd-7a24-494a-b385-bbbe2df110ca</errorID>
      <errorWord>.</errorWord>
      <group>L1_Format</group>
      <groupName>格式问题</groupName>
      <ability>L2_HalfPunc_CN</ability>
      <abilityName>全半角检查</abilityName>
      <candidateList>
        <item>。</item>
      </candidateList>
      <explain>文本全半角错误。</explain>
      <paraID>107D6DEE</paraID>
      <start>3</start>
      <end>4</end>
      <status>unmodified</status>
      <modifiedWord/>
      <trackRevisions>false</trackRevisions>
    </reviewItem>
    <reviewItem>
      <errorID>efe3bc4e-7614-4ee5-88bc-e53cb2244598</errorID>
      <errorWord>密闭化</errorWord>
      <group>L1_Word</group>
      <groupName>字词问题</groupName>
      <ability>L2_Typo</ability>
      <abilityName>字词错误</abilityName>
      <candidateList>
        <item>密闭</item>
      </candidateList>
      <explain/>
      <paraID>7D06EFD7</paraID>
      <start>20</start>
      <end>23</end>
      <status>unmodified</status>
      <modifiedWord/>
      <trackRevisions>false</trackRevisions>
    </reviewItem>
    <reviewItem>
      <errorID>942d2246-01bf-461e-88e2-0f85328bab24</errorID>
      <errorWord>车</errorWord>
      <group>L1_Word</group>
      <groupName>字词问题</groupName>
      <ability>L2_Typo</ability>
      <abilityName>字词错误</abilityName>
      <candidateList>
        <item>车辆</item>
      </candidateList>
      <explain>〈名〉各种车的总称。</explain>
      <paraID>3131B9C8</paraID>
      <start>6</start>
      <end>7</end>
      <status>unmodified</status>
      <modifiedWord/>
      <trackRevisions>false</trackRevisions>
    </reviewItem>
    <reviewItem>
      <errorID>983d490f-abe0-4418-913f-557f34b899b7</errorID>
      <errorWord>黑龙江省根河</errorWord>
      <group>L1_Knowledge</group>
      <groupName>知识性问题</groupName>
      <ability>L2_Location</ability>
      <abilityName>地名检查</abilityName>
      <candidateList>
        <item>内蒙古根河</item>
      </candidateList>
      <explain>地名表述错误。</explain>
      <paraID>6DD10708</paraID>
      <start>5</start>
      <end>11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bfe33cf-1b5c-45bc-b509-c272ff7ba05d}">
  <ds:schemaRefs/>
</ds:datastoreItem>
</file>

<file path=docProps/app.xml><?xml version="1.0" encoding="utf-8"?>
<Properties xmlns="http://schemas.openxmlformats.org/officeDocument/2006/extended-properties" xmlns:vt="http://schemas.openxmlformats.org/officeDocument/2006/docPropsVTypes">
  <Template>Normal.dotm</Template>
  <Pages>169</Pages>
  <Words>27192</Words>
  <Characters>29007</Characters>
  <Lines>1</Lines>
  <Paragraphs>1</Paragraphs>
  <TotalTime>2</TotalTime>
  <ScaleCrop>false</ScaleCrop>
  <LinksUpToDate>false</LinksUpToDate>
  <CharactersWithSpaces>29241</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2024-02-06T14:18:00Z</dcterms:created>
  <dc:creator>lhj</dc:creator>
  <cp:lastModifiedBy>ARR</cp:lastModifiedBy>
  <cp:lastPrinted>2021-06-09T06:59:00Z</cp:lastPrinted>
  <dcterms:modified xsi:type="dcterms:W3CDTF">2026-06-23T17:39:50Z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A4D6798FFA014928B2188F7186DFE3F4_13</vt:lpwstr>
  </property>
  <property fmtid="{D5CDD505-2E9C-101B-9397-08002B2CF9AE}" pid="4" name="KSOTemplateDocerSaveRecord">
    <vt:lpwstr>eyJoZGlkIjoiZDUwNDk0MzEyZmRhNDBhNTcxNDQ1MjgwMjk1YWY4MTUiLCJ1c2VySWQiOiIzOTczODE5OTQifQ==</vt:lpwstr>
  </property>
</Properties>
</file>